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B261A" w14:textId="051B604C" w:rsidR="00D21062" w:rsidRDefault="00D21062" w:rsidP="00D21062">
      <w:pPr>
        <w:spacing w:after="240"/>
        <w:jc w:val="center"/>
        <w:rPr>
          <w:b/>
          <w:sz w:val="52"/>
          <w:szCs w:val="52"/>
        </w:rPr>
      </w:pPr>
    </w:p>
    <w:p w14:paraId="1E855D8D" w14:textId="0FC771EB" w:rsidR="00D21062" w:rsidRDefault="00D21062" w:rsidP="00D21062">
      <w:pPr>
        <w:spacing w:after="240"/>
        <w:jc w:val="center"/>
        <w:rPr>
          <w:b/>
          <w:sz w:val="52"/>
          <w:szCs w:val="52"/>
        </w:rPr>
      </w:pPr>
    </w:p>
    <w:p w14:paraId="7169EC15" w14:textId="0792C5D0" w:rsidR="000524DC" w:rsidRDefault="000524DC" w:rsidP="00D21062">
      <w:pPr>
        <w:spacing w:after="240"/>
        <w:jc w:val="center"/>
        <w:rPr>
          <w:b/>
          <w:sz w:val="52"/>
          <w:szCs w:val="52"/>
        </w:rPr>
      </w:pPr>
    </w:p>
    <w:p w14:paraId="42936C31" w14:textId="7B1FEF66" w:rsidR="00D21062" w:rsidRPr="00E711D1" w:rsidRDefault="00D21062" w:rsidP="00D21062">
      <w:pPr>
        <w:spacing w:after="240"/>
        <w:jc w:val="center"/>
        <w:rPr>
          <w:b/>
          <w:color w:val="FF0000"/>
          <w:sz w:val="52"/>
          <w:szCs w:val="52"/>
        </w:rPr>
      </w:pPr>
    </w:p>
    <w:p w14:paraId="15CD1712" w14:textId="71FAA439" w:rsidR="00D21062" w:rsidRPr="00920083" w:rsidRDefault="00D21062" w:rsidP="00D21062">
      <w:pPr>
        <w:spacing w:after="240"/>
        <w:jc w:val="center"/>
        <w:rPr>
          <w:b/>
          <w:sz w:val="52"/>
          <w:szCs w:val="52"/>
        </w:rPr>
      </w:pPr>
      <w:r w:rsidRPr="00920083">
        <w:rPr>
          <w:b/>
          <w:sz w:val="52"/>
          <w:szCs w:val="52"/>
        </w:rPr>
        <w:t>Pharmaceutical Benefits Scheme</w:t>
      </w:r>
    </w:p>
    <w:p w14:paraId="69BD28C5" w14:textId="62B32B85" w:rsidR="00D21062" w:rsidRPr="00920083" w:rsidRDefault="00D21062" w:rsidP="006F56F1">
      <w:pPr>
        <w:pStyle w:val="Heading1"/>
      </w:pPr>
      <w:bookmarkStart w:id="0" w:name="_Toc163221147"/>
      <w:r w:rsidRPr="00920083">
        <w:t>Post-market Review</w:t>
      </w:r>
      <w:r w:rsidR="00CD5E39">
        <w:br/>
        <w:t>of</w:t>
      </w:r>
      <w:r w:rsidR="00CD5E39">
        <w:br/>
      </w:r>
      <w:r w:rsidR="000524DC">
        <w:t xml:space="preserve">PBS </w:t>
      </w:r>
      <w:r w:rsidR="00033AAE">
        <w:t>Opioid</w:t>
      </w:r>
      <w:r>
        <w:t xml:space="preserve"> Dependence Treatment Program medicines</w:t>
      </w:r>
      <w:bookmarkEnd w:id="0"/>
      <w:r w:rsidRPr="00920083">
        <w:t xml:space="preserve"> </w:t>
      </w:r>
    </w:p>
    <w:p w14:paraId="18D1FBA4" w14:textId="4E31EE88" w:rsidR="00D21062" w:rsidRDefault="00D21062" w:rsidP="00D21062">
      <w:pPr>
        <w:spacing w:before="480"/>
        <w:jc w:val="center"/>
        <w:rPr>
          <w:b/>
          <w:i/>
          <w:color w:val="2F5496" w:themeColor="accent1" w:themeShade="BF"/>
          <w:sz w:val="28"/>
          <w:szCs w:val="28"/>
        </w:rPr>
      </w:pPr>
      <w:r w:rsidRPr="00920083">
        <w:rPr>
          <w:b/>
          <w:i/>
          <w:color w:val="2F5496" w:themeColor="accent1" w:themeShade="BF"/>
          <w:sz w:val="28"/>
          <w:szCs w:val="28"/>
        </w:rPr>
        <w:t xml:space="preserve">Report to </w:t>
      </w:r>
      <w:r w:rsidR="00C55D56">
        <w:rPr>
          <w:b/>
          <w:i/>
          <w:color w:val="2F5496" w:themeColor="accent1" w:themeShade="BF"/>
          <w:sz w:val="28"/>
          <w:szCs w:val="28"/>
        </w:rPr>
        <w:t>the Pharmaceutical Benefits Advisory Committee</w:t>
      </w:r>
    </w:p>
    <w:p w14:paraId="6C98AFE5" w14:textId="4645005B" w:rsidR="00C55D56" w:rsidRPr="00920083" w:rsidRDefault="001669CD" w:rsidP="00D21062">
      <w:pPr>
        <w:spacing w:before="480"/>
        <w:jc w:val="center"/>
        <w:rPr>
          <w:b/>
          <w:i/>
          <w:color w:val="2F5496" w:themeColor="accent1" w:themeShade="BF"/>
          <w:sz w:val="28"/>
          <w:szCs w:val="28"/>
        </w:rPr>
      </w:pPr>
      <w:r w:rsidRPr="00876516">
        <w:rPr>
          <w:b/>
          <w:i/>
          <w:color w:val="2F5496" w:themeColor="accent1" w:themeShade="BF"/>
          <w:sz w:val="28"/>
          <w:szCs w:val="28"/>
        </w:rPr>
        <w:t>March</w:t>
      </w:r>
      <w:r w:rsidR="00C55D56" w:rsidRPr="00876516">
        <w:rPr>
          <w:b/>
          <w:i/>
          <w:color w:val="2F5496" w:themeColor="accent1" w:themeShade="BF"/>
          <w:sz w:val="28"/>
          <w:szCs w:val="28"/>
        </w:rPr>
        <w:t xml:space="preserve"> 202</w:t>
      </w:r>
      <w:r w:rsidR="003879D2" w:rsidRPr="00876516">
        <w:rPr>
          <w:b/>
          <w:i/>
          <w:color w:val="2F5496" w:themeColor="accent1" w:themeShade="BF"/>
          <w:sz w:val="28"/>
          <w:szCs w:val="28"/>
        </w:rPr>
        <w:t>3</w:t>
      </w:r>
    </w:p>
    <w:p w14:paraId="4AAF6F89" w14:textId="77777777" w:rsidR="00D21062" w:rsidRPr="00920083" w:rsidRDefault="00D21062" w:rsidP="00D21062">
      <w:pPr>
        <w:spacing w:before="240"/>
        <w:jc w:val="center"/>
        <w:rPr>
          <w:b/>
          <w:i/>
          <w:color w:val="2F5496" w:themeColor="accent1" w:themeShade="BF"/>
          <w:sz w:val="28"/>
          <w:szCs w:val="28"/>
        </w:rPr>
      </w:pPr>
    </w:p>
    <w:p w14:paraId="4756B402" w14:textId="77777777" w:rsidR="00D21062" w:rsidRPr="00920083" w:rsidRDefault="00D21062" w:rsidP="00D21062">
      <w:pPr>
        <w:spacing w:before="240"/>
        <w:jc w:val="center"/>
        <w:rPr>
          <w:b/>
          <w:i/>
          <w:color w:val="2F5496" w:themeColor="accent1" w:themeShade="BF"/>
          <w:sz w:val="28"/>
          <w:szCs w:val="28"/>
        </w:rPr>
      </w:pPr>
    </w:p>
    <w:p w14:paraId="37867EC6" w14:textId="3019A22D" w:rsidR="00D21062" w:rsidRDefault="00D21062" w:rsidP="00D21062">
      <w:pPr>
        <w:spacing w:after="160" w:line="259" w:lineRule="auto"/>
        <w:jc w:val="left"/>
      </w:pPr>
      <w:r>
        <w:br w:type="page"/>
      </w:r>
    </w:p>
    <w:sdt>
      <w:sdtPr>
        <w:rPr>
          <w:rFonts w:eastAsiaTheme="minorHAnsi" w:cs="Times New Roman"/>
          <w:b w:val="0"/>
          <w:color w:val="auto"/>
          <w:sz w:val="24"/>
          <w:szCs w:val="24"/>
          <w:lang w:val="en-AU"/>
        </w:rPr>
        <w:id w:val="627825181"/>
        <w:docPartObj>
          <w:docPartGallery w:val="Table of Contents"/>
          <w:docPartUnique/>
        </w:docPartObj>
      </w:sdtPr>
      <w:sdtEndPr>
        <w:rPr>
          <w:bCs/>
          <w:noProof/>
        </w:rPr>
      </w:sdtEndPr>
      <w:sdtContent>
        <w:p w14:paraId="7026F888" w14:textId="77777777" w:rsidR="00D21062" w:rsidRPr="00EA3458" w:rsidRDefault="00D21062" w:rsidP="00D54B5A">
          <w:pPr>
            <w:pStyle w:val="TOCHeading"/>
            <w:jc w:val="left"/>
            <w:rPr>
              <w:lang w:val="en-AU"/>
            </w:rPr>
          </w:pPr>
          <w:r w:rsidRPr="00EA3458">
            <w:rPr>
              <w:lang w:val="en-AU"/>
            </w:rPr>
            <w:t>Contents</w:t>
          </w:r>
        </w:p>
        <w:p w14:paraId="450F044D" w14:textId="629C23F3" w:rsidR="00347BF7" w:rsidRDefault="00934954">
          <w:pPr>
            <w:pStyle w:val="TOC1"/>
            <w:rPr>
              <w:rFonts w:cstheme="minorBidi"/>
              <w:kern w:val="2"/>
              <w:sz w:val="22"/>
              <w:szCs w:val="22"/>
              <w:lang w:val="en-AU" w:eastAsia="en-AU"/>
              <w14:ligatures w14:val="standardContextual"/>
            </w:rPr>
          </w:pPr>
          <w:r>
            <w:fldChar w:fldCharType="begin"/>
          </w:r>
          <w:r>
            <w:instrText xml:space="preserve"> TOC \o "2-3" \h \z \t "Heading 1,1" </w:instrText>
          </w:r>
          <w:r>
            <w:fldChar w:fldCharType="separate"/>
          </w:r>
          <w:hyperlink w:anchor="_Toc163221147" w:history="1">
            <w:r w:rsidR="00347BF7" w:rsidRPr="00585732">
              <w:rPr>
                <w:rStyle w:val="Hyperlink"/>
              </w:rPr>
              <w:t>Post-market Review of PBS Opioid Dependence Treatment Program medicines</w:t>
            </w:r>
            <w:r w:rsidR="00347BF7">
              <w:rPr>
                <w:webHidden/>
              </w:rPr>
              <w:tab/>
            </w:r>
            <w:r w:rsidR="00347BF7">
              <w:rPr>
                <w:webHidden/>
              </w:rPr>
              <w:fldChar w:fldCharType="begin"/>
            </w:r>
            <w:r w:rsidR="00347BF7">
              <w:rPr>
                <w:webHidden/>
              </w:rPr>
              <w:instrText xml:space="preserve"> PAGEREF _Toc163221147 \h </w:instrText>
            </w:r>
            <w:r w:rsidR="00347BF7">
              <w:rPr>
                <w:webHidden/>
              </w:rPr>
            </w:r>
            <w:r w:rsidR="00347BF7">
              <w:rPr>
                <w:webHidden/>
              </w:rPr>
              <w:fldChar w:fldCharType="separate"/>
            </w:r>
            <w:r w:rsidR="002178D6">
              <w:rPr>
                <w:webHidden/>
              </w:rPr>
              <w:t>1</w:t>
            </w:r>
            <w:r w:rsidR="00347BF7">
              <w:rPr>
                <w:webHidden/>
              </w:rPr>
              <w:fldChar w:fldCharType="end"/>
            </w:r>
          </w:hyperlink>
        </w:p>
        <w:p w14:paraId="6C24D38A" w14:textId="4FCD5A5D" w:rsidR="00347BF7" w:rsidRDefault="00347BF7">
          <w:pPr>
            <w:pStyle w:val="TOC2"/>
            <w:tabs>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163221148" w:history="1">
            <w:r w:rsidRPr="00585732">
              <w:rPr>
                <w:rStyle w:val="Hyperlink"/>
                <w:noProof/>
              </w:rPr>
              <w:t>List of Tables</w:t>
            </w:r>
            <w:r>
              <w:rPr>
                <w:noProof/>
                <w:webHidden/>
              </w:rPr>
              <w:tab/>
            </w:r>
            <w:r>
              <w:rPr>
                <w:noProof/>
                <w:webHidden/>
              </w:rPr>
              <w:fldChar w:fldCharType="begin"/>
            </w:r>
            <w:r>
              <w:rPr>
                <w:noProof/>
                <w:webHidden/>
              </w:rPr>
              <w:instrText xml:space="preserve"> PAGEREF _Toc163221148 \h </w:instrText>
            </w:r>
            <w:r>
              <w:rPr>
                <w:noProof/>
                <w:webHidden/>
              </w:rPr>
            </w:r>
            <w:r>
              <w:rPr>
                <w:noProof/>
                <w:webHidden/>
              </w:rPr>
              <w:fldChar w:fldCharType="separate"/>
            </w:r>
            <w:r w:rsidR="002178D6">
              <w:rPr>
                <w:noProof/>
                <w:webHidden/>
              </w:rPr>
              <w:t>4</w:t>
            </w:r>
            <w:r>
              <w:rPr>
                <w:noProof/>
                <w:webHidden/>
              </w:rPr>
              <w:fldChar w:fldCharType="end"/>
            </w:r>
          </w:hyperlink>
        </w:p>
        <w:p w14:paraId="5BD43F9B" w14:textId="5832717C" w:rsidR="00347BF7" w:rsidRDefault="00347BF7">
          <w:pPr>
            <w:pStyle w:val="TOC2"/>
            <w:tabs>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163221149" w:history="1">
            <w:r w:rsidRPr="00585732">
              <w:rPr>
                <w:rStyle w:val="Hyperlink"/>
                <w:noProof/>
              </w:rPr>
              <w:t>List of Figures</w:t>
            </w:r>
            <w:r>
              <w:rPr>
                <w:noProof/>
                <w:webHidden/>
              </w:rPr>
              <w:tab/>
            </w:r>
            <w:r>
              <w:rPr>
                <w:noProof/>
                <w:webHidden/>
              </w:rPr>
              <w:fldChar w:fldCharType="begin"/>
            </w:r>
            <w:r>
              <w:rPr>
                <w:noProof/>
                <w:webHidden/>
              </w:rPr>
              <w:instrText xml:space="preserve"> PAGEREF _Toc163221149 \h </w:instrText>
            </w:r>
            <w:r>
              <w:rPr>
                <w:noProof/>
                <w:webHidden/>
              </w:rPr>
            </w:r>
            <w:r>
              <w:rPr>
                <w:noProof/>
                <w:webHidden/>
              </w:rPr>
              <w:fldChar w:fldCharType="separate"/>
            </w:r>
            <w:r w:rsidR="002178D6">
              <w:rPr>
                <w:noProof/>
                <w:webHidden/>
              </w:rPr>
              <w:t>5</w:t>
            </w:r>
            <w:r>
              <w:rPr>
                <w:noProof/>
                <w:webHidden/>
              </w:rPr>
              <w:fldChar w:fldCharType="end"/>
            </w:r>
          </w:hyperlink>
        </w:p>
        <w:p w14:paraId="7898FB7E" w14:textId="6D6B3452" w:rsidR="00347BF7" w:rsidRDefault="00347BF7">
          <w:pPr>
            <w:pStyle w:val="TOC2"/>
            <w:tabs>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163221150" w:history="1">
            <w:r w:rsidRPr="00585732">
              <w:rPr>
                <w:rStyle w:val="Hyperlink"/>
                <w:noProof/>
              </w:rPr>
              <w:t>Terminology and Abbreviations</w:t>
            </w:r>
            <w:r>
              <w:rPr>
                <w:noProof/>
                <w:webHidden/>
              </w:rPr>
              <w:tab/>
            </w:r>
            <w:r>
              <w:rPr>
                <w:noProof/>
                <w:webHidden/>
              </w:rPr>
              <w:fldChar w:fldCharType="begin"/>
            </w:r>
            <w:r>
              <w:rPr>
                <w:noProof/>
                <w:webHidden/>
              </w:rPr>
              <w:instrText xml:space="preserve"> PAGEREF _Toc163221150 \h </w:instrText>
            </w:r>
            <w:r>
              <w:rPr>
                <w:noProof/>
                <w:webHidden/>
              </w:rPr>
            </w:r>
            <w:r>
              <w:rPr>
                <w:noProof/>
                <w:webHidden/>
              </w:rPr>
              <w:fldChar w:fldCharType="separate"/>
            </w:r>
            <w:r w:rsidR="002178D6">
              <w:rPr>
                <w:noProof/>
                <w:webHidden/>
              </w:rPr>
              <w:t>6</w:t>
            </w:r>
            <w:r>
              <w:rPr>
                <w:noProof/>
                <w:webHidden/>
              </w:rPr>
              <w:fldChar w:fldCharType="end"/>
            </w:r>
          </w:hyperlink>
        </w:p>
        <w:p w14:paraId="1FF4F6FA" w14:textId="0EEAB979" w:rsidR="00347BF7" w:rsidRDefault="00347BF7">
          <w:pPr>
            <w:pStyle w:val="TOC2"/>
            <w:tabs>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163221151" w:history="1">
            <w:r w:rsidRPr="00585732">
              <w:rPr>
                <w:rStyle w:val="Hyperlink"/>
                <w:noProof/>
              </w:rPr>
              <w:t>Acknowledgements</w:t>
            </w:r>
            <w:r>
              <w:rPr>
                <w:noProof/>
                <w:webHidden/>
              </w:rPr>
              <w:tab/>
            </w:r>
            <w:r>
              <w:rPr>
                <w:noProof/>
                <w:webHidden/>
              </w:rPr>
              <w:fldChar w:fldCharType="begin"/>
            </w:r>
            <w:r>
              <w:rPr>
                <w:noProof/>
                <w:webHidden/>
              </w:rPr>
              <w:instrText xml:space="preserve"> PAGEREF _Toc163221151 \h </w:instrText>
            </w:r>
            <w:r>
              <w:rPr>
                <w:noProof/>
                <w:webHidden/>
              </w:rPr>
            </w:r>
            <w:r>
              <w:rPr>
                <w:noProof/>
                <w:webHidden/>
              </w:rPr>
              <w:fldChar w:fldCharType="separate"/>
            </w:r>
            <w:r w:rsidR="002178D6">
              <w:rPr>
                <w:noProof/>
                <w:webHidden/>
              </w:rPr>
              <w:t>9</w:t>
            </w:r>
            <w:r>
              <w:rPr>
                <w:noProof/>
                <w:webHidden/>
              </w:rPr>
              <w:fldChar w:fldCharType="end"/>
            </w:r>
          </w:hyperlink>
        </w:p>
        <w:p w14:paraId="13B3A55F" w14:textId="101FBDE3" w:rsidR="00347BF7" w:rsidRDefault="00347BF7">
          <w:pPr>
            <w:pStyle w:val="TOC2"/>
            <w:tabs>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163221152" w:history="1">
            <w:r w:rsidRPr="00585732">
              <w:rPr>
                <w:rStyle w:val="Hyperlink"/>
                <w:noProof/>
              </w:rPr>
              <w:t>Report Structure</w:t>
            </w:r>
            <w:r>
              <w:rPr>
                <w:noProof/>
                <w:webHidden/>
              </w:rPr>
              <w:tab/>
            </w:r>
            <w:r>
              <w:rPr>
                <w:noProof/>
                <w:webHidden/>
              </w:rPr>
              <w:fldChar w:fldCharType="begin"/>
            </w:r>
            <w:r>
              <w:rPr>
                <w:noProof/>
                <w:webHidden/>
              </w:rPr>
              <w:instrText xml:space="preserve"> PAGEREF _Toc163221152 \h </w:instrText>
            </w:r>
            <w:r>
              <w:rPr>
                <w:noProof/>
                <w:webHidden/>
              </w:rPr>
            </w:r>
            <w:r>
              <w:rPr>
                <w:noProof/>
                <w:webHidden/>
              </w:rPr>
              <w:fldChar w:fldCharType="separate"/>
            </w:r>
            <w:r w:rsidR="002178D6">
              <w:rPr>
                <w:noProof/>
                <w:webHidden/>
              </w:rPr>
              <w:t>10</w:t>
            </w:r>
            <w:r>
              <w:rPr>
                <w:noProof/>
                <w:webHidden/>
              </w:rPr>
              <w:fldChar w:fldCharType="end"/>
            </w:r>
          </w:hyperlink>
        </w:p>
        <w:p w14:paraId="6DDBEB1A" w14:textId="07E40B67" w:rsidR="00347BF7" w:rsidRDefault="00347BF7">
          <w:pPr>
            <w:pStyle w:val="TOC2"/>
            <w:tabs>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163221153" w:history="1">
            <w:r w:rsidRPr="00585732">
              <w:rPr>
                <w:rStyle w:val="Hyperlink"/>
                <w:noProof/>
              </w:rPr>
              <w:t>Part 1: Background</w:t>
            </w:r>
            <w:r>
              <w:rPr>
                <w:noProof/>
                <w:webHidden/>
              </w:rPr>
              <w:tab/>
            </w:r>
            <w:r>
              <w:rPr>
                <w:noProof/>
                <w:webHidden/>
              </w:rPr>
              <w:fldChar w:fldCharType="begin"/>
            </w:r>
            <w:r>
              <w:rPr>
                <w:noProof/>
                <w:webHidden/>
              </w:rPr>
              <w:instrText xml:space="preserve"> PAGEREF _Toc163221153 \h </w:instrText>
            </w:r>
            <w:r>
              <w:rPr>
                <w:noProof/>
                <w:webHidden/>
              </w:rPr>
            </w:r>
            <w:r>
              <w:rPr>
                <w:noProof/>
                <w:webHidden/>
              </w:rPr>
              <w:fldChar w:fldCharType="separate"/>
            </w:r>
            <w:r w:rsidR="002178D6">
              <w:rPr>
                <w:noProof/>
                <w:webHidden/>
              </w:rPr>
              <w:t>11</w:t>
            </w:r>
            <w:r>
              <w:rPr>
                <w:noProof/>
                <w:webHidden/>
              </w:rPr>
              <w:fldChar w:fldCharType="end"/>
            </w:r>
          </w:hyperlink>
        </w:p>
        <w:p w14:paraId="28D72A20" w14:textId="65F53079" w:rsidR="00347BF7" w:rsidRDefault="00347BF7">
          <w:pPr>
            <w:pStyle w:val="TOC2"/>
            <w:tabs>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163221154" w:history="1">
            <w:r w:rsidRPr="00585732">
              <w:rPr>
                <w:rStyle w:val="Hyperlink"/>
                <w:noProof/>
              </w:rPr>
              <w:t>Part 1A: PBS Post-market Reviews</w:t>
            </w:r>
            <w:r>
              <w:rPr>
                <w:noProof/>
                <w:webHidden/>
              </w:rPr>
              <w:tab/>
            </w:r>
            <w:r>
              <w:rPr>
                <w:noProof/>
                <w:webHidden/>
              </w:rPr>
              <w:fldChar w:fldCharType="begin"/>
            </w:r>
            <w:r>
              <w:rPr>
                <w:noProof/>
                <w:webHidden/>
              </w:rPr>
              <w:instrText xml:space="preserve"> PAGEREF _Toc163221154 \h </w:instrText>
            </w:r>
            <w:r>
              <w:rPr>
                <w:noProof/>
                <w:webHidden/>
              </w:rPr>
            </w:r>
            <w:r>
              <w:rPr>
                <w:noProof/>
                <w:webHidden/>
              </w:rPr>
              <w:fldChar w:fldCharType="separate"/>
            </w:r>
            <w:r w:rsidR="002178D6">
              <w:rPr>
                <w:noProof/>
                <w:webHidden/>
              </w:rPr>
              <w:t>11</w:t>
            </w:r>
            <w:r>
              <w:rPr>
                <w:noProof/>
                <w:webHidden/>
              </w:rPr>
              <w:fldChar w:fldCharType="end"/>
            </w:r>
          </w:hyperlink>
        </w:p>
        <w:p w14:paraId="6177D3D5" w14:textId="71CF1533" w:rsidR="00347BF7" w:rsidRDefault="00347BF7">
          <w:pPr>
            <w:pStyle w:val="TOC3"/>
            <w:tabs>
              <w:tab w:val="left" w:pos="1100"/>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163221155" w:history="1">
            <w:r w:rsidRPr="00585732">
              <w:rPr>
                <w:rStyle w:val="Hyperlink"/>
                <w:noProof/>
              </w:rPr>
              <w:t>1.1.</w:t>
            </w:r>
            <w:r>
              <w:rPr>
                <w:rFonts w:asciiTheme="minorHAnsi" w:eastAsiaTheme="minorEastAsia" w:hAnsiTheme="minorHAnsi" w:cstheme="minorBidi"/>
                <w:noProof/>
                <w:kern w:val="2"/>
                <w:sz w:val="22"/>
                <w:szCs w:val="22"/>
                <w:lang w:eastAsia="en-AU"/>
                <w14:ligatures w14:val="standardContextual"/>
              </w:rPr>
              <w:tab/>
            </w:r>
            <w:r w:rsidRPr="00585732">
              <w:rPr>
                <w:rStyle w:val="Hyperlink"/>
                <w:noProof/>
              </w:rPr>
              <w:t>Post-market monitoring</w:t>
            </w:r>
            <w:r>
              <w:rPr>
                <w:noProof/>
                <w:webHidden/>
              </w:rPr>
              <w:tab/>
            </w:r>
            <w:r>
              <w:rPr>
                <w:noProof/>
                <w:webHidden/>
              </w:rPr>
              <w:fldChar w:fldCharType="begin"/>
            </w:r>
            <w:r>
              <w:rPr>
                <w:noProof/>
                <w:webHidden/>
              </w:rPr>
              <w:instrText xml:space="preserve"> PAGEREF _Toc163221155 \h </w:instrText>
            </w:r>
            <w:r>
              <w:rPr>
                <w:noProof/>
                <w:webHidden/>
              </w:rPr>
            </w:r>
            <w:r>
              <w:rPr>
                <w:noProof/>
                <w:webHidden/>
              </w:rPr>
              <w:fldChar w:fldCharType="separate"/>
            </w:r>
            <w:r w:rsidR="002178D6">
              <w:rPr>
                <w:noProof/>
                <w:webHidden/>
              </w:rPr>
              <w:t>11</w:t>
            </w:r>
            <w:r>
              <w:rPr>
                <w:noProof/>
                <w:webHidden/>
              </w:rPr>
              <w:fldChar w:fldCharType="end"/>
            </w:r>
          </w:hyperlink>
        </w:p>
        <w:p w14:paraId="4D0673C9" w14:textId="696C9C06" w:rsidR="00347BF7" w:rsidRDefault="00347BF7">
          <w:pPr>
            <w:pStyle w:val="TOC3"/>
            <w:tabs>
              <w:tab w:val="left" w:pos="1100"/>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163221156" w:history="1">
            <w:r w:rsidRPr="00585732">
              <w:rPr>
                <w:rStyle w:val="Hyperlink"/>
                <w:noProof/>
              </w:rPr>
              <w:t>1.2.</w:t>
            </w:r>
            <w:r>
              <w:rPr>
                <w:rFonts w:asciiTheme="minorHAnsi" w:eastAsiaTheme="minorEastAsia" w:hAnsiTheme="minorHAnsi" w:cstheme="minorBidi"/>
                <w:noProof/>
                <w:kern w:val="2"/>
                <w:sz w:val="22"/>
                <w:szCs w:val="22"/>
                <w:lang w:eastAsia="en-AU"/>
                <w14:ligatures w14:val="standardContextual"/>
              </w:rPr>
              <w:tab/>
            </w:r>
            <w:r w:rsidRPr="00585732">
              <w:rPr>
                <w:rStyle w:val="Hyperlink"/>
                <w:noProof/>
              </w:rPr>
              <w:t>Context to the Review</w:t>
            </w:r>
            <w:r>
              <w:rPr>
                <w:noProof/>
                <w:webHidden/>
              </w:rPr>
              <w:tab/>
            </w:r>
            <w:r>
              <w:rPr>
                <w:noProof/>
                <w:webHidden/>
              </w:rPr>
              <w:fldChar w:fldCharType="begin"/>
            </w:r>
            <w:r>
              <w:rPr>
                <w:noProof/>
                <w:webHidden/>
              </w:rPr>
              <w:instrText xml:space="preserve"> PAGEREF _Toc163221156 \h </w:instrText>
            </w:r>
            <w:r>
              <w:rPr>
                <w:noProof/>
                <w:webHidden/>
              </w:rPr>
            </w:r>
            <w:r>
              <w:rPr>
                <w:noProof/>
                <w:webHidden/>
              </w:rPr>
              <w:fldChar w:fldCharType="separate"/>
            </w:r>
            <w:r w:rsidR="002178D6">
              <w:rPr>
                <w:noProof/>
                <w:webHidden/>
              </w:rPr>
              <w:t>12</w:t>
            </w:r>
            <w:r>
              <w:rPr>
                <w:noProof/>
                <w:webHidden/>
              </w:rPr>
              <w:fldChar w:fldCharType="end"/>
            </w:r>
          </w:hyperlink>
        </w:p>
        <w:p w14:paraId="0B94C4F5" w14:textId="550CD5D2" w:rsidR="00347BF7" w:rsidRDefault="00347BF7">
          <w:pPr>
            <w:pStyle w:val="TOC3"/>
            <w:tabs>
              <w:tab w:val="left" w:pos="1100"/>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163221157" w:history="1">
            <w:r w:rsidRPr="00585732">
              <w:rPr>
                <w:rStyle w:val="Hyperlink"/>
                <w:noProof/>
              </w:rPr>
              <w:t>1.3.</w:t>
            </w:r>
            <w:r>
              <w:rPr>
                <w:rFonts w:asciiTheme="minorHAnsi" w:eastAsiaTheme="minorEastAsia" w:hAnsiTheme="minorHAnsi" w:cstheme="minorBidi"/>
                <w:noProof/>
                <w:kern w:val="2"/>
                <w:sz w:val="22"/>
                <w:szCs w:val="22"/>
                <w:lang w:eastAsia="en-AU"/>
                <w14:ligatures w14:val="standardContextual"/>
              </w:rPr>
              <w:tab/>
            </w:r>
            <w:r w:rsidRPr="00585732">
              <w:rPr>
                <w:rStyle w:val="Hyperlink"/>
                <w:noProof/>
              </w:rPr>
              <w:t>Terms of Reference for the ODTP PMR</w:t>
            </w:r>
            <w:r>
              <w:rPr>
                <w:noProof/>
                <w:webHidden/>
              </w:rPr>
              <w:tab/>
            </w:r>
            <w:r>
              <w:rPr>
                <w:noProof/>
                <w:webHidden/>
              </w:rPr>
              <w:fldChar w:fldCharType="begin"/>
            </w:r>
            <w:r>
              <w:rPr>
                <w:noProof/>
                <w:webHidden/>
              </w:rPr>
              <w:instrText xml:space="preserve"> PAGEREF _Toc163221157 \h </w:instrText>
            </w:r>
            <w:r>
              <w:rPr>
                <w:noProof/>
                <w:webHidden/>
              </w:rPr>
            </w:r>
            <w:r>
              <w:rPr>
                <w:noProof/>
                <w:webHidden/>
              </w:rPr>
              <w:fldChar w:fldCharType="separate"/>
            </w:r>
            <w:r w:rsidR="002178D6">
              <w:rPr>
                <w:noProof/>
                <w:webHidden/>
              </w:rPr>
              <w:t>13</w:t>
            </w:r>
            <w:r>
              <w:rPr>
                <w:noProof/>
                <w:webHidden/>
              </w:rPr>
              <w:fldChar w:fldCharType="end"/>
            </w:r>
          </w:hyperlink>
        </w:p>
        <w:p w14:paraId="6554A3CC" w14:textId="3B9194CE" w:rsidR="00347BF7" w:rsidRDefault="00347BF7">
          <w:pPr>
            <w:pStyle w:val="TOC3"/>
            <w:tabs>
              <w:tab w:val="left" w:pos="1100"/>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163221158" w:history="1">
            <w:r w:rsidRPr="00585732">
              <w:rPr>
                <w:rStyle w:val="Hyperlink"/>
                <w:noProof/>
              </w:rPr>
              <w:t>1.4.</w:t>
            </w:r>
            <w:r>
              <w:rPr>
                <w:rFonts w:asciiTheme="minorHAnsi" w:eastAsiaTheme="minorEastAsia" w:hAnsiTheme="minorHAnsi" w:cstheme="minorBidi"/>
                <w:noProof/>
                <w:kern w:val="2"/>
                <w:sz w:val="22"/>
                <w:szCs w:val="22"/>
                <w:lang w:eastAsia="en-AU"/>
                <w14:ligatures w14:val="standardContextual"/>
              </w:rPr>
              <w:tab/>
            </w:r>
            <w:r w:rsidRPr="00585732">
              <w:rPr>
                <w:rStyle w:val="Hyperlink"/>
                <w:noProof/>
              </w:rPr>
              <w:t>Review Process</w:t>
            </w:r>
            <w:r>
              <w:rPr>
                <w:noProof/>
                <w:webHidden/>
              </w:rPr>
              <w:tab/>
            </w:r>
            <w:r>
              <w:rPr>
                <w:noProof/>
                <w:webHidden/>
              </w:rPr>
              <w:fldChar w:fldCharType="begin"/>
            </w:r>
            <w:r>
              <w:rPr>
                <w:noProof/>
                <w:webHidden/>
              </w:rPr>
              <w:instrText xml:space="preserve"> PAGEREF _Toc163221158 \h </w:instrText>
            </w:r>
            <w:r>
              <w:rPr>
                <w:noProof/>
                <w:webHidden/>
              </w:rPr>
            </w:r>
            <w:r>
              <w:rPr>
                <w:noProof/>
                <w:webHidden/>
              </w:rPr>
              <w:fldChar w:fldCharType="separate"/>
            </w:r>
            <w:r w:rsidR="002178D6">
              <w:rPr>
                <w:noProof/>
                <w:webHidden/>
              </w:rPr>
              <w:t>14</w:t>
            </w:r>
            <w:r>
              <w:rPr>
                <w:noProof/>
                <w:webHidden/>
              </w:rPr>
              <w:fldChar w:fldCharType="end"/>
            </w:r>
          </w:hyperlink>
        </w:p>
        <w:p w14:paraId="7B1CBD2C" w14:textId="21F57584" w:rsidR="00347BF7" w:rsidRDefault="00347BF7">
          <w:pPr>
            <w:pStyle w:val="TOC3"/>
            <w:tabs>
              <w:tab w:val="left" w:pos="1100"/>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163221159" w:history="1">
            <w:r w:rsidRPr="00585732">
              <w:rPr>
                <w:rStyle w:val="Hyperlink"/>
                <w:noProof/>
              </w:rPr>
              <w:t>1.5.</w:t>
            </w:r>
            <w:r>
              <w:rPr>
                <w:rFonts w:asciiTheme="minorHAnsi" w:eastAsiaTheme="minorEastAsia" w:hAnsiTheme="minorHAnsi" w:cstheme="minorBidi"/>
                <w:noProof/>
                <w:kern w:val="2"/>
                <w:sz w:val="22"/>
                <w:szCs w:val="22"/>
                <w:lang w:eastAsia="en-AU"/>
                <w14:ligatures w14:val="standardContextual"/>
              </w:rPr>
              <w:tab/>
            </w:r>
            <w:r w:rsidRPr="00585732">
              <w:rPr>
                <w:rStyle w:val="Hyperlink"/>
                <w:noProof/>
              </w:rPr>
              <w:t>Review methodology</w:t>
            </w:r>
            <w:r>
              <w:rPr>
                <w:noProof/>
                <w:webHidden/>
              </w:rPr>
              <w:tab/>
            </w:r>
            <w:r>
              <w:rPr>
                <w:noProof/>
                <w:webHidden/>
              </w:rPr>
              <w:fldChar w:fldCharType="begin"/>
            </w:r>
            <w:r>
              <w:rPr>
                <w:noProof/>
                <w:webHidden/>
              </w:rPr>
              <w:instrText xml:space="preserve"> PAGEREF _Toc163221159 \h </w:instrText>
            </w:r>
            <w:r>
              <w:rPr>
                <w:noProof/>
                <w:webHidden/>
              </w:rPr>
            </w:r>
            <w:r>
              <w:rPr>
                <w:noProof/>
                <w:webHidden/>
              </w:rPr>
              <w:fldChar w:fldCharType="separate"/>
            </w:r>
            <w:r w:rsidR="002178D6">
              <w:rPr>
                <w:noProof/>
                <w:webHidden/>
              </w:rPr>
              <w:t>16</w:t>
            </w:r>
            <w:r>
              <w:rPr>
                <w:noProof/>
                <w:webHidden/>
              </w:rPr>
              <w:fldChar w:fldCharType="end"/>
            </w:r>
          </w:hyperlink>
        </w:p>
        <w:p w14:paraId="189228B0" w14:textId="74F531BE" w:rsidR="00347BF7" w:rsidRDefault="00347BF7">
          <w:pPr>
            <w:pStyle w:val="TOC2"/>
            <w:tabs>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163221160" w:history="1">
            <w:r w:rsidRPr="00585732">
              <w:rPr>
                <w:rStyle w:val="Hyperlink"/>
                <w:noProof/>
              </w:rPr>
              <w:t>Part 1B: Treatment of opioid dependence</w:t>
            </w:r>
            <w:r>
              <w:rPr>
                <w:noProof/>
                <w:webHidden/>
              </w:rPr>
              <w:tab/>
            </w:r>
            <w:r>
              <w:rPr>
                <w:noProof/>
                <w:webHidden/>
              </w:rPr>
              <w:fldChar w:fldCharType="begin"/>
            </w:r>
            <w:r>
              <w:rPr>
                <w:noProof/>
                <w:webHidden/>
              </w:rPr>
              <w:instrText xml:space="preserve"> PAGEREF _Toc163221160 \h </w:instrText>
            </w:r>
            <w:r>
              <w:rPr>
                <w:noProof/>
                <w:webHidden/>
              </w:rPr>
            </w:r>
            <w:r>
              <w:rPr>
                <w:noProof/>
                <w:webHidden/>
              </w:rPr>
              <w:fldChar w:fldCharType="separate"/>
            </w:r>
            <w:r w:rsidR="002178D6">
              <w:rPr>
                <w:noProof/>
                <w:webHidden/>
              </w:rPr>
              <w:t>19</w:t>
            </w:r>
            <w:r>
              <w:rPr>
                <w:noProof/>
                <w:webHidden/>
              </w:rPr>
              <w:fldChar w:fldCharType="end"/>
            </w:r>
          </w:hyperlink>
        </w:p>
        <w:p w14:paraId="3A2FAA66" w14:textId="068E3645" w:rsidR="00347BF7" w:rsidRDefault="00347BF7">
          <w:pPr>
            <w:pStyle w:val="TOC3"/>
            <w:tabs>
              <w:tab w:val="left" w:pos="1100"/>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163221161" w:history="1">
            <w:r w:rsidRPr="00585732">
              <w:rPr>
                <w:rStyle w:val="Hyperlink"/>
                <w:noProof/>
              </w:rPr>
              <w:t>1.6.</w:t>
            </w:r>
            <w:r>
              <w:rPr>
                <w:rFonts w:asciiTheme="minorHAnsi" w:eastAsiaTheme="minorEastAsia" w:hAnsiTheme="minorHAnsi" w:cstheme="minorBidi"/>
                <w:noProof/>
                <w:kern w:val="2"/>
                <w:sz w:val="22"/>
                <w:szCs w:val="22"/>
                <w:lang w:eastAsia="en-AU"/>
                <w14:ligatures w14:val="standardContextual"/>
              </w:rPr>
              <w:tab/>
            </w:r>
            <w:r w:rsidRPr="00585732">
              <w:rPr>
                <w:rStyle w:val="Hyperlink"/>
                <w:noProof/>
              </w:rPr>
              <w:t>Medicines for the treatment of opioid dependence</w:t>
            </w:r>
            <w:r>
              <w:rPr>
                <w:noProof/>
                <w:webHidden/>
              </w:rPr>
              <w:tab/>
            </w:r>
            <w:r>
              <w:rPr>
                <w:noProof/>
                <w:webHidden/>
              </w:rPr>
              <w:fldChar w:fldCharType="begin"/>
            </w:r>
            <w:r>
              <w:rPr>
                <w:noProof/>
                <w:webHidden/>
              </w:rPr>
              <w:instrText xml:space="preserve"> PAGEREF _Toc163221161 \h </w:instrText>
            </w:r>
            <w:r>
              <w:rPr>
                <w:noProof/>
                <w:webHidden/>
              </w:rPr>
            </w:r>
            <w:r>
              <w:rPr>
                <w:noProof/>
                <w:webHidden/>
              </w:rPr>
              <w:fldChar w:fldCharType="separate"/>
            </w:r>
            <w:r w:rsidR="002178D6">
              <w:rPr>
                <w:noProof/>
                <w:webHidden/>
              </w:rPr>
              <w:t>19</w:t>
            </w:r>
            <w:r>
              <w:rPr>
                <w:noProof/>
                <w:webHidden/>
              </w:rPr>
              <w:fldChar w:fldCharType="end"/>
            </w:r>
          </w:hyperlink>
        </w:p>
        <w:p w14:paraId="51A8E950" w14:textId="4DCD13C9" w:rsidR="00347BF7" w:rsidRDefault="00347BF7">
          <w:pPr>
            <w:pStyle w:val="TOC3"/>
            <w:tabs>
              <w:tab w:val="left" w:pos="1100"/>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163221162" w:history="1">
            <w:r w:rsidRPr="00585732">
              <w:rPr>
                <w:rStyle w:val="Hyperlink"/>
                <w:noProof/>
              </w:rPr>
              <w:t>1.7.</w:t>
            </w:r>
            <w:r>
              <w:rPr>
                <w:rFonts w:asciiTheme="minorHAnsi" w:eastAsiaTheme="minorEastAsia" w:hAnsiTheme="minorHAnsi" w:cstheme="minorBidi"/>
                <w:noProof/>
                <w:kern w:val="2"/>
                <w:sz w:val="22"/>
                <w:szCs w:val="22"/>
                <w:lang w:eastAsia="en-AU"/>
                <w14:ligatures w14:val="standardContextual"/>
              </w:rPr>
              <w:tab/>
            </w:r>
            <w:r w:rsidRPr="00585732">
              <w:rPr>
                <w:rStyle w:val="Hyperlink"/>
                <w:noProof/>
              </w:rPr>
              <w:t>The PBS Opioid Dependence Treatment Program</w:t>
            </w:r>
            <w:r>
              <w:rPr>
                <w:noProof/>
                <w:webHidden/>
              </w:rPr>
              <w:tab/>
            </w:r>
            <w:r>
              <w:rPr>
                <w:noProof/>
                <w:webHidden/>
              </w:rPr>
              <w:fldChar w:fldCharType="begin"/>
            </w:r>
            <w:r>
              <w:rPr>
                <w:noProof/>
                <w:webHidden/>
              </w:rPr>
              <w:instrText xml:space="preserve"> PAGEREF _Toc163221162 \h </w:instrText>
            </w:r>
            <w:r>
              <w:rPr>
                <w:noProof/>
                <w:webHidden/>
              </w:rPr>
            </w:r>
            <w:r>
              <w:rPr>
                <w:noProof/>
                <w:webHidden/>
              </w:rPr>
              <w:fldChar w:fldCharType="separate"/>
            </w:r>
            <w:r w:rsidR="002178D6">
              <w:rPr>
                <w:noProof/>
                <w:webHidden/>
              </w:rPr>
              <w:t>22</w:t>
            </w:r>
            <w:r>
              <w:rPr>
                <w:noProof/>
                <w:webHidden/>
              </w:rPr>
              <w:fldChar w:fldCharType="end"/>
            </w:r>
          </w:hyperlink>
        </w:p>
        <w:p w14:paraId="580B8F3B" w14:textId="051207AF" w:rsidR="00347BF7" w:rsidRDefault="00347BF7">
          <w:pPr>
            <w:pStyle w:val="TOC2"/>
            <w:tabs>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163221163" w:history="1">
            <w:r w:rsidRPr="00585732">
              <w:rPr>
                <w:rStyle w:val="Hyperlink"/>
                <w:noProof/>
              </w:rPr>
              <w:t>Part 2: TOR 1: Essential elements of models of service delivery of ODT</w:t>
            </w:r>
            <w:r>
              <w:rPr>
                <w:noProof/>
                <w:webHidden/>
              </w:rPr>
              <w:tab/>
            </w:r>
            <w:r>
              <w:rPr>
                <w:noProof/>
                <w:webHidden/>
              </w:rPr>
              <w:fldChar w:fldCharType="begin"/>
            </w:r>
            <w:r>
              <w:rPr>
                <w:noProof/>
                <w:webHidden/>
              </w:rPr>
              <w:instrText xml:space="preserve"> PAGEREF _Toc163221163 \h </w:instrText>
            </w:r>
            <w:r>
              <w:rPr>
                <w:noProof/>
                <w:webHidden/>
              </w:rPr>
            </w:r>
            <w:r>
              <w:rPr>
                <w:noProof/>
                <w:webHidden/>
              </w:rPr>
              <w:fldChar w:fldCharType="separate"/>
            </w:r>
            <w:r w:rsidR="002178D6">
              <w:rPr>
                <w:noProof/>
                <w:webHidden/>
              </w:rPr>
              <w:t>26</w:t>
            </w:r>
            <w:r>
              <w:rPr>
                <w:noProof/>
                <w:webHidden/>
              </w:rPr>
              <w:fldChar w:fldCharType="end"/>
            </w:r>
          </w:hyperlink>
        </w:p>
        <w:p w14:paraId="4E82BD39" w14:textId="4229629A" w:rsidR="00347BF7" w:rsidRDefault="00347BF7">
          <w:pPr>
            <w:pStyle w:val="TOC3"/>
            <w:tabs>
              <w:tab w:val="left" w:pos="1100"/>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163221164" w:history="1">
            <w:r w:rsidRPr="00585732">
              <w:rPr>
                <w:rStyle w:val="Hyperlink"/>
                <w:noProof/>
              </w:rPr>
              <w:t>2.4.</w:t>
            </w:r>
            <w:r>
              <w:rPr>
                <w:rFonts w:asciiTheme="minorHAnsi" w:eastAsiaTheme="minorEastAsia" w:hAnsiTheme="minorHAnsi" w:cstheme="minorBidi"/>
                <w:noProof/>
                <w:kern w:val="2"/>
                <w:sz w:val="22"/>
                <w:szCs w:val="22"/>
                <w:lang w:eastAsia="en-AU"/>
                <w14:ligatures w14:val="standardContextual"/>
              </w:rPr>
              <w:tab/>
            </w:r>
            <w:r w:rsidRPr="00585732">
              <w:rPr>
                <w:rStyle w:val="Hyperlink"/>
                <w:noProof/>
              </w:rPr>
              <w:t>TOR 1 Key findings</w:t>
            </w:r>
            <w:r>
              <w:rPr>
                <w:noProof/>
                <w:webHidden/>
              </w:rPr>
              <w:tab/>
            </w:r>
            <w:r>
              <w:rPr>
                <w:noProof/>
                <w:webHidden/>
              </w:rPr>
              <w:fldChar w:fldCharType="begin"/>
            </w:r>
            <w:r>
              <w:rPr>
                <w:noProof/>
                <w:webHidden/>
              </w:rPr>
              <w:instrText xml:space="preserve"> PAGEREF _Toc163221164 \h </w:instrText>
            </w:r>
            <w:r>
              <w:rPr>
                <w:noProof/>
                <w:webHidden/>
              </w:rPr>
            </w:r>
            <w:r>
              <w:rPr>
                <w:noProof/>
                <w:webHidden/>
              </w:rPr>
              <w:fldChar w:fldCharType="separate"/>
            </w:r>
            <w:r w:rsidR="002178D6">
              <w:rPr>
                <w:noProof/>
                <w:webHidden/>
              </w:rPr>
              <w:t>26</w:t>
            </w:r>
            <w:r>
              <w:rPr>
                <w:noProof/>
                <w:webHidden/>
              </w:rPr>
              <w:fldChar w:fldCharType="end"/>
            </w:r>
          </w:hyperlink>
        </w:p>
        <w:p w14:paraId="08A2180A" w14:textId="6B12B21E" w:rsidR="00347BF7" w:rsidRDefault="00347BF7">
          <w:pPr>
            <w:pStyle w:val="TOC3"/>
            <w:tabs>
              <w:tab w:val="left" w:pos="1100"/>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163221165" w:history="1">
            <w:r w:rsidRPr="00585732">
              <w:rPr>
                <w:rStyle w:val="Hyperlink"/>
                <w:noProof/>
              </w:rPr>
              <w:t>2.5.</w:t>
            </w:r>
            <w:r>
              <w:rPr>
                <w:rFonts w:asciiTheme="minorHAnsi" w:eastAsiaTheme="minorEastAsia" w:hAnsiTheme="minorHAnsi" w:cstheme="minorBidi"/>
                <w:noProof/>
                <w:kern w:val="2"/>
                <w:sz w:val="22"/>
                <w:szCs w:val="22"/>
                <w:lang w:eastAsia="en-AU"/>
                <w14:ligatures w14:val="standardContextual"/>
              </w:rPr>
              <w:tab/>
            </w:r>
            <w:r w:rsidRPr="00585732">
              <w:rPr>
                <w:rStyle w:val="Hyperlink"/>
                <w:noProof/>
              </w:rPr>
              <w:t>Overview of stakeholder views for TOR 1</w:t>
            </w:r>
            <w:r>
              <w:rPr>
                <w:noProof/>
                <w:webHidden/>
              </w:rPr>
              <w:tab/>
            </w:r>
            <w:r>
              <w:rPr>
                <w:noProof/>
                <w:webHidden/>
              </w:rPr>
              <w:fldChar w:fldCharType="begin"/>
            </w:r>
            <w:r>
              <w:rPr>
                <w:noProof/>
                <w:webHidden/>
              </w:rPr>
              <w:instrText xml:space="preserve"> PAGEREF _Toc163221165 \h </w:instrText>
            </w:r>
            <w:r>
              <w:rPr>
                <w:noProof/>
                <w:webHidden/>
              </w:rPr>
            </w:r>
            <w:r>
              <w:rPr>
                <w:noProof/>
                <w:webHidden/>
              </w:rPr>
              <w:fldChar w:fldCharType="separate"/>
            </w:r>
            <w:r w:rsidR="002178D6">
              <w:rPr>
                <w:noProof/>
                <w:webHidden/>
              </w:rPr>
              <w:t>28</w:t>
            </w:r>
            <w:r>
              <w:rPr>
                <w:noProof/>
                <w:webHidden/>
              </w:rPr>
              <w:fldChar w:fldCharType="end"/>
            </w:r>
          </w:hyperlink>
        </w:p>
        <w:p w14:paraId="4D80F36D" w14:textId="3697199B" w:rsidR="00347BF7" w:rsidRDefault="00347BF7">
          <w:pPr>
            <w:pStyle w:val="TOC3"/>
            <w:tabs>
              <w:tab w:val="left" w:pos="1100"/>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163221166" w:history="1">
            <w:r w:rsidRPr="00585732">
              <w:rPr>
                <w:rStyle w:val="Hyperlink"/>
                <w:rFonts w:cstheme="minorHAnsi"/>
                <w:noProof/>
              </w:rPr>
              <w:t>2.6.</w:t>
            </w:r>
            <w:r>
              <w:rPr>
                <w:rFonts w:asciiTheme="minorHAnsi" w:eastAsiaTheme="minorEastAsia" w:hAnsiTheme="minorHAnsi" w:cstheme="minorBidi"/>
                <w:noProof/>
                <w:kern w:val="2"/>
                <w:sz w:val="22"/>
                <w:szCs w:val="22"/>
                <w:lang w:eastAsia="en-AU"/>
                <w14:ligatures w14:val="standardContextual"/>
              </w:rPr>
              <w:tab/>
            </w:r>
            <w:r w:rsidRPr="00585732">
              <w:rPr>
                <w:rStyle w:val="Hyperlink"/>
                <w:rFonts w:cstheme="minorHAnsi"/>
                <w:noProof/>
              </w:rPr>
              <w:t>Literature Review - Characteristics of ODT consumers across Australia</w:t>
            </w:r>
            <w:r>
              <w:rPr>
                <w:noProof/>
                <w:webHidden/>
              </w:rPr>
              <w:tab/>
            </w:r>
            <w:r>
              <w:rPr>
                <w:noProof/>
                <w:webHidden/>
              </w:rPr>
              <w:fldChar w:fldCharType="begin"/>
            </w:r>
            <w:r>
              <w:rPr>
                <w:noProof/>
                <w:webHidden/>
              </w:rPr>
              <w:instrText xml:space="preserve"> PAGEREF _Toc163221166 \h </w:instrText>
            </w:r>
            <w:r>
              <w:rPr>
                <w:noProof/>
                <w:webHidden/>
              </w:rPr>
            </w:r>
            <w:r>
              <w:rPr>
                <w:noProof/>
                <w:webHidden/>
              </w:rPr>
              <w:fldChar w:fldCharType="separate"/>
            </w:r>
            <w:r w:rsidR="002178D6">
              <w:rPr>
                <w:noProof/>
                <w:webHidden/>
              </w:rPr>
              <w:t>28</w:t>
            </w:r>
            <w:r>
              <w:rPr>
                <w:noProof/>
                <w:webHidden/>
              </w:rPr>
              <w:fldChar w:fldCharType="end"/>
            </w:r>
          </w:hyperlink>
        </w:p>
        <w:p w14:paraId="6707747D" w14:textId="635D070D" w:rsidR="00347BF7" w:rsidRDefault="00347BF7">
          <w:pPr>
            <w:pStyle w:val="TOC3"/>
            <w:tabs>
              <w:tab w:val="left" w:pos="1100"/>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163221167" w:history="1">
            <w:r w:rsidRPr="00585732">
              <w:rPr>
                <w:rStyle w:val="Hyperlink"/>
                <w:noProof/>
              </w:rPr>
              <w:t>2.7.</w:t>
            </w:r>
            <w:r>
              <w:rPr>
                <w:rFonts w:asciiTheme="minorHAnsi" w:eastAsiaTheme="minorEastAsia" w:hAnsiTheme="minorHAnsi" w:cstheme="minorBidi"/>
                <w:noProof/>
                <w:kern w:val="2"/>
                <w:sz w:val="22"/>
                <w:szCs w:val="22"/>
                <w:lang w:eastAsia="en-AU"/>
                <w14:ligatures w14:val="standardContextual"/>
              </w:rPr>
              <w:tab/>
            </w:r>
            <w:r w:rsidRPr="00585732">
              <w:rPr>
                <w:rStyle w:val="Hyperlink"/>
                <w:noProof/>
              </w:rPr>
              <w:t>Literature Review – Australia and international guidelines</w:t>
            </w:r>
            <w:r>
              <w:rPr>
                <w:noProof/>
                <w:webHidden/>
              </w:rPr>
              <w:tab/>
            </w:r>
            <w:r>
              <w:rPr>
                <w:noProof/>
                <w:webHidden/>
              </w:rPr>
              <w:fldChar w:fldCharType="begin"/>
            </w:r>
            <w:r>
              <w:rPr>
                <w:noProof/>
                <w:webHidden/>
              </w:rPr>
              <w:instrText xml:space="preserve"> PAGEREF _Toc163221167 \h </w:instrText>
            </w:r>
            <w:r>
              <w:rPr>
                <w:noProof/>
                <w:webHidden/>
              </w:rPr>
            </w:r>
            <w:r>
              <w:rPr>
                <w:noProof/>
                <w:webHidden/>
              </w:rPr>
              <w:fldChar w:fldCharType="separate"/>
            </w:r>
            <w:r w:rsidR="002178D6">
              <w:rPr>
                <w:noProof/>
                <w:webHidden/>
              </w:rPr>
              <w:t>31</w:t>
            </w:r>
            <w:r>
              <w:rPr>
                <w:noProof/>
                <w:webHidden/>
              </w:rPr>
              <w:fldChar w:fldCharType="end"/>
            </w:r>
          </w:hyperlink>
        </w:p>
        <w:p w14:paraId="240CBBB9" w14:textId="11A32B93" w:rsidR="00347BF7" w:rsidRDefault="00347BF7">
          <w:pPr>
            <w:pStyle w:val="TOC3"/>
            <w:tabs>
              <w:tab w:val="left" w:pos="1100"/>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163221168" w:history="1">
            <w:r w:rsidRPr="00585732">
              <w:rPr>
                <w:rStyle w:val="Hyperlink"/>
                <w:rFonts w:eastAsia="Calibri"/>
                <w:noProof/>
              </w:rPr>
              <w:t>2.8.</w:t>
            </w:r>
            <w:r>
              <w:rPr>
                <w:rFonts w:asciiTheme="minorHAnsi" w:eastAsiaTheme="minorEastAsia" w:hAnsiTheme="minorHAnsi" w:cstheme="minorBidi"/>
                <w:noProof/>
                <w:kern w:val="2"/>
                <w:sz w:val="22"/>
                <w:szCs w:val="22"/>
                <w:lang w:eastAsia="en-AU"/>
                <w14:ligatures w14:val="standardContextual"/>
              </w:rPr>
              <w:tab/>
            </w:r>
            <w:r w:rsidRPr="00585732">
              <w:rPr>
                <w:rStyle w:val="Hyperlink"/>
                <w:rFonts w:eastAsia="Calibri"/>
                <w:noProof/>
              </w:rPr>
              <w:t>Literature Review - Changes arising from the PBS listing of LAIB</w:t>
            </w:r>
            <w:r>
              <w:rPr>
                <w:noProof/>
                <w:webHidden/>
              </w:rPr>
              <w:tab/>
            </w:r>
            <w:r>
              <w:rPr>
                <w:noProof/>
                <w:webHidden/>
              </w:rPr>
              <w:fldChar w:fldCharType="begin"/>
            </w:r>
            <w:r>
              <w:rPr>
                <w:noProof/>
                <w:webHidden/>
              </w:rPr>
              <w:instrText xml:space="preserve"> PAGEREF _Toc163221168 \h </w:instrText>
            </w:r>
            <w:r>
              <w:rPr>
                <w:noProof/>
                <w:webHidden/>
              </w:rPr>
            </w:r>
            <w:r>
              <w:rPr>
                <w:noProof/>
                <w:webHidden/>
              </w:rPr>
              <w:fldChar w:fldCharType="separate"/>
            </w:r>
            <w:r w:rsidR="002178D6">
              <w:rPr>
                <w:noProof/>
                <w:webHidden/>
              </w:rPr>
              <w:t>42</w:t>
            </w:r>
            <w:r>
              <w:rPr>
                <w:noProof/>
                <w:webHidden/>
              </w:rPr>
              <w:fldChar w:fldCharType="end"/>
            </w:r>
          </w:hyperlink>
        </w:p>
        <w:p w14:paraId="178A79A8" w14:textId="06D8EC29" w:rsidR="00347BF7" w:rsidRDefault="00347BF7">
          <w:pPr>
            <w:pStyle w:val="TOC3"/>
            <w:tabs>
              <w:tab w:val="left" w:pos="1100"/>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163221169" w:history="1">
            <w:r w:rsidRPr="00585732">
              <w:rPr>
                <w:rStyle w:val="Hyperlink"/>
                <w:noProof/>
              </w:rPr>
              <w:t>2.9.</w:t>
            </w:r>
            <w:r>
              <w:rPr>
                <w:rFonts w:asciiTheme="minorHAnsi" w:eastAsiaTheme="minorEastAsia" w:hAnsiTheme="minorHAnsi" w:cstheme="minorBidi"/>
                <w:noProof/>
                <w:kern w:val="2"/>
                <w:sz w:val="22"/>
                <w:szCs w:val="22"/>
                <w:lang w:eastAsia="en-AU"/>
                <w14:ligatures w14:val="standardContextual"/>
              </w:rPr>
              <w:tab/>
            </w:r>
            <w:r w:rsidRPr="00585732">
              <w:rPr>
                <w:rStyle w:val="Hyperlink"/>
                <w:noProof/>
              </w:rPr>
              <w:t>Essential elements of ODT service delivery models</w:t>
            </w:r>
            <w:r>
              <w:rPr>
                <w:noProof/>
                <w:webHidden/>
              </w:rPr>
              <w:tab/>
            </w:r>
            <w:r>
              <w:rPr>
                <w:noProof/>
                <w:webHidden/>
              </w:rPr>
              <w:fldChar w:fldCharType="begin"/>
            </w:r>
            <w:r>
              <w:rPr>
                <w:noProof/>
                <w:webHidden/>
              </w:rPr>
              <w:instrText xml:space="preserve"> PAGEREF _Toc163221169 \h </w:instrText>
            </w:r>
            <w:r>
              <w:rPr>
                <w:noProof/>
                <w:webHidden/>
              </w:rPr>
            </w:r>
            <w:r>
              <w:rPr>
                <w:noProof/>
                <w:webHidden/>
              </w:rPr>
              <w:fldChar w:fldCharType="separate"/>
            </w:r>
            <w:r w:rsidR="002178D6">
              <w:rPr>
                <w:noProof/>
                <w:webHidden/>
              </w:rPr>
              <w:t>50</w:t>
            </w:r>
            <w:r>
              <w:rPr>
                <w:noProof/>
                <w:webHidden/>
              </w:rPr>
              <w:fldChar w:fldCharType="end"/>
            </w:r>
          </w:hyperlink>
        </w:p>
        <w:p w14:paraId="3669E684" w14:textId="5A59B21C" w:rsidR="00347BF7" w:rsidRDefault="00347BF7">
          <w:pPr>
            <w:pStyle w:val="TOC2"/>
            <w:tabs>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163221170" w:history="1">
            <w:r w:rsidRPr="00585732">
              <w:rPr>
                <w:rStyle w:val="Hyperlink"/>
                <w:noProof/>
              </w:rPr>
              <w:t>Part 3: TOR 2: Consumer experience of ODT</w:t>
            </w:r>
            <w:r>
              <w:rPr>
                <w:noProof/>
                <w:webHidden/>
              </w:rPr>
              <w:tab/>
            </w:r>
            <w:r>
              <w:rPr>
                <w:noProof/>
                <w:webHidden/>
              </w:rPr>
              <w:fldChar w:fldCharType="begin"/>
            </w:r>
            <w:r>
              <w:rPr>
                <w:noProof/>
                <w:webHidden/>
              </w:rPr>
              <w:instrText xml:space="preserve"> PAGEREF _Toc163221170 \h </w:instrText>
            </w:r>
            <w:r>
              <w:rPr>
                <w:noProof/>
                <w:webHidden/>
              </w:rPr>
            </w:r>
            <w:r>
              <w:rPr>
                <w:noProof/>
                <w:webHidden/>
              </w:rPr>
              <w:fldChar w:fldCharType="separate"/>
            </w:r>
            <w:r w:rsidR="002178D6">
              <w:rPr>
                <w:noProof/>
                <w:webHidden/>
              </w:rPr>
              <w:t>51</w:t>
            </w:r>
            <w:r>
              <w:rPr>
                <w:noProof/>
                <w:webHidden/>
              </w:rPr>
              <w:fldChar w:fldCharType="end"/>
            </w:r>
          </w:hyperlink>
        </w:p>
        <w:p w14:paraId="17BD308B" w14:textId="70DD0BBD" w:rsidR="00347BF7" w:rsidRDefault="00347BF7">
          <w:pPr>
            <w:pStyle w:val="TOC3"/>
            <w:tabs>
              <w:tab w:val="left" w:pos="1100"/>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163221171" w:history="1">
            <w:r w:rsidRPr="00585732">
              <w:rPr>
                <w:rStyle w:val="Hyperlink"/>
                <w:noProof/>
              </w:rPr>
              <w:t>3.1</w:t>
            </w:r>
            <w:r>
              <w:rPr>
                <w:rFonts w:asciiTheme="minorHAnsi" w:eastAsiaTheme="minorEastAsia" w:hAnsiTheme="minorHAnsi" w:cstheme="minorBidi"/>
                <w:noProof/>
                <w:kern w:val="2"/>
                <w:sz w:val="22"/>
                <w:szCs w:val="22"/>
                <w:lang w:eastAsia="en-AU"/>
                <w14:ligatures w14:val="standardContextual"/>
              </w:rPr>
              <w:tab/>
            </w:r>
            <w:r w:rsidRPr="00585732">
              <w:rPr>
                <w:rStyle w:val="Hyperlink"/>
                <w:noProof/>
              </w:rPr>
              <w:t>TOR 2 Key findings</w:t>
            </w:r>
            <w:r>
              <w:rPr>
                <w:noProof/>
                <w:webHidden/>
              </w:rPr>
              <w:tab/>
            </w:r>
            <w:r>
              <w:rPr>
                <w:noProof/>
                <w:webHidden/>
              </w:rPr>
              <w:fldChar w:fldCharType="begin"/>
            </w:r>
            <w:r>
              <w:rPr>
                <w:noProof/>
                <w:webHidden/>
              </w:rPr>
              <w:instrText xml:space="preserve"> PAGEREF _Toc163221171 \h </w:instrText>
            </w:r>
            <w:r>
              <w:rPr>
                <w:noProof/>
                <w:webHidden/>
              </w:rPr>
            </w:r>
            <w:r>
              <w:rPr>
                <w:noProof/>
                <w:webHidden/>
              </w:rPr>
              <w:fldChar w:fldCharType="separate"/>
            </w:r>
            <w:r w:rsidR="002178D6">
              <w:rPr>
                <w:noProof/>
                <w:webHidden/>
              </w:rPr>
              <w:t>51</w:t>
            </w:r>
            <w:r>
              <w:rPr>
                <w:noProof/>
                <w:webHidden/>
              </w:rPr>
              <w:fldChar w:fldCharType="end"/>
            </w:r>
          </w:hyperlink>
        </w:p>
        <w:p w14:paraId="4FFC0F20" w14:textId="1E45E5D4" w:rsidR="00347BF7" w:rsidRDefault="00347BF7">
          <w:pPr>
            <w:pStyle w:val="TOC3"/>
            <w:tabs>
              <w:tab w:val="left" w:pos="1100"/>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163221172" w:history="1">
            <w:r w:rsidRPr="00585732">
              <w:rPr>
                <w:rStyle w:val="Hyperlink"/>
                <w:noProof/>
              </w:rPr>
              <w:t>3.2</w:t>
            </w:r>
            <w:r>
              <w:rPr>
                <w:rFonts w:asciiTheme="minorHAnsi" w:eastAsiaTheme="minorEastAsia" w:hAnsiTheme="minorHAnsi" w:cstheme="minorBidi"/>
                <w:noProof/>
                <w:kern w:val="2"/>
                <w:sz w:val="22"/>
                <w:szCs w:val="22"/>
                <w:lang w:eastAsia="en-AU"/>
                <w14:ligatures w14:val="standardContextual"/>
              </w:rPr>
              <w:tab/>
            </w:r>
            <w:r w:rsidRPr="00585732">
              <w:rPr>
                <w:rStyle w:val="Hyperlink"/>
                <w:noProof/>
              </w:rPr>
              <w:t>Overview of stakeholder views for TOR 2</w:t>
            </w:r>
            <w:r>
              <w:rPr>
                <w:noProof/>
                <w:webHidden/>
              </w:rPr>
              <w:tab/>
            </w:r>
            <w:r>
              <w:rPr>
                <w:noProof/>
                <w:webHidden/>
              </w:rPr>
              <w:fldChar w:fldCharType="begin"/>
            </w:r>
            <w:r>
              <w:rPr>
                <w:noProof/>
                <w:webHidden/>
              </w:rPr>
              <w:instrText xml:space="preserve"> PAGEREF _Toc163221172 \h </w:instrText>
            </w:r>
            <w:r>
              <w:rPr>
                <w:noProof/>
                <w:webHidden/>
              </w:rPr>
            </w:r>
            <w:r>
              <w:rPr>
                <w:noProof/>
                <w:webHidden/>
              </w:rPr>
              <w:fldChar w:fldCharType="separate"/>
            </w:r>
            <w:r w:rsidR="002178D6">
              <w:rPr>
                <w:noProof/>
                <w:webHidden/>
              </w:rPr>
              <w:t>52</w:t>
            </w:r>
            <w:r>
              <w:rPr>
                <w:noProof/>
                <w:webHidden/>
              </w:rPr>
              <w:fldChar w:fldCharType="end"/>
            </w:r>
          </w:hyperlink>
        </w:p>
        <w:p w14:paraId="13DD152C" w14:textId="50C678E4" w:rsidR="00347BF7" w:rsidRDefault="00347BF7">
          <w:pPr>
            <w:pStyle w:val="TOC3"/>
            <w:tabs>
              <w:tab w:val="left" w:pos="1100"/>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163221173" w:history="1">
            <w:r w:rsidRPr="00585732">
              <w:rPr>
                <w:rStyle w:val="Hyperlink"/>
                <w:noProof/>
              </w:rPr>
              <w:t>3.3</w:t>
            </w:r>
            <w:r>
              <w:rPr>
                <w:rFonts w:asciiTheme="minorHAnsi" w:eastAsiaTheme="minorEastAsia" w:hAnsiTheme="minorHAnsi" w:cstheme="minorBidi"/>
                <w:noProof/>
                <w:kern w:val="2"/>
                <w:sz w:val="22"/>
                <w:szCs w:val="22"/>
                <w:lang w:eastAsia="en-AU"/>
                <w14:ligatures w14:val="standardContextual"/>
              </w:rPr>
              <w:tab/>
            </w:r>
            <w:r w:rsidRPr="00585732">
              <w:rPr>
                <w:rStyle w:val="Hyperlink"/>
                <w:noProof/>
              </w:rPr>
              <w:t>Literature Review – Barriers and facilitators from a range of perspectives</w:t>
            </w:r>
            <w:r>
              <w:rPr>
                <w:noProof/>
                <w:webHidden/>
              </w:rPr>
              <w:tab/>
            </w:r>
            <w:r>
              <w:rPr>
                <w:noProof/>
                <w:webHidden/>
              </w:rPr>
              <w:fldChar w:fldCharType="begin"/>
            </w:r>
            <w:r>
              <w:rPr>
                <w:noProof/>
                <w:webHidden/>
              </w:rPr>
              <w:instrText xml:space="preserve"> PAGEREF _Toc163221173 \h </w:instrText>
            </w:r>
            <w:r>
              <w:rPr>
                <w:noProof/>
                <w:webHidden/>
              </w:rPr>
            </w:r>
            <w:r>
              <w:rPr>
                <w:noProof/>
                <w:webHidden/>
              </w:rPr>
              <w:fldChar w:fldCharType="separate"/>
            </w:r>
            <w:r w:rsidR="002178D6">
              <w:rPr>
                <w:noProof/>
                <w:webHidden/>
              </w:rPr>
              <w:t>53</w:t>
            </w:r>
            <w:r>
              <w:rPr>
                <w:noProof/>
                <w:webHidden/>
              </w:rPr>
              <w:fldChar w:fldCharType="end"/>
            </w:r>
          </w:hyperlink>
        </w:p>
        <w:p w14:paraId="2381E498" w14:textId="6EFD2C46" w:rsidR="00347BF7" w:rsidRDefault="00347BF7">
          <w:pPr>
            <w:pStyle w:val="TOC2"/>
            <w:tabs>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163221174" w:history="1">
            <w:r w:rsidRPr="00585732">
              <w:rPr>
                <w:rStyle w:val="Hyperlink"/>
                <w:noProof/>
              </w:rPr>
              <w:t>Part 4: TOR 3: Medicine Utilisation</w:t>
            </w:r>
            <w:r>
              <w:rPr>
                <w:noProof/>
                <w:webHidden/>
              </w:rPr>
              <w:tab/>
            </w:r>
            <w:r>
              <w:rPr>
                <w:noProof/>
                <w:webHidden/>
              </w:rPr>
              <w:fldChar w:fldCharType="begin"/>
            </w:r>
            <w:r>
              <w:rPr>
                <w:noProof/>
                <w:webHidden/>
              </w:rPr>
              <w:instrText xml:space="preserve"> PAGEREF _Toc163221174 \h </w:instrText>
            </w:r>
            <w:r>
              <w:rPr>
                <w:noProof/>
                <w:webHidden/>
              </w:rPr>
            </w:r>
            <w:r>
              <w:rPr>
                <w:noProof/>
                <w:webHidden/>
              </w:rPr>
              <w:fldChar w:fldCharType="separate"/>
            </w:r>
            <w:r w:rsidR="002178D6">
              <w:rPr>
                <w:noProof/>
                <w:webHidden/>
              </w:rPr>
              <w:t>61</w:t>
            </w:r>
            <w:r>
              <w:rPr>
                <w:noProof/>
                <w:webHidden/>
              </w:rPr>
              <w:fldChar w:fldCharType="end"/>
            </w:r>
          </w:hyperlink>
        </w:p>
        <w:p w14:paraId="492B6A1E" w14:textId="519BCC4E" w:rsidR="00347BF7" w:rsidRDefault="00347BF7">
          <w:pPr>
            <w:pStyle w:val="TOC3"/>
            <w:tabs>
              <w:tab w:val="left" w:pos="1100"/>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163221175" w:history="1">
            <w:r w:rsidRPr="00585732">
              <w:rPr>
                <w:rStyle w:val="Hyperlink"/>
                <w:noProof/>
              </w:rPr>
              <w:t>4.1</w:t>
            </w:r>
            <w:r>
              <w:rPr>
                <w:rFonts w:asciiTheme="minorHAnsi" w:eastAsiaTheme="minorEastAsia" w:hAnsiTheme="minorHAnsi" w:cstheme="minorBidi"/>
                <w:noProof/>
                <w:kern w:val="2"/>
                <w:sz w:val="22"/>
                <w:szCs w:val="22"/>
                <w:lang w:eastAsia="en-AU"/>
                <w14:ligatures w14:val="standardContextual"/>
              </w:rPr>
              <w:tab/>
            </w:r>
            <w:r w:rsidRPr="00585732">
              <w:rPr>
                <w:rStyle w:val="Hyperlink"/>
                <w:noProof/>
              </w:rPr>
              <w:t>TOR 3 Key findings</w:t>
            </w:r>
            <w:r>
              <w:rPr>
                <w:noProof/>
                <w:webHidden/>
              </w:rPr>
              <w:tab/>
            </w:r>
            <w:r>
              <w:rPr>
                <w:noProof/>
                <w:webHidden/>
              </w:rPr>
              <w:fldChar w:fldCharType="begin"/>
            </w:r>
            <w:r>
              <w:rPr>
                <w:noProof/>
                <w:webHidden/>
              </w:rPr>
              <w:instrText xml:space="preserve"> PAGEREF _Toc163221175 \h </w:instrText>
            </w:r>
            <w:r>
              <w:rPr>
                <w:noProof/>
                <w:webHidden/>
              </w:rPr>
            </w:r>
            <w:r>
              <w:rPr>
                <w:noProof/>
                <w:webHidden/>
              </w:rPr>
              <w:fldChar w:fldCharType="separate"/>
            </w:r>
            <w:r w:rsidR="002178D6">
              <w:rPr>
                <w:noProof/>
                <w:webHidden/>
              </w:rPr>
              <w:t>61</w:t>
            </w:r>
            <w:r>
              <w:rPr>
                <w:noProof/>
                <w:webHidden/>
              </w:rPr>
              <w:fldChar w:fldCharType="end"/>
            </w:r>
          </w:hyperlink>
        </w:p>
        <w:p w14:paraId="2192E501" w14:textId="64F5C325" w:rsidR="00347BF7" w:rsidRDefault="00347BF7">
          <w:pPr>
            <w:pStyle w:val="TOC3"/>
            <w:tabs>
              <w:tab w:val="left" w:pos="1100"/>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163221176" w:history="1">
            <w:r w:rsidRPr="00585732">
              <w:rPr>
                <w:rStyle w:val="Hyperlink"/>
                <w:noProof/>
              </w:rPr>
              <w:t>4.2</w:t>
            </w:r>
            <w:r>
              <w:rPr>
                <w:rFonts w:asciiTheme="minorHAnsi" w:eastAsiaTheme="minorEastAsia" w:hAnsiTheme="minorHAnsi" w:cstheme="minorBidi"/>
                <w:noProof/>
                <w:kern w:val="2"/>
                <w:sz w:val="22"/>
                <w:szCs w:val="22"/>
                <w:lang w:eastAsia="en-AU"/>
                <w14:ligatures w14:val="standardContextual"/>
              </w:rPr>
              <w:tab/>
            </w:r>
            <w:r w:rsidRPr="00585732">
              <w:rPr>
                <w:rStyle w:val="Hyperlink"/>
                <w:noProof/>
              </w:rPr>
              <w:t>Overview of stakeholder views for TOR 3</w:t>
            </w:r>
            <w:r>
              <w:rPr>
                <w:noProof/>
                <w:webHidden/>
              </w:rPr>
              <w:tab/>
            </w:r>
            <w:r>
              <w:rPr>
                <w:noProof/>
                <w:webHidden/>
              </w:rPr>
              <w:fldChar w:fldCharType="begin"/>
            </w:r>
            <w:r>
              <w:rPr>
                <w:noProof/>
                <w:webHidden/>
              </w:rPr>
              <w:instrText xml:space="preserve"> PAGEREF _Toc163221176 \h </w:instrText>
            </w:r>
            <w:r>
              <w:rPr>
                <w:noProof/>
                <w:webHidden/>
              </w:rPr>
            </w:r>
            <w:r>
              <w:rPr>
                <w:noProof/>
                <w:webHidden/>
              </w:rPr>
              <w:fldChar w:fldCharType="separate"/>
            </w:r>
            <w:r w:rsidR="002178D6">
              <w:rPr>
                <w:noProof/>
                <w:webHidden/>
              </w:rPr>
              <w:t>62</w:t>
            </w:r>
            <w:r>
              <w:rPr>
                <w:noProof/>
                <w:webHidden/>
              </w:rPr>
              <w:fldChar w:fldCharType="end"/>
            </w:r>
          </w:hyperlink>
        </w:p>
        <w:p w14:paraId="1B68249E" w14:textId="61A845AF" w:rsidR="00347BF7" w:rsidRDefault="00347BF7">
          <w:pPr>
            <w:pStyle w:val="TOC3"/>
            <w:tabs>
              <w:tab w:val="left" w:pos="1100"/>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163221177" w:history="1">
            <w:r w:rsidRPr="00585732">
              <w:rPr>
                <w:rStyle w:val="Hyperlink"/>
                <w:noProof/>
              </w:rPr>
              <w:t>4.3</w:t>
            </w:r>
            <w:r>
              <w:rPr>
                <w:rFonts w:asciiTheme="minorHAnsi" w:eastAsiaTheme="minorEastAsia" w:hAnsiTheme="minorHAnsi" w:cstheme="minorBidi"/>
                <w:noProof/>
                <w:kern w:val="2"/>
                <w:sz w:val="22"/>
                <w:szCs w:val="22"/>
                <w:lang w:eastAsia="en-AU"/>
                <w14:ligatures w14:val="standardContextual"/>
              </w:rPr>
              <w:tab/>
            </w:r>
            <w:r w:rsidRPr="00585732">
              <w:rPr>
                <w:rStyle w:val="Hyperlink"/>
                <w:noProof/>
              </w:rPr>
              <w:t>Literature review – Evidence of impacts of opioid agonist treatment</w:t>
            </w:r>
            <w:r>
              <w:rPr>
                <w:noProof/>
                <w:webHidden/>
              </w:rPr>
              <w:tab/>
            </w:r>
            <w:r>
              <w:rPr>
                <w:noProof/>
                <w:webHidden/>
              </w:rPr>
              <w:fldChar w:fldCharType="begin"/>
            </w:r>
            <w:r>
              <w:rPr>
                <w:noProof/>
                <w:webHidden/>
              </w:rPr>
              <w:instrText xml:space="preserve"> PAGEREF _Toc163221177 \h </w:instrText>
            </w:r>
            <w:r>
              <w:rPr>
                <w:noProof/>
                <w:webHidden/>
              </w:rPr>
            </w:r>
            <w:r>
              <w:rPr>
                <w:noProof/>
                <w:webHidden/>
              </w:rPr>
              <w:fldChar w:fldCharType="separate"/>
            </w:r>
            <w:r w:rsidR="002178D6">
              <w:rPr>
                <w:noProof/>
                <w:webHidden/>
              </w:rPr>
              <w:t>63</w:t>
            </w:r>
            <w:r>
              <w:rPr>
                <w:noProof/>
                <w:webHidden/>
              </w:rPr>
              <w:fldChar w:fldCharType="end"/>
            </w:r>
          </w:hyperlink>
        </w:p>
        <w:p w14:paraId="05517F4B" w14:textId="2BCD5E8A" w:rsidR="00347BF7" w:rsidRDefault="00347BF7">
          <w:pPr>
            <w:pStyle w:val="TOC3"/>
            <w:tabs>
              <w:tab w:val="left" w:pos="1100"/>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163221178" w:history="1">
            <w:r w:rsidRPr="00585732">
              <w:rPr>
                <w:rStyle w:val="Hyperlink"/>
                <w:noProof/>
              </w:rPr>
              <w:t>4.4</w:t>
            </w:r>
            <w:r>
              <w:rPr>
                <w:rFonts w:asciiTheme="minorHAnsi" w:eastAsiaTheme="minorEastAsia" w:hAnsiTheme="minorHAnsi" w:cstheme="minorBidi"/>
                <w:noProof/>
                <w:kern w:val="2"/>
                <w:sz w:val="22"/>
                <w:szCs w:val="22"/>
                <w:lang w:eastAsia="en-AU"/>
                <w14:ligatures w14:val="standardContextual"/>
              </w:rPr>
              <w:tab/>
            </w:r>
            <w:r w:rsidRPr="00585732">
              <w:rPr>
                <w:rStyle w:val="Hyperlink"/>
                <w:noProof/>
              </w:rPr>
              <w:t>Commonwealth expenditure data – PBS ODTP medicine utilisation trends</w:t>
            </w:r>
            <w:r>
              <w:rPr>
                <w:noProof/>
                <w:webHidden/>
              </w:rPr>
              <w:tab/>
            </w:r>
            <w:r>
              <w:rPr>
                <w:noProof/>
                <w:webHidden/>
              </w:rPr>
              <w:fldChar w:fldCharType="begin"/>
            </w:r>
            <w:r>
              <w:rPr>
                <w:noProof/>
                <w:webHidden/>
              </w:rPr>
              <w:instrText xml:space="preserve"> PAGEREF _Toc163221178 \h </w:instrText>
            </w:r>
            <w:r>
              <w:rPr>
                <w:noProof/>
                <w:webHidden/>
              </w:rPr>
            </w:r>
            <w:r>
              <w:rPr>
                <w:noProof/>
                <w:webHidden/>
              </w:rPr>
              <w:fldChar w:fldCharType="separate"/>
            </w:r>
            <w:r w:rsidR="002178D6">
              <w:rPr>
                <w:noProof/>
                <w:webHidden/>
              </w:rPr>
              <w:t>72</w:t>
            </w:r>
            <w:r>
              <w:rPr>
                <w:noProof/>
                <w:webHidden/>
              </w:rPr>
              <w:fldChar w:fldCharType="end"/>
            </w:r>
          </w:hyperlink>
        </w:p>
        <w:p w14:paraId="228D1513" w14:textId="1199A2F7" w:rsidR="00347BF7" w:rsidRDefault="00347BF7">
          <w:pPr>
            <w:pStyle w:val="TOC3"/>
            <w:tabs>
              <w:tab w:val="left" w:pos="1100"/>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163221179" w:history="1">
            <w:r w:rsidRPr="00585732">
              <w:rPr>
                <w:rStyle w:val="Hyperlink"/>
                <w:rFonts w:eastAsia="Calibri"/>
                <w:noProof/>
              </w:rPr>
              <w:t>4.5</w:t>
            </w:r>
            <w:r>
              <w:rPr>
                <w:rFonts w:asciiTheme="minorHAnsi" w:eastAsiaTheme="minorEastAsia" w:hAnsiTheme="minorHAnsi" w:cstheme="minorBidi"/>
                <w:noProof/>
                <w:kern w:val="2"/>
                <w:sz w:val="22"/>
                <w:szCs w:val="22"/>
                <w:lang w:eastAsia="en-AU"/>
                <w14:ligatures w14:val="standardContextual"/>
              </w:rPr>
              <w:tab/>
            </w:r>
            <w:r w:rsidRPr="00585732">
              <w:rPr>
                <w:rStyle w:val="Hyperlink"/>
                <w:rFonts w:eastAsia="Calibri"/>
                <w:noProof/>
              </w:rPr>
              <w:t>Review of current PBS restriction eligibility criteria</w:t>
            </w:r>
            <w:r>
              <w:rPr>
                <w:noProof/>
                <w:webHidden/>
              </w:rPr>
              <w:tab/>
            </w:r>
            <w:r>
              <w:rPr>
                <w:noProof/>
                <w:webHidden/>
              </w:rPr>
              <w:fldChar w:fldCharType="begin"/>
            </w:r>
            <w:r>
              <w:rPr>
                <w:noProof/>
                <w:webHidden/>
              </w:rPr>
              <w:instrText xml:space="preserve"> PAGEREF _Toc163221179 \h </w:instrText>
            </w:r>
            <w:r>
              <w:rPr>
                <w:noProof/>
                <w:webHidden/>
              </w:rPr>
            </w:r>
            <w:r>
              <w:rPr>
                <w:noProof/>
                <w:webHidden/>
              </w:rPr>
              <w:fldChar w:fldCharType="separate"/>
            </w:r>
            <w:r w:rsidR="002178D6">
              <w:rPr>
                <w:noProof/>
                <w:webHidden/>
              </w:rPr>
              <w:t>77</w:t>
            </w:r>
            <w:r>
              <w:rPr>
                <w:noProof/>
                <w:webHidden/>
              </w:rPr>
              <w:fldChar w:fldCharType="end"/>
            </w:r>
          </w:hyperlink>
        </w:p>
        <w:p w14:paraId="196E2F8E" w14:textId="79F5B682" w:rsidR="00347BF7" w:rsidRDefault="00347BF7">
          <w:pPr>
            <w:pStyle w:val="TOC2"/>
            <w:tabs>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163221180" w:history="1">
            <w:r w:rsidRPr="00585732">
              <w:rPr>
                <w:rStyle w:val="Hyperlink"/>
                <w:noProof/>
              </w:rPr>
              <w:t>Part 5: TOR 4: Proposed improvements to service delivery of ODT</w:t>
            </w:r>
            <w:r>
              <w:rPr>
                <w:noProof/>
                <w:webHidden/>
              </w:rPr>
              <w:tab/>
            </w:r>
            <w:r>
              <w:rPr>
                <w:noProof/>
                <w:webHidden/>
              </w:rPr>
              <w:fldChar w:fldCharType="begin"/>
            </w:r>
            <w:r>
              <w:rPr>
                <w:noProof/>
                <w:webHidden/>
              </w:rPr>
              <w:instrText xml:space="preserve"> PAGEREF _Toc163221180 \h </w:instrText>
            </w:r>
            <w:r>
              <w:rPr>
                <w:noProof/>
                <w:webHidden/>
              </w:rPr>
            </w:r>
            <w:r>
              <w:rPr>
                <w:noProof/>
                <w:webHidden/>
              </w:rPr>
              <w:fldChar w:fldCharType="separate"/>
            </w:r>
            <w:r w:rsidR="002178D6">
              <w:rPr>
                <w:noProof/>
                <w:webHidden/>
              </w:rPr>
              <w:t>78</w:t>
            </w:r>
            <w:r>
              <w:rPr>
                <w:noProof/>
                <w:webHidden/>
              </w:rPr>
              <w:fldChar w:fldCharType="end"/>
            </w:r>
          </w:hyperlink>
        </w:p>
        <w:p w14:paraId="33231029" w14:textId="3D1C6FC6" w:rsidR="00347BF7" w:rsidRDefault="00347BF7">
          <w:pPr>
            <w:pStyle w:val="TOC3"/>
            <w:tabs>
              <w:tab w:val="left" w:pos="1100"/>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163221181" w:history="1">
            <w:r w:rsidRPr="00585732">
              <w:rPr>
                <w:rStyle w:val="Hyperlink"/>
                <w:noProof/>
              </w:rPr>
              <w:t>5.1</w:t>
            </w:r>
            <w:r>
              <w:rPr>
                <w:rFonts w:asciiTheme="minorHAnsi" w:eastAsiaTheme="minorEastAsia" w:hAnsiTheme="minorHAnsi" w:cstheme="minorBidi"/>
                <w:noProof/>
                <w:kern w:val="2"/>
                <w:sz w:val="22"/>
                <w:szCs w:val="22"/>
                <w:lang w:eastAsia="en-AU"/>
                <w14:ligatures w14:val="standardContextual"/>
              </w:rPr>
              <w:tab/>
            </w:r>
            <w:r w:rsidRPr="00585732">
              <w:rPr>
                <w:rStyle w:val="Hyperlink"/>
                <w:noProof/>
              </w:rPr>
              <w:t>TOR 4 Key findings</w:t>
            </w:r>
            <w:r>
              <w:rPr>
                <w:noProof/>
                <w:webHidden/>
              </w:rPr>
              <w:tab/>
            </w:r>
            <w:r>
              <w:rPr>
                <w:noProof/>
                <w:webHidden/>
              </w:rPr>
              <w:fldChar w:fldCharType="begin"/>
            </w:r>
            <w:r>
              <w:rPr>
                <w:noProof/>
                <w:webHidden/>
              </w:rPr>
              <w:instrText xml:space="preserve"> PAGEREF _Toc163221181 \h </w:instrText>
            </w:r>
            <w:r>
              <w:rPr>
                <w:noProof/>
                <w:webHidden/>
              </w:rPr>
            </w:r>
            <w:r>
              <w:rPr>
                <w:noProof/>
                <w:webHidden/>
              </w:rPr>
              <w:fldChar w:fldCharType="separate"/>
            </w:r>
            <w:r w:rsidR="002178D6">
              <w:rPr>
                <w:noProof/>
                <w:webHidden/>
              </w:rPr>
              <w:t>78</w:t>
            </w:r>
            <w:r>
              <w:rPr>
                <w:noProof/>
                <w:webHidden/>
              </w:rPr>
              <w:fldChar w:fldCharType="end"/>
            </w:r>
          </w:hyperlink>
        </w:p>
        <w:p w14:paraId="632FC9DD" w14:textId="111A0C57" w:rsidR="00347BF7" w:rsidRDefault="00347BF7">
          <w:pPr>
            <w:pStyle w:val="TOC3"/>
            <w:tabs>
              <w:tab w:val="left" w:pos="1100"/>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163221182" w:history="1">
            <w:r w:rsidRPr="00585732">
              <w:rPr>
                <w:rStyle w:val="Hyperlink"/>
                <w:noProof/>
              </w:rPr>
              <w:t>5.2</w:t>
            </w:r>
            <w:r>
              <w:rPr>
                <w:rFonts w:asciiTheme="minorHAnsi" w:eastAsiaTheme="minorEastAsia" w:hAnsiTheme="minorHAnsi" w:cstheme="minorBidi"/>
                <w:noProof/>
                <w:kern w:val="2"/>
                <w:sz w:val="22"/>
                <w:szCs w:val="22"/>
                <w:lang w:eastAsia="en-AU"/>
                <w14:ligatures w14:val="standardContextual"/>
              </w:rPr>
              <w:tab/>
            </w:r>
            <w:r w:rsidRPr="00585732">
              <w:rPr>
                <w:rStyle w:val="Hyperlink"/>
                <w:noProof/>
              </w:rPr>
              <w:t>Literature Review – Proposed improvements to service delivery of ODT</w:t>
            </w:r>
            <w:r>
              <w:rPr>
                <w:noProof/>
                <w:webHidden/>
              </w:rPr>
              <w:tab/>
            </w:r>
            <w:r>
              <w:rPr>
                <w:noProof/>
                <w:webHidden/>
              </w:rPr>
              <w:fldChar w:fldCharType="begin"/>
            </w:r>
            <w:r>
              <w:rPr>
                <w:noProof/>
                <w:webHidden/>
              </w:rPr>
              <w:instrText xml:space="preserve"> PAGEREF _Toc163221182 \h </w:instrText>
            </w:r>
            <w:r>
              <w:rPr>
                <w:noProof/>
                <w:webHidden/>
              </w:rPr>
            </w:r>
            <w:r>
              <w:rPr>
                <w:noProof/>
                <w:webHidden/>
              </w:rPr>
              <w:fldChar w:fldCharType="separate"/>
            </w:r>
            <w:r w:rsidR="002178D6">
              <w:rPr>
                <w:noProof/>
                <w:webHidden/>
              </w:rPr>
              <w:t>81</w:t>
            </w:r>
            <w:r>
              <w:rPr>
                <w:noProof/>
                <w:webHidden/>
              </w:rPr>
              <w:fldChar w:fldCharType="end"/>
            </w:r>
          </w:hyperlink>
        </w:p>
        <w:p w14:paraId="3B5FFC60" w14:textId="62AFE1D3" w:rsidR="00347BF7" w:rsidRDefault="00347BF7">
          <w:pPr>
            <w:pStyle w:val="TOC3"/>
            <w:tabs>
              <w:tab w:val="left" w:pos="1100"/>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163221183" w:history="1">
            <w:r w:rsidRPr="00585732">
              <w:rPr>
                <w:rStyle w:val="Hyperlink"/>
                <w:rFonts w:eastAsia="Calibri"/>
                <w:noProof/>
              </w:rPr>
              <w:t>5.3</w:t>
            </w:r>
            <w:r>
              <w:rPr>
                <w:rFonts w:asciiTheme="minorHAnsi" w:eastAsiaTheme="minorEastAsia" w:hAnsiTheme="minorHAnsi" w:cstheme="minorBidi"/>
                <w:noProof/>
                <w:kern w:val="2"/>
                <w:sz w:val="22"/>
                <w:szCs w:val="22"/>
                <w:lang w:eastAsia="en-AU"/>
                <w14:ligatures w14:val="standardContextual"/>
              </w:rPr>
              <w:tab/>
            </w:r>
            <w:r w:rsidRPr="00585732">
              <w:rPr>
                <w:rStyle w:val="Hyperlink"/>
                <w:rFonts w:eastAsia="Calibri"/>
                <w:noProof/>
              </w:rPr>
              <w:t>Literature Review – Considerations regarding PBS listings</w:t>
            </w:r>
            <w:r>
              <w:rPr>
                <w:noProof/>
                <w:webHidden/>
              </w:rPr>
              <w:tab/>
            </w:r>
            <w:r>
              <w:rPr>
                <w:noProof/>
                <w:webHidden/>
              </w:rPr>
              <w:fldChar w:fldCharType="begin"/>
            </w:r>
            <w:r>
              <w:rPr>
                <w:noProof/>
                <w:webHidden/>
              </w:rPr>
              <w:instrText xml:space="preserve"> PAGEREF _Toc163221183 \h </w:instrText>
            </w:r>
            <w:r>
              <w:rPr>
                <w:noProof/>
                <w:webHidden/>
              </w:rPr>
            </w:r>
            <w:r>
              <w:rPr>
                <w:noProof/>
                <w:webHidden/>
              </w:rPr>
              <w:fldChar w:fldCharType="separate"/>
            </w:r>
            <w:r w:rsidR="002178D6">
              <w:rPr>
                <w:noProof/>
                <w:webHidden/>
              </w:rPr>
              <w:t>84</w:t>
            </w:r>
            <w:r>
              <w:rPr>
                <w:noProof/>
                <w:webHidden/>
              </w:rPr>
              <w:fldChar w:fldCharType="end"/>
            </w:r>
          </w:hyperlink>
        </w:p>
        <w:p w14:paraId="6C61C796" w14:textId="49F2816F" w:rsidR="00347BF7" w:rsidRDefault="00347BF7">
          <w:pPr>
            <w:pStyle w:val="TOC3"/>
            <w:tabs>
              <w:tab w:val="left" w:pos="1100"/>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163221184" w:history="1">
            <w:r w:rsidRPr="00585732">
              <w:rPr>
                <w:rStyle w:val="Hyperlink"/>
                <w:noProof/>
              </w:rPr>
              <w:t>5.4</w:t>
            </w:r>
            <w:r>
              <w:rPr>
                <w:rFonts w:asciiTheme="minorHAnsi" w:eastAsiaTheme="minorEastAsia" w:hAnsiTheme="minorHAnsi" w:cstheme="minorBidi"/>
                <w:noProof/>
                <w:kern w:val="2"/>
                <w:sz w:val="22"/>
                <w:szCs w:val="22"/>
                <w:lang w:eastAsia="en-AU"/>
                <w14:ligatures w14:val="standardContextual"/>
              </w:rPr>
              <w:tab/>
            </w:r>
            <w:r w:rsidRPr="00585732">
              <w:rPr>
                <w:rStyle w:val="Hyperlink"/>
                <w:noProof/>
              </w:rPr>
              <w:t>Pathways of service delivery for ODT medicines</w:t>
            </w:r>
            <w:r>
              <w:rPr>
                <w:noProof/>
                <w:webHidden/>
              </w:rPr>
              <w:tab/>
            </w:r>
            <w:r>
              <w:rPr>
                <w:noProof/>
                <w:webHidden/>
              </w:rPr>
              <w:fldChar w:fldCharType="begin"/>
            </w:r>
            <w:r>
              <w:rPr>
                <w:noProof/>
                <w:webHidden/>
              </w:rPr>
              <w:instrText xml:space="preserve"> PAGEREF _Toc163221184 \h </w:instrText>
            </w:r>
            <w:r>
              <w:rPr>
                <w:noProof/>
                <w:webHidden/>
              </w:rPr>
            </w:r>
            <w:r>
              <w:rPr>
                <w:noProof/>
                <w:webHidden/>
              </w:rPr>
              <w:fldChar w:fldCharType="separate"/>
            </w:r>
            <w:r w:rsidR="002178D6">
              <w:rPr>
                <w:noProof/>
                <w:webHidden/>
              </w:rPr>
              <w:t>86</w:t>
            </w:r>
            <w:r>
              <w:rPr>
                <w:noProof/>
                <w:webHidden/>
              </w:rPr>
              <w:fldChar w:fldCharType="end"/>
            </w:r>
          </w:hyperlink>
        </w:p>
        <w:p w14:paraId="7E32C817" w14:textId="2DF7C4DF" w:rsidR="00347BF7" w:rsidRDefault="00347BF7">
          <w:pPr>
            <w:pStyle w:val="TOC2"/>
            <w:tabs>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163221185" w:history="1">
            <w:r w:rsidRPr="00585732">
              <w:rPr>
                <w:rStyle w:val="Hyperlink"/>
                <w:noProof/>
              </w:rPr>
              <w:t>Part 6: Review Outcomes</w:t>
            </w:r>
            <w:r>
              <w:rPr>
                <w:noProof/>
                <w:webHidden/>
              </w:rPr>
              <w:tab/>
            </w:r>
            <w:r>
              <w:rPr>
                <w:noProof/>
                <w:webHidden/>
              </w:rPr>
              <w:fldChar w:fldCharType="begin"/>
            </w:r>
            <w:r>
              <w:rPr>
                <w:noProof/>
                <w:webHidden/>
              </w:rPr>
              <w:instrText xml:space="preserve"> PAGEREF _Toc163221185 \h </w:instrText>
            </w:r>
            <w:r>
              <w:rPr>
                <w:noProof/>
                <w:webHidden/>
              </w:rPr>
            </w:r>
            <w:r>
              <w:rPr>
                <w:noProof/>
                <w:webHidden/>
              </w:rPr>
              <w:fldChar w:fldCharType="separate"/>
            </w:r>
            <w:r w:rsidR="002178D6">
              <w:rPr>
                <w:noProof/>
                <w:webHidden/>
              </w:rPr>
              <w:t>88</w:t>
            </w:r>
            <w:r>
              <w:rPr>
                <w:noProof/>
                <w:webHidden/>
              </w:rPr>
              <w:fldChar w:fldCharType="end"/>
            </w:r>
          </w:hyperlink>
        </w:p>
        <w:p w14:paraId="7D330B45" w14:textId="13604DC6" w:rsidR="00347BF7" w:rsidRDefault="00347BF7">
          <w:pPr>
            <w:pStyle w:val="TOC3"/>
            <w:tabs>
              <w:tab w:val="left" w:pos="1100"/>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163221186" w:history="1">
            <w:r w:rsidRPr="00585732">
              <w:rPr>
                <w:rStyle w:val="Hyperlink"/>
                <w:rFonts w:eastAsia="Times New Roman"/>
                <w:noProof/>
              </w:rPr>
              <w:t>6.1</w:t>
            </w:r>
            <w:r>
              <w:rPr>
                <w:rFonts w:asciiTheme="minorHAnsi" w:eastAsiaTheme="minorEastAsia" w:hAnsiTheme="minorHAnsi" w:cstheme="minorBidi"/>
                <w:noProof/>
                <w:kern w:val="2"/>
                <w:sz w:val="22"/>
                <w:szCs w:val="22"/>
                <w:lang w:eastAsia="en-AU"/>
                <w14:ligatures w14:val="standardContextual"/>
              </w:rPr>
              <w:tab/>
            </w:r>
            <w:r w:rsidRPr="00585732">
              <w:rPr>
                <w:rStyle w:val="Hyperlink"/>
                <w:rFonts w:eastAsia="Times New Roman"/>
                <w:noProof/>
              </w:rPr>
              <w:t>Outline of matters arising from the PMR</w:t>
            </w:r>
            <w:r>
              <w:rPr>
                <w:noProof/>
                <w:webHidden/>
              </w:rPr>
              <w:tab/>
            </w:r>
            <w:r>
              <w:rPr>
                <w:noProof/>
                <w:webHidden/>
              </w:rPr>
              <w:fldChar w:fldCharType="begin"/>
            </w:r>
            <w:r>
              <w:rPr>
                <w:noProof/>
                <w:webHidden/>
              </w:rPr>
              <w:instrText xml:space="preserve"> PAGEREF _Toc163221186 \h </w:instrText>
            </w:r>
            <w:r>
              <w:rPr>
                <w:noProof/>
                <w:webHidden/>
              </w:rPr>
            </w:r>
            <w:r>
              <w:rPr>
                <w:noProof/>
                <w:webHidden/>
              </w:rPr>
              <w:fldChar w:fldCharType="separate"/>
            </w:r>
            <w:r w:rsidR="002178D6">
              <w:rPr>
                <w:noProof/>
                <w:webHidden/>
              </w:rPr>
              <w:t>88</w:t>
            </w:r>
            <w:r>
              <w:rPr>
                <w:noProof/>
                <w:webHidden/>
              </w:rPr>
              <w:fldChar w:fldCharType="end"/>
            </w:r>
          </w:hyperlink>
        </w:p>
        <w:p w14:paraId="2A444C15" w14:textId="07860EA5" w:rsidR="00347BF7" w:rsidRDefault="00347BF7">
          <w:pPr>
            <w:pStyle w:val="TOC3"/>
            <w:tabs>
              <w:tab w:val="left" w:pos="1100"/>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163221187" w:history="1">
            <w:r w:rsidRPr="00585732">
              <w:rPr>
                <w:rStyle w:val="Hyperlink"/>
                <w:rFonts w:eastAsia="Times New Roman"/>
                <w:noProof/>
              </w:rPr>
              <w:t>6.2</w:t>
            </w:r>
            <w:r>
              <w:rPr>
                <w:rFonts w:asciiTheme="minorHAnsi" w:eastAsiaTheme="minorEastAsia" w:hAnsiTheme="minorHAnsi" w:cstheme="minorBidi"/>
                <w:noProof/>
                <w:kern w:val="2"/>
                <w:sz w:val="22"/>
                <w:szCs w:val="22"/>
                <w:lang w:eastAsia="en-AU"/>
                <w14:ligatures w14:val="standardContextual"/>
              </w:rPr>
              <w:tab/>
            </w:r>
            <w:r w:rsidRPr="00585732">
              <w:rPr>
                <w:rStyle w:val="Hyperlink"/>
                <w:noProof/>
              </w:rPr>
              <w:t>Review outcomes for PBAC consideration</w:t>
            </w:r>
            <w:r>
              <w:rPr>
                <w:noProof/>
                <w:webHidden/>
              </w:rPr>
              <w:tab/>
            </w:r>
            <w:r>
              <w:rPr>
                <w:noProof/>
                <w:webHidden/>
              </w:rPr>
              <w:fldChar w:fldCharType="begin"/>
            </w:r>
            <w:r>
              <w:rPr>
                <w:noProof/>
                <w:webHidden/>
              </w:rPr>
              <w:instrText xml:space="preserve"> PAGEREF _Toc163221187 \h </w:instrText>
            </w:r>
            <w:r>
              <w:rPr>
                <w:noProof/>
                <w:webHidden/>
              </w:rPr>
            </w:r>
            <w:r>
              <w:rPr>
                <w:noProof/>
                <w:webHidden/>
              </w:rPr>
              <w:fldChar w:fldCharType="separate"/>
            </w:r>
            <w:r w:rsidR="002178D6">
              <w:rPr>
                <w:noProof/>
                <w:webHidden/>
              </w:rPr>
              <w:t>90</w:t>
            </w:r>
            <w:r>
              <w:rPr>
                <w:noProof/>
                <w:webHidden/>
              </w:rPr>
              <w:fldChar w:fldCharType="end"/>
            </w:r>
          </w:hyperlink>
        </w:p>
        <w:p w14:paraId="19277867" w14:textId="589CEFFD" w:rsidR="00347BF7" w:rsidRDefault="00347BF7">
          <w:pPr>
            <w:pStyle w:val="TOC3"/>
            <w:tabs>
              <w:tab w:val="left" w:pos="1100"/>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163221188" w:history="1">
            <w:r w:rsidRPr="00585732">
              <w:rPr>
                <w:rStyle w:val="Hyperlink"/>
                <w:rFonts w:eastAsia="Times New Roman"/>
                <w:noProof/>
              </w:rPr>
              <w:t>6.3</w:t>
            </w:r>
            <w:r>
              <w:rPr>
                <w:rFonts w:asciiTheme="minorHAnsi" w:eastAsiaTheme="minorEastAsia" w:hAnsiTheme="minorHAnsi" w:cstheme="minorBidi"/>
                <w:noProof/>
                <w:kern w:val="2"/>
                <w:sz w:val="22"/>
                <w:szCs w:val="22"/>
                <w:lang w:eastAsia="en-AU"/>
                <w14:ligatures w14:val="standardContextual"/>
              </w:rPr>
              <w:tab/>
            </w:r>
            <w:r w:rsidRPr="00585732">
              <w:rPr>
                <w:rStyle w:val="Hyperlink"/>
                <w:rFonts w:eastAsia="Times New Roman"/>
                <w:noProof/>
              </w:rPr>
              <w:t>Other advice the PBAC may wish to consider providing to Government</w:t>
            </w:r>
            <w:r>
              <w:rPr>
                <w:noProof/>
                <w:webHidden/>
              </w:rPr>
              <w:tab/>
            </w:r>
            <w:r>
              <w:rPr>
                <w:noProof/>
                <w:webHidden/>
              </w:rPr>
              <w:fldChar w:fldCharType="begin"/>
            </w:r>
            <w:r>
              <w:rPr>
                <w:noProof/>
                <w:webHidden/>
              </w:rPr>
              <w:instrText xml:space="preserve"> PAGEREF _Toc163221188 \h </w:instrText>
            </w:r>
            <w:r>
              <w:rPr>
                <w:noProof/>
                <w:webHidden/>
              </w:rPr>
            </w:r>
            <w:r>
              <w:rPr>
                <w:noProof/>
                <w:webHidden/>
              </w:rPr>
              <w:fldChar w:fldCharType="separate"/>
            </w:r>
            <w:r w:rsidR="002178D6">
              <w:rPr>
                <w:noProof/>
                <w:webHidden/>
              </w:rPr>
              <w:t>92</w:t>
            </w:r>
            <w:r>
              <w:rPr>
                <w:noProof/>
                <w:webHidden/>
              </w:rPr>
              <w:fldChar w:fldCharType="end"/>
            </w:r>
          </w:hyperlink>
        </w:p>
        <w:p w14:paraId="1A42D8CB" w14:textId="4A3C271F" w:rsidR="00347BF7" w:rsidRDefault="00347BF7">
          <w:pPr>
            <w:pStyle w:val="TOC2"/>
            <w:tabs>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163221189" w:history="1">
            <w:r w:rsidRPr="00585732">
              <w:rPr>
                <w:rStyle w:val="Hyperlink"/>
                <w:noProof/>
              </w:rPr>
              <w:t>References</w:t>
            </w:r>
            <w:r>
              <w:rPr>
                <w:noProof/>
                <w:webHidden/>
              </w:rPr>
              <w:tab/>
            </w:r>
            <w:r>
              <w:rPr>
                <w:noProof/>
                <w:webHidden/>
              </w:rPr>
              <w:fldChar w:fldCharType="begin"/>
            </w:r>
            <w:r>
              <w:rPr>
                <w:noProof/>
                <w:webHidden/>
              </w:rPr>
              <w:instrText xml:space="preserve"> PAGEREF _Toc163221189 \h </w:instrText>
            </w:r>
            <w:r>
              <w:rPr>
                <w:noProof/>
                <w:webHidden/>
              </w:rPr>
            </w:r>
            <w:r>
              <w:rPr>
                <w:noProof/>
                <w:webHidden/>
              </w:rPr>
              <w:fldChar w:fldCharType="separate"/>
            </w:r>
            <w:r w:rsidR="002178D6">
              <w:rPr>
                <w:noProof/>
                <w:webHidden/>
              </w:rPr>
              <w:t>95</w:t>
            </w:r>
            <w:r>
              <w:rPr>
                <w:noProof/>
                <w:webHidden/>
              </w:rPr>
              <w:fldChar w:fldCharType="end"/>
            </w:r>
          </w:hyperlink>
        </w:p>
        <w:p w14:paraId="1183A144" w14:textId="575955F0" w:rsidR="00347BF7" w:rsidRDefault="00347BF7">
          <w:pPr>
            <w:pStyle w:val="TOC2"/>
            <w:tabs>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163221190" w:history="1">
            <w:r w:rsidRPr="00585732">
              <w:rPr>
                <w:rStyle w:val="Hyperlink"/>
                <w:rFonts w:eastAsia="Calibri"/>
                <w:noProof/>
              </w:rPr>
              <w:t>Appendix 1: ODTP PMR Reference Group Membership</w:t>
            </w:r>
            <w:r>
              <w:rPr>
                <w:noProof/>
                <w:webHidden/>
              </w:rPr>
              <w:tab/>
            </w:r>
            <w:r>
              <w:rPr>
                <w:noProof/>
                <w:webHidden/>
              </w:rPr>
              <w:fldChar w:fldCharType="begin"/>
            </w:r>
            <w:r>
              <w:rPr>
                <w:noProof/>
                <w:webHidden/>
              </w:rPr>
              <w:instrText xml:space="preserve"> PAGEREF _Toc163221190 \h </w:instrText>
            </w:r>
            <w:r>
              <w:rPr>
                <w:noProof/>
                <w:webHidden/>
              </w:rPr>
            </w:r>
            <w:r>
              <w:rPr>
                <w:noProof/>
                <w:webHidden/>
              </w:rPr>
              <w:fldChar w:fldCharType="separate"/>
            </w:r>
            <w:r w:rsidR="002178D6">
              <w:rPr>
                <w:noProof/>
                <w:webHidden/>
              </w:rPr>
              <w:t>102</w:t>
            </w:r>
            <w:r>
              <w:rPr>
                <w:noProof/>
                <w:webHidden/>
              </w:rPr>
              <w:fldChar w:fldCharType="end"/>
            </w:r>
          </w:hyperlink>
        </w:p>
        <w:p w14:paraId="01CE660E" w14:textId="332120BA" w:rsidR="00347BF7" w:rsidRDefault="00347BF7">
          <w:pPr>
            <w:pStyle w:val="TOC2"/>
            <w:tabs>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163221191" w:history="1">
            <w:r w:rsidRPr="00585732">
              <w:rPr>
                <w:rStyle w:val="Hyperlink"/>
                <w:rFonts w:eastAsia="MS Gothic"/>
                <w:noProof/>
              </w:rPr>
              <w:t>Appendix 2: State and territory policy on administration of long-acting (depot) buprenorphine</w:t>
            </w:r>
            <w:r w:rsidRPr="00585732">
              <w:rPr>
                <w:rStyle w:val="Hyperlink"/>
                <w:rFonts w:eastAsia="MS Gothic"/>
                <w:noProof/>
                <w:vertAlign w:val="superscript"/>
              </w:rPr>
              <w:t>*</w:t>
            </w:r>
            <w:r>
              <w:rPr>
                <w:noProof/>
                <w:webHidden/>
              </w:rPr>
              <w:tab/>
            </w:r>
            <w:r>
              <w:rPr>
                <w:noProof/>
                <w:webHidden/>
              </w:rPr>
              <w:fldChar w:fldCharType="begin"/>
            </w:r>
            <w:r>
              <w:rPr>
                <w:noProof/>
                <w:webHidden/>
              </w:rPr>
              <w:instrText xml:space="preserve"> PAGEREF _Toc163221191 \h </w:instrText>
            </w:r>
            <w:r>
              <w:rPr>
                <w:noProof/>
                <w:webHidden/>
              </w:rPr>
            </w:r>
            <w:r>
              <w:rPr>
                <w:noProof/>
                <w:webHidden/>
              </w:rPr>
              <w:fldChar w:fldCharType="separate"/>
            </w:r>
            <w:r w:rsidR="002178D6">
              <w:rPr>
                <w:noProof/>
                <w:webHidden/>
              </w:rPr>
              <w:t>103</w:t>
            </w:r>
            <w:r>
              <w:rPr>
                <w:noProof/>
                <w:webHidden/>
              </w:rPr>
              <w:fldChar w:fldCharType="end"/>
            </w:r>
          </w:hyperlink>
        </w:p>
        <w:p w14:paraId="662DCAF9" w14:textId="7ADDE6E5" w:rsidR="00347BF7" w:rsidRDefault="00347BF7">
          <w:pPr>
            <w:pStyle w:val="TOC2"/>
            <w:tabs>
              <w:tab w:val="right" w:leader="dot" w:pos="9016"/>
            </w:tabs>
            <w:rPr>
              <w:rFonts w:asciiTheme="minorHAnsi" w:eastAsiaTheme="minorEastAsia" w:hAnsiTheme="minorHAnsi" w:cstheme="minorBidi"/>
              <w:noProof/>
              <w:kern w:val="2"/>
              <w:sz w:val="22"/>
              <w:szCs w:val="22"/>
              <w:lang w:eastAsia="en-AU"/>
              <w14:ligatures w14:val="standardContextual"/>
            </w:rPr>
          </w:pPr>
          <w:hyperlink w:anchor="_Toc163221192" w:history="1">
            <w:r w:rsidRPr="00585732">
              <w:rPr>
                <w:rStyle w:val="Hyperlink"/>
                <w:rFonts w:eastAsia="Calibri"/>
                <w:noProof/>
              </w:rPr>
              <w:t>Appendix 3: Report on consultation with people participating in opioid dependence treatment programs</w:t>
            </w:r>
            <w:r>
              <w:rPr>
                <w:noProof/>
                <w:webHidden/>
              </w:rPr>
              <w:tab/>
            </w:r>
            <w:r>
              <w:rPr>
                <w:noProof/>
                <w:webHidden/>
              </w:rPr>
              <w:fldChar w:fldCharType="begin"/>
            </w:r>
            <w:r>
              <w:rPr>
                <w:noProof/>
                <w:webHidden/>
              </w:rPr>
              <w:instrText xml:space="preserve"> PAGEREF _Toc163221192 \h </w:instrText>
            </w:r>
            <w:r>
              <w:rPr>
                <w:noProof/>
                <w:webHidden/>
              </w:rPr>
            </w:r>
            <w:r>
              <w:rPr>
                <w:noProof/>
                <w:webHidden/>
              </w:rPr>
              <w:fldChar w:fldCharType="separate"/>
            </w:r>
            <w:r w:rsidR="002178D6">
              <w:rPr>
                <w:noProof/>
                <w:webHidden/>
              </w:rPr>
              <w:t>108</w:t>
            </w:r>
            <w:r>
              <w:rPr>
                <w:noProof/>
                <w:webHidden/>
              </w:rPr>
              <w:fldChar w:fldCharType="end"/>
            </w:r>
          </w:hyperlink>
        </w:p>
        <w:p w14:paraId="489C9048" w14:textId="38EADDED" w:rsidR="00D21062" w:rsidRDefault="00934954" w:rsidP="00D21062">
          <w:pPr>
            <w:rPr>
              <w:b/>
              <w:bCs/>
              <w:noProof/>
            </w:rPr>
          </w:pPr>
          <w:r>
            <w:rPr>
              <w:rFonts w:asciiTheme="minorHAnsi" w:eastAsiaTheme="minorEastAsia" w:hAnsiTheme="minorHAnsi"/>
              <w:sz w:val="22"/>
              <w:szCs w:val="22"/>
              <w:lang w:val="en-US"/>
            </w:rPr>
            <w:fldChar w:fldCharType="end"/>
          </w:r>
        </w:p>
      </w:sdtContent>
    </w:sdt>
    <w:p w14:paraId="130D2B37" w14:textId="12B4145C" w:rsidR="00A80C32" w:rsidRDefault="00A80C32">
      <w:pPr>
        <w:spacing w:after="160" w:line="259" w:lineRule="auto"/>
        <w:jc w:val="left"/>
      </w:pPr>
      <w:r>
        <w:br w:type="page"/>
      </w:r>
    </w:p>
    <w:p w14:paraId="217DD6DB" w14:textId="75A33794" w:rsidR="00227EAB" w:rsidRDefault="00227EAB" w:rsidP="00227EAB">
      <w:pPr>
        <w:pStyle w:val="Heading2"/>
      </w:pPr>
      <w:bookmarkStart w:id="1" w:name="_Toc163221148"/>
      <w:bookmarkStart w:id="2" w:name="_Hlk128049622"/>
      <w:r>
        <w:lastRenderedPageBreak/>
        <w:t>List of Tables</w:t>
      </w:r>
      <w:bookmarkEnd w:id="1"/>
    </w:p>
    <w:p w14:paraId="169AE559" w14:textId="25002337" w:rsidR="00FA69A6" w:rsidRDefault="00636171">
      <w:pPr>
        <w:pStyle w:val="TOC1"/>
        <w:rPr>
          <w:rFonts w:cstheme="minorBidi"/>
          <w:sz w:val="22"/>
          <w:szCs w:val="22"/>
          <w:lang w:val="en-AU" w:eastAsia="en-AU"/>
        </w:rPr>
      </w:pPr>
      <w:r>
        <w:rPr>
          <w:sz w:val="22"/>
          <w:szCs w:val="22"/>
        </w:rPr>
        <w:fldChar w:fldCharType="begin"/>
      </w:r>
      <w:r>
        <w:instrText xml:space="preserve"> TOC \h \z \t "Tables,1" </w:instrText>
      </w:r>
      <w:r>
        <w:rPr>
          <w:sz w:val="22"/>
          <w:szCs w:val="22"/>
        </w:rPr>
        <w:fldChar w:fldCharType="separate"/>
      </w:r>
      <w:hyperlink w:anchor="_Toc132823421" w:history="1">
        <w:r w:rsidR="00FA69A6" w:rsidRPr="006A024B">
          <w:rPr>
            <w:rStyle w:val="Hyperlink"/>
          </w:rPr>
          <w:t>Table 1. PBS ODT medicine listings and criteria for availability</w:t>
        </w:r>
        <w:r w:rsidR="00FA69A6" w:rsidRPr="006A024B">
          <w:rPr>
            <w:rStyle w:val="Hyperlink"/>
            <w:vertAlign w:val="superscript"/>
          </w:rPr>
          <w:t>*</w:t>
        </w:r>
        <w:r w:rsidR="00FA69A6">
          <w:rPr>
            <w:webHidden/>
          </w:rPr>
          <w:tab/>
        </w:r>
        <w:r w:rsidR="00FA69A6">
          <w:rPr>
            <w:webHidden/>
          </w:rPr>
          <w:fldChar w:fldCharType="begin"/>
        </w:r>
        <w:r w:rsidR="00FA69A6">
          <w:rPr>
            <w:webHidden/>
          </w:rPr>
          <w:instrText xml:space="preserve"> PAGEREF _Toc132823421 \h </w:instrText>
        </w:r>
        <w:r w:rsidR="00FA69A6">
          <w:rPr>
            <w:webHidden/>
          </w:rPr>
        </w:r>
        <w:r w:rsidR="00FA69A6">
          <w:rPr>
            <w:webHidden/>
          </w:rPr>
          <w:fldChar w:fldCharType="separate"/>
        </w:r>
        <w:r w:rsidR="002178D6">
          <w:rPr>
            <w:webHidden/>
          </w:rPr>
          <w:t>21</w:t>
        </w:r>
        <w:r w:rsidR="00FA69A6">
          <w:rPr>
            <w:webHidden/>
          </w:rPr>
          <w:fldChar w:fldCharType="end"/>
        </w:r>
      </w:hyperlink>
    </w:p>
    <w:p w14:paraId="4F5D3629" w14:textId="51EDFC9D" w:rsidR="00FA69A6" w:rsidRDefault="00000000">
      <w:pPr>
        <w:pStyle w:val="TOC1"/>
        <w:rPr>
          <w:rFonts w:cstheme="minorBidi"/>
          <w:sz w:val="22"/>
          <w:szCs w:val="22"/>
          <w:lang w:val="en-AU" w:eastAsia="en-AU"/>
        </w:rPr>
      </w:pPr>
      <w:hyperlink w:anchor="_Toc132823422" w:history="1">
        <w:r w:rsidR="00FA69A6" w:rsidRPr="006A024B">
          <w:rPr>
            <w:rStyle w:val="Hyperlink"/>
          </w:rPr>
          <w:t xml:space="preserve">Table 2. Description of people receiving ODT medicines in Australia, 2021 </w:t>
        </w:r>
        <w:r w:rsidR="00FA69A6" w:rsidRPr="006A024B">
          <w:rPr>
            <w:rStyle w:val="Hyperlink"/>
            <w:vertAlign w:val="superscript"/>
          </w:rPr>
          <w:t>19</w:t>
        </w:r>
        <w:r w:rsidR="00FA69A6">
          <w:rPr>
            <w:webHidden/>
          </w:rPr>
          <w:tab/>
        </w:r>
        <w:r w:rsidR="00FA69A6">
          <w:rPr>
            <w:webHidden/>
          </w:rPr>
          <w:fldChar w:fldCharType="begin"/>
        </w:r>
        <w:r w:rsidR="00FA69A6">
          <w:rPr>
            <w:webHidden/>
          </w:rPr>
          <w:instrText xml:space="preserve"> PAGEREF _Toc132823422 \h </w:instrText>
        </w:r>
        <w:r w:rsidR="00FA69A6">
          <w:rPr>
            <w:webHidden/>
          </w:rPr>
        </w:r>
        <w:r w:rsidR="00FA69A6">
          <w:rPr>
            <w:webHidden/>
          </w:rPr>
          <w:fldChar w:fldCharType="separate"/>
        </w:r>
        <w:r w:rsidR="002178D6">
          <w:rPr>
            <w:webHidden/>
          </w:rPr>
          <w:t>30</w:t>
        </w:r>
        <w:r w:rsidR="00FA69A6">
          <w:rPr>
            <w:webHidden/>
          </w:rPr>
          <w:fldChar w:fldCharType="end"/>
        </w:r>
      </w:hyperlink>
    </w:p>
    <w:p w14:paraId="45F3B0E4" w14:textId="6AAB669A" w:rsidR="00FA69A6" w:rsidRDefault="00000000">
      <w:pPr>
        <w:pStyle w:val="TOC1"/>
        <w:rPr>
          <w:rFonts w:cstheme="minorBidi"/>
          <w:sz w:val="22"/>
          <w:szCs w:val="22"/>
          <w:lang w:val="en-AU" w:eastAsia="en-AU"/>
        </w:rPr>
      </w:pPr>
      <w:hyperlink w:anchor="_Toc132823423" w:history="1">
        <w:r w:rsidR="00FA69A6" w:rsidRPr="006A024B">
          <w:rPr>
            <w:rStyle w:val="Hyperlink"/>
          </w:rPr>
          <w:t>Table 3. Other characteristics of ETHOS Engage participants receiving ODT medicines in Australia (N = 753)</w:t>
        </w:r>
        <w:r w:rsidR="00FA69A6">
          <w:rPr>
            <w:webHidden/>
          </w:rPr>
          <w:tab/>
        </w:r>
        <w:r w:rsidR="00FA69A6">
          <w:rPr>
            <w:webHidden/>
          </w:rPr>
          <w:fldChar w:fldCharType="begin"/>
        </w:r>
        <w:r w:rsidR="00FA69A6">
          <w:rPr>
            <w:webHidden/>
          </w:rPr>
          <w:instrText xml:space="preserve"> PAGEREF _Toc132823423 \h </w:instrText>
        </w:r>
        <w:r w:rsidR="00FA69A6">
          <w:rPr>
            <w:webHidden/>
          </w:rPr>
        </w:r>
        <w:r w:rsidR="00FA69A6">
          <w:rPr>
            <w:webHidden/>
          </w:rPr>
          <w:fldChar w:fldCharType="separate"/>
        </w:r>
        <w:r w:rsidR="002178D6">
          <w:rPr>
            <w:webHidden/>
          </w:rPr>
          <w:t>31</w:t>
        </w:r>
        <w:r w:rsidR="00FA69A6">
          <w:rPr>
            <w:webHidden/>
          </w:rPr>
          <w:fldChar w:fldCharType="end"/>
        </w:r>
      </w:hyperlink>
    </w:p>
    <w:p w14:paraId="30D5E72E" w14:textId="3538124D" w:rsidR="00FA69A6" w:rsidRDefault="00000000">
      <w:pPr>
        <w:pStyle w:val="TOC1"/>
        <w:rPr>
          <w:rFonts w:cstheme="minorBidi"/>
          <w:sz w:val="22"/>
          <w:szCs w:val="22"/>
          <w:lang w:val="en-AU" w:eastAsia="en-AU"/>
        </w:rPr>
      </w:pPr>
      <w:hyperlink w:anchor="_Toc132823424" w:history="1">
        <w:r w:rsidR="00FA69A6" w:rsidRPr="006A024B">
          <w:rPr>
            <w:rStyle w:val="Hyperlink"/>
          </w:rPr>
          <w:t>Table 4. Key Australian opioid dependence treatment guidelines</w:t>
        </w:r>
        <w:r w:rsidR="00FA69A6">
          <w:rPr>
            <w:webHidden/>
          </w:rPr>
          <w:tab/>
        </w:r>
        <w:r w:rsidR="00FA69A6">
          <w:rPr>
            <w:webHidden/>
          </w:rPr>
          <w:fldChar w:fldCharType="begin"/>
        </w:r>
        <w:r w:rsidR="00FA69A6">
          <w:rPr>
            <w:webHidden/>
          </w:rPr>
          <w:instrText xml:space="preserve"> PAGEREF _Toc132823424 \h </w:instrText>
        </w:r>
        <w:r w:rsidR="00FA69A6">
          <w:rPr>
            <w:webHidden/>
          </w:rPr>
        </w:r>
        <w:r w:rsidR="00FA69A6">
          <w:rPr>
            <w:webHidden/>
          </w:rPr>
          <w:fldChar w:fldCharType="separate"/>
        </w:r>
        <w:r w:rsidR="002178D6">
          <w:rPr>
            <w:webHidden/>
          </w:rPr>
          <w:t>32</w:t>
        </w:r>
        <w:r w:rsidR="00FA69A6">
          <w:rPr>
            <w:webHidden/>
          </w:rPr>
          <w:fldChar w:fldCharType="end"/>
        </w:r>
      </w:hyperlink>
    </w:p>
    <w:p w14:paraId="1912AD13" w14:textId="29EB25B3" w:rsidR="00FA69A6" w:rsidRDefault="00000000">
      <w:pPr>
        <w:pStyle w:val="TOC1"/>
        <w:rPr>
          <w:rFonts w:cstheme="minorBidi"/>
          <w:sz w:val="22"/>
          <w:szCs w:val="22"/>
          <w:lang w:val="en-AU" w:eastAsia="en-AU"/>
        </w:rPr>
      </w:pPr>
      <w:hyperlink w:anchor="_Toc132823425" w:history="1">
        <w:r w:rsidR="00FA69A6" w:rsidRPr="006A024B">
          <w:rPr>
            <w:rStyle w:val="Hyperlink"/>
          </w:rPr>
          <w:t xml:space="preserve">Table </w:t>
        </w:r>
        <w:r w:rsidR="00FA69A6" w:rsidRPr="006A024B">
          <w:rPr>
            <w:rStyle w:val="Hyperlink"/>
            <w:rFonts w:cstheme="majorHAnsi"/>
          </w:rPr>
          <w:t>5. Key differences in the characteristics between methadone and buprenorphine for the treatment of opioid dependence</w:t>
        </w:r>
        <w:r w:rsidR="00FA69A6">
          <w:rPr>
            <w:webHidden/>
          </w:rPr>
          <w:tab/>
        </w:r>
        <w:r w:rsidR="00FA69A6">
          <w:rPr>
            <w:webHidden/>
          </w:rPr>
          <w:fldChar w:fldCharType="begin"/>
        </w:r>
        <w:r w:rsidR="00FA69A6">
          <w:rPr>
            <w:webHidden/>
          </w:rPr>
          <w:instrText xml:space="preserve"> PAGEREF _Toc132823425 \h </w:instrText>
        </w:r>
        <w:r w:rsidR="00FA69A6">
          <w:rPr>
            <w:webHidden/>
          </w:rPr>
        </w:r>
        <w:r w:rsidR="00FA69A6">
          <w:rPr>
            <w:webHidden/>
          </w:rPr>
          <w:fldChar w:fldCharType="separate"/>
        </w:r>
        <w:r w:rsidR="002178D6">
          <w:rPr>
            <w:webHidden/>
          </w:rPr>
          <w:t>34</w:t>
        </w:r>
        <w:r w:rsidR="00FA69A6">
          <w:rPr>
            <w:webHidden/>
          </w:rPr>
          <w:fldChar w:fldCharType="end"/>
        </w:r>
      </w:hyperlink>
    </w:p>
    <w:p w14:paraId="7C8671D0" w14:textId="77AF663F" w:rsidR="00FA69A6" w:rsidRDefault="00000000">
      <w:pPr>
        <w:pStyle w:val="TOC1"/>
        <w:rPr>
          <w:rFonts w:cstheme="minorBidi"/>
          <w:sz w:val="22"/>
          <w:szCs w:val="22"/>
          <w:lang w:val="en-AU" w:eastAsia="en-AU"/>
        </w:rPr>
      </w:pPr>
      <w:hyperlink w:anchor="_Toc132823426" w:history="1">
        <w:r w:rsidR="00FA69A6" w:rsidRPr="006A024B">
          <w:rPr>
            <w:rStyle w:val="Hyperlink"/>
          </w:rPr>
          <w:t>Table 6. ODT medicine guidelines and policies across Australian Jurisdictions</w:t>
        </w:r>
        <w:r w:rsidR="00FA69A6" w:rsidRPr="006A024B">
          <w:rPr>
            <w:rStyle w:val="Hyperlink"/>
            <w:vertAlign w:val="superscript"/>
          </w:rPr>
          <w:t>31</w:t>
        </w:r>
        <w:r w:rsidR="00FA69A6">
          <w:rPr>
            <w:webHidden/>
          </w:rPr>
          <w:tab/>
        </w:r>
        <w:r w:rsidR="00FA69A6">
          <w:rPr>
            <w:webHidden/>
          </w:rPr>
          <w:fldChar w:fldCharType="begin"/>
        </w:r>
        <w:r w:rsidR="00FA69A6">
          <w:rPr>
            <w:webHidden/>
          </w:rPr>
          <w:instrText xml:space="preserve"> PAGEREF _Toc132823426 \h </w:instrText>
        </w:r>
        <w:r w:rsidR="00FA69A6">
          <w:rPr>
            <w:webHidden/>
          </w:rPr>
        </w:r>
        <w:r w:rsidR="00FA69A6">
          <w:rPr>
            <w:webHidden/>
          </w:rPr>
          <w:fldChar w:fldCharType="separate"/>
        </w:r>
        <w:r w:rsidR="002178D6">
          <w:rPr>
            <w:webHidden/>
          </w:rPr>
          <w:t>36</w:t>
        </w:r>
        <w:r w:rsidR="00FA69A6">
          <w:rPr>
            <w:webHidden/>
          </w:rPr>
          <w:fldChar w:fldCharType="end"/>
        </w:r>
      </w:hyperlink>
    </w:p>
    <w:p w14:paraId="4CC93671" w14:textId="541CF3E7" w:rsidR="00FA69A6" w:rsidRDefault="00000000">
      <w:pPr>
        <w:pStyle w:val="TOC1"/>
        <w:rPr>
          <w:rFonts w:cstheme="minorBidi"/>
          <w:sz w:val="22"/>
          <w:szCs w:val="22"/>
          <w:lang w:val="en-AU" w:eastAsia="en-AU"/>
        </w:rPr>
      </w:pPr>
      <w:hyperlink w:anchor="_Toc132823427" w:history="1">
        <w:r w:rsidR="00FA69A6" w:rsidRPr="006A024B">
          <w:rPr>
            <w:rStyle w:val="Hyperlink"/>
          </w:rPr>
          <w:t>Table 7. Prescriber regulations across Australian jurisdictions</w:t>
        </w:r>
        <w:r w:rsidR="00FA69A6">
          <w:rPr>
            <w:webHidden/>
          </w:rPr>
          <w:tab/>
        </w:r>
        <w:r w:rsidR="00FA69A6">
          <w:rPr>
            <w:webHidden/>
          </w:rPr>
          <w:fldChar w:fldCharType="begin"/>
        </w:r>
        <w:r w:rsidR="00FA69A6">
          <w:rPr>
            <w:webHidden/>
          </w:rPr>
          <w:instrText xml:space="preserve"> PAGEREF _Toc132823427 \h </w:instrText>
        </w:r>
        <w:r w:rsidR="00FA69A6">
          <w:rPr>
            <w:webHidden/>
          </w:rPr>
        </w:r>
        <w:r w:rsidR="00FA69A6">
          <w:rPr>
            <w:webHidden/>
          </w:rPr>
          <w:fldChar w:fldCharType="separate"/>
        </w:r>
        <w:r w:rsidR="002178D6">
          <w:rPr>
            <w:webHidden/>
          </w:rPr>
          <w:t>39</w:t>
        </w:r>
        <w:r w:rsidR="00FA69A6">
          <w:rPr>
            <w:webHidden/>
          </w:rPr>
          <w:fldChar w:fldCharType="end"/>
        </w:r>
      </w:hyperlink>
    </w:p>
    <w:p w14:paraId="5E3A6CE2" w14:textId="3FB7F8B1" w:rsidR="00FA69A6" w:rsidRDefault="00000000">
      <w:pPr>
        <w:pStyle w:val="TOC1"/>
        <w:rPr>
          <w:rFonts w:cstheme="minorBidi"/>
          <w:sz w:val="22"/>
          <w:szCs w:val="22"/>
          <w:lang w:val="en-AU" w:eastAsia="en-AU"/>
        </w:rPr>
      </w:pPr>
      <w:hyperlink w:anchor="_Toc132823428" w:history="1">
        <w:r w:rsidR="00FA69A6" w:rsidRPr="006A024B">
          <w:rPr>
            <w:rStyle w:val="Hyperlink"/>
          </w:rPr>
          <w:t>Table 8. Challenges experienced and strategies used at the CoLAB study sites in SA, VIC and NSW during a study examining use of long acting buprenorphine, May 2019 to November 2020 (n=100)</w:t>
        </w:r>
        <w:r w:rsidR="00FA69A6" w:rsidRPr="006A024B">
          <w:rPr>
            <w:rStyle w:val="Hyperlink"/>
            <w:vertAlign w:val="superscript"/>
          </w:rPr>
          <w:t>5</w:t>
        </w:r>
        <w:r w:rsidR="00FA69A6">
          <w:rPr>
            <w:webHidden/>
          </w:rPr>
          <w:tab/>
        </w:r>
        <w:r w:rsidR="00FA69A6">
          <w:rPr>
            <w:webHidden/>
          </w:rPr>
          <w:fldChar w:fldCharType="begin"/>
        </w:r>
        <w:r w:rsidR="00FA69A6">
          <w:rPr>
            <w:webHidden/>
          </w:rPr>
          <w:instrText xml:space="preserve"> PAGEREF _Toc132823428 \h </w:instrText>
        </w:r>
        <w:r w:rsidR="00FA69A6">
          <w:rPr>
            <w:webHidden/>
          </w:rPr>
        </w:r>
        <w:r w:rsidR="00FA69A6">
          <w:rPr>
            <w:webHidden/>
          </w:rPr>
          <w:fldChar w:fldCharType="separate"/>
        </w:r>
        <w:r w:rsidR="002178D6">
          <w:rPr>
            <w:webHidden/>
          </w:rPr>
          <w:t>45</w:t>
        </w:r>
        <w:r w:rsidR="00FA69A6">
          <w:rPr>
            <w:webHidden/>
          </w:rPr>
          <w:fldChar w:fldCharType="end"/>
        </w:r>
      </w:hyperlink>
    </w:p>
    <w:p w14:paraId="02700028" w14:textId="2F38B0A2" w:rsidR="00FA69A6" w:rsidRDefault="00000000">
      <w:pPr>
        <w:pStyle w:val="TOC1"/>
        <w:rPr>
          <w:rFonts w:cstheme="minorBidi"/>
          <w:sz w:val="22"/>
          <w:szCs w:val="22"/>
          <w:lang w:val="en-AU" w:eastAsia="en-AU"/>
        </w:rPr>
      </w:pPr>
      <w:hyperlink w:anchor="_Toc132823429" w:history="1">
        <w:r w:rsidR="00FA69A6" w:rsidRPr="006A024B">
          <w:rPr>
            <w:rStyle w:val="Hyperlink"/>
          </w:rPr>
          <w:t>Table 9. Barriers and facilitators to ODT medicine entry, delivery, and retention from a range of perspectives</w:t>
        </w:r>
        <w:r w:rsidR="00FA69A6">
          <w:rPr>
            <w:webHidden/>
          </w:rPr>
          <w:tab/>
        </w:r>
        <w:r w:rsidR="00FA69A6">
          <w:rPr>
            <w:webHidden/>
          </w:rPr>
          <w:fldChar w:fldCharType="begin"/>
        </w:r>
        <w:r w:rsidR="00FA69A6">
          <w:rPr>
            <w:webHidden/>
          </w:rPr>
          <w:instrText xml:space="preserve"> PAGEREF _Toc132823429 \h </w:instrText>
        </w:r>
        <w:r w:rsidR="00FA69A6">
          <w:rPr>
            <w:webHidden/>
          </w:rPr>
        </w:r>
        <w:r w:rsidR="00FA69A6">
          <w:rPr>
            <w:webHidden/>
          </w:rPr>
          <w:fldChar w:fldCharType="separate"/>
        </w:r>
        <w:r w:rsidR="002178D6">
          <w:rPr>
            <w:webHidden/>
          </w:rPr>
          <w:t>53</w:t>
        </w:r>
        <w:r w:rsidR="00FA69A6">
          <w:rPr>
            <w:webHidden/>
          </w:rPr>
          <w:fldChar w:fldCharType="end"/>
        </w:r>
      </w:hyperlink>
    </w:p>
    <w:p w14:paraId="1DC2C125" w14:textId="38999F2E" w:rsidR="00FA69A6" w:rsidRDefault="00000000">
      <w:pPr>
        <w:pStyle w:val="TOC1"/>
        <w:rPr>
          <w:rFonts w:cstheme="minorBidi"/>
          <w:sz w:val="22"/>
          <w:szCs w:val="22"/>
          <w:lang w:val="en-AU" w:eastAsia="en-AU"/>
        </w:rPr>
      </w:pPr>
      <w:hyperlink w:anchor="_Toc132823430" w:history="1">
        <w:r w:rsidR="00FA69A6" w:rsidRPr="006A024B">
          <w:rPr>
            <w:rStyle w:val="Hyperlink"/>
          </w:rPr>
          <w:t>Table 10. Barriers and facilitators to ODT medicines for rural and remote communities</w:t>
        </w:r>
        <w:r w:rsidR="00FA69A6">
          <w:rPr>
            <w:webHidden/>
          </w:rPr>
          <w:tab/>
        </w:r>
        <w:r w:rsidR="00FA69A6">
          <w:rPr>
            <w:webHidden/>
          </w:rPr>
          <w:fldChar w:fldCharType="begin"/>
        </w:r>
        <w:r w:rsidR="00FA69A6">
          <w:rPr>
            <w:webHidden/>
          </w:rPr>
          <w:instrText xml:space="preserve"> PAGEREF _Toc132823430 \h </w:instrText>
        </w:r>
        <w:r w:rsidR="00FA69A6">
          <w:rPr>
            <w:webHidden/>
          </w:rPr>
        </w:r>
        <w:r w:rsidR="00FA69A6">
          <w:rPr>
            <w:webHidden/>
          </w:rPr>
          <w:fldChar w:fldCharType="separate"/>
        </w:r>
        <w:r w:rsidR="002178D6">
          <w:rPr>
            <w:webHidden/>
          </w:rPr>
          <w:t>59</w:t>
        </w:r>
        <w:r w:rsidR="00FA69A6">
          <w:rPr>
            <w:webHidden/>
          </w:rPr>
          <w:fldChar w:fldCharType="end"/>
        </w:r>
      </w:hyperlink>
    </w:p>
    <w:p w14:paraId="53786E47" w14:textId="59B124D8" w:rsidR="00FA69A6" w:rsidRDefault="00000000">
      <w:pPr>
        <w:pStyle w:val="TOC1"/>
        <w:rPr>
          <w:rFonts w:cstheme="minorBidi"/>
          <w:sz w:val="22"/>
          <w:szCs w:val="22"/>
          <w:lang w:val="en-AU" w:eastAsia="en-AU"/>
        </w:rPr>
      </w:pPr>
      <w:hyperlink w:anchor="_Toc132823431" w:history="1">
        <w:r w:rsidR="00FA69A6" w:rsidRPr="006A024B">
          <w:rPr>
            <w:rStyle w:val="Hyperlink"/>
          </w:rPr>
          <w:t>Table 11. Costs of ODT medicines in NSW correctional facilities</w:t>
        </w:r>
        <w:r w:rsidR="00FA69A6" w:rsidRPr="006A024B">
          <w:rPr>
            <w:rStyle w:val="Hyperlink"/>
            <w:vertAlign w:val="superscript"/>
          </w:rPr>
          <w:t>80</w:t>
        </w:r>
        <w:r w:rsidR="00FA69A6">
          <w:rPr>
            <w:webHidden/>
          </w:rPr>
          <w:tab/>
        </w:r>
        <w:r w:rsidR="00FA69A6">
          <w:rPr>
            <w:webHidden/>
          </w:rPr>
          <w:fldChar w:fldCharType="begin"/>
        </w:r>
        <w:r w:rsidR="00FA69A6">
          <w:rPr>
            <w:webHidden/>
          </w:rPr>
          <w:instrText xml:space="preserve"> PAGEREF _Toc132823431 \h </w:instrText>
        </w:r>
        <w:r w:rsidR="00FA69A6">
          <w:rPr>
            <w:webHidden/>
          </w:rPr>
        </w:r>
        <w:r w:rsidR="00FA69A6">
          <w:rPr>
            <w:webHidden/>
          </w:rPr>
          <w:fldChar w:fldCharType="separate"/>
        </w:r>
        <w:r w:rsidR="002178D6">
          <w:rPr>
            <w:webHidden/>
          </w:rPr>
          <w:t>66</w:t>
        </w:r>
        <w:r w:rsidR="00FA69A6">
          <w:rPr>
            <w:webHidden/>
          </w:rPr>
          <w:fldChar w:fldCharType="end"/>
        </w:r>
      </w:hyperlink>
    </w:p>
    <w:p w14:paraId="4E2B6F5C" w14:textId="42BE2A82" w:rsidR="00FA69A6" w:rsidRDefault="00000000">
      <w:pPr>
        <w:pStyle w:val="TOC1"/>
        <w:rPr>
          <w:rFonts w:cstheme="minorBidi"/>
          <w:sz w:val="22"/>
          <w:szCs w:val="22"/>
          <w:lang w:val="en-AU" w:eastAsia="en-AU"/>
        </w:rPr>
      </w:pPr>
      <w:hyperlink w:anchor="_Toc132823432" w:history="1">
        <w:r w:rsidR="00FA69A6" w:rsidRPr="006A024B">
          <w:rPr>
            <w:rStyle w:val="Hyperlink"/>
          </w:rPr>
          <w:t>Table 12. Staff type and time use for the delivery of the different activities in treatment using LAIB</w:t>
        </w:r>
        <w:r w:rsidR="00FA69A6">
          <w:rPr>
            <w:webHidden/>
          </w:rPr>
          <w:tab/>
        </w:r>
        <w:r w:rsidR="00FA69A6">
          <w:rPr>
            <w:webHidden/>
          </w:rPr>
          <w:fldChar w:fldCharType="begin"/>
        </w:r>
        <w:r w:rsidR="00FA69A6">
          <w:rPr>
            <w:webHidden/>
          </w:rPr>
          <w:instrText xml:space="preserve"> PAGEREF _Toc132823432 \h </w:instrText>
        </w:r>
        <w:r w:rsidR="00FA69A6">
          <w:rPr>
            <w:webHidden/>
          </w:rPr>
        </w:r>
        <w:r w:rsidR="00FA69A6">
          <w:rPr>
            <w:webHidden/>
          </w:rPr>
          <w:fldChar w:fldCharType="separate"/>
        </w:r>
        <w:r w:rsidR="002178D6">
          <w:rPr>
            <w:webHidden/>
          </w:rPr>
          <w:t>68</w:t>
        </w:r>
        <w:r w:rsidR="00FA69A6">
          <w:rPr>
            <w:webHidden/>
          </w:rPr>
          <w:fldChar w:fldCharType="end"/>
        </w:r>
      </w:hyperlink>
    </w:p>
    <w:p w14:paraId="735C06E4" w14:textId="61E8D970" w:rsidR="00FA69A6" w:rsidRDefault="00000000">
      <w:pPr>
        <w:pStyle w:val="TOC1"/>
        <w:rPr>
          <w:rFonts w:cstheme="minorBidi"/>
          <w:sz w:val="22"/>
          <w:szCs w:val="22"/>
          <w:lang w:val="en-AU" w:eastAsia="en-AU"/>
        </w:rPr>
      </w:pPr>
      <w:hyperlink w:anchor="_Toc132823433" w:history="1">
        <w:r w:rsidR="00FA69A6" w:rsidRPr="006A024B">
          <w:rPr>
            <w:rStyle w:val="Hyperlink"/>
          </w:rPr>
          <w:t>Table 13. Medication type and dose used in the community – data pooled from recent Australian cohort studies</w:t>
        </w:r>
        <w:r w:rsidR="00FA69A6">
          <w:rPr>
            <w:webHidden/>
          </w:rPr>
          <w:tab/>
        </w:r>
        <w:r w:rsidR="00FA69A6">
          <w:rPr>
            <w:webHidden/>
          </w:rPr>
          <w:fldChar w:fldCharType="begin"/>
        </w:r>
        <w:r w:rsidR="00FA69A6">
          <w:rPr>
            <w:webHidden/>
          </w:rPr>
          <w:instrText xml:space="preserve"> PAGEREF _Toc132823433 \h </w:instrText>
        </w:r>
        <w:r w:rsidR="00FA69A6">
          <w:rPr>
            <w:webHidden/>
          </w:rPr>
        </w:r>
        <w:r w:rsidR="00FA69A6">
          <w:rPr>
            <w:webHidden/>
          </w:rPr>
          <w:fldChar w:fldCharType="separate"/>
        </w:r>
        <w:r w:rsidR="002178D6">
          <w:rPr>
            <w:webHidden/>
          </w:rPr>
          <w:t>71</w:t>
        </w:r>
        <w:r w:rsidR="00FA69A6">
          <w:rPr>
            <w:webHidden/>
          </w:rPr>
          <w:fldChar w:fldCharType="end"/>
        </w:r>
      </w:hyperlink>
    </w:p>
    <w:p w14:paraId="2C815D4E" w14:textId="0A4E83D7" w:rsidR="00FA69A6" w:rsidRDefault="00000000">
      <w:pPr>
        <w:pStyle w:val="TOC1"/>
        <w:rPr>
          <w:rFonts w:cstheme="minorBidi"/>
          <w:sz w:val="22"/>
          <w:szCs w:val="22"/>
          <w:lang w:val="en-AU" w:eastAsia="en-AU"/>
        </w:rPr>
      </w:pPr>
      <w:hyperlink w:anchor="_Toc132823434" w:history="1">
        <w:r w:rsidR="00FA69A6" w:rsidRPr="006A024B">
          <w:rPr>
            <w:rStyle w:val="Hyperlink"/>
          </w:rPr>
          <w:t>Table 14. Dose distribution for LAIB formulations</w:t>
        </w:r>
        <w:r w:rsidR="00FA69A6">
          <w:rPr>
            <w:webHidden/>
          </w:rPr>
          <w:tab/>
        </w:r>
        <w:r w:rsidR="00FA69A6">
          <w:rPr>
            <w:webHidden/>
          </w:rPr>
          <w:fldChar w:fldCharType="begin"/>
        </w:r>
        <w:r w:rsidR="00FA69A6">
          <w:rPr>
            <w:webHidden/>
          </w:rPr>
          <w:instrText xml:space="preserve"> PAGEREF _Toc132823434 \h </w:instrText>
        </w:r>
        <w:r w:rsidR="00FA69A6">
          <w:rPr>
            <w:webHidden/>
          </w:rPr>
        </w:r>
        <w:r w:rsidR="00FA69A6">
          <w:rPr>
            <w:webHidden/>
          </w:rPr>
          <w:fldChar w:fldCharType="separate"/>
        </w:r>
        <w:r w:rsidR="002178D6">
          <w:rPr>
            <w:webHidden/>
          </w:rPr>
          <w:t>71</w:t>
        </w:r>
        <w:r w:rsidR="00FA69A6">
          <w:rPr>
            <w:webHidden/>
          </w:rPr>
          <w:fldChar w:fldCharType="end"/>
        </w:r>
      </w:hyperlink>
    </w:p>
    <w:p w14:paraId="79E53234" w14:textId="6F596F51" w:rsidR="00FA69A6" w:rsidRDefault="00000000">
      <w:pPr>
        <w:pStyle w:val="TOC1"/>
        <w:rPr>
          <w:rFonts w:cstheme="minorBidi"/>
          <w:sz w:val="22"/>
          <w:szCs w:val="22"/>
          <w:lang w:val="en-AU" w:eastAsia="en-AU"/>
        </w:rPr>
      </w:pPr>
      <w:hyperlink w:anchor="_Toc132823435" w:history="1">
        <w:r w:rsidR="00FA69A6" w:rsidRPr="006A024B">
          <w:rPr>
            <w:rStyle w:val="Hyperlink"/>
          </w:rPr>
          <w:t>Table 15. Pooled estimates of the proportion of consumers receiving takeaway doses</w:t>
        </w:r>
        <w:r w:rsidR="00FA69A6">
          <w:rPr>
            <w:webHidden/>
          </w:rPr>
          <w:tab/>
        </w:r>
        <w:r w:rsidR="00FA69A6">
          <w:rPr>
            <w:webHidden/>
          </w:rPr>
          <w:fldChar w:fldCharType="begin"/>
        </w:r>
        <w:r w:rsidR="00FA69A6">
          <w:rPr>
            <w:webHidden/>
          </w:rPr>
          <w:instrText xml:space="preserve"> PAGEREF _Toc132823435 \h </w:instrText>
        </w:r>
        <w:r w:rsidR="00FA69A6">
          <w:rPr>
            <w:webHidden/>
          </w:rPr>
        </w:r>
        <w:r w:rsidR="00FA69A6">
          <w:rPr>
            <w:webHidden/>
          </w:rPr>
          <w:fldChar w:fldCharType="separate"/>
        </w:r>
        <w:r w:rsidR="002178D6">
          <w:rPr>
            <w:webHidden/>
          </w:rPr>
          <w:t>72</w:t>
        </w:r>
        <w:r w:rsidR="00FA69A6">
          <w:rPr>
            <w:webHidden/>
          </w:rPr>
          <w:fldChar w:fldCharType="end"/>
        </w:r>
      </w:hyperlink>
    </w:p>
    <w:p w14:paraId="68C3EFEC" w14:textId="72F1A3CA" w:rsidR="00FA69A6" w:rsidRDefault="00000000">
      <w:pPr>
        <w:pStyle w:val="TOC1"/>
        <w:rPr>
          <w:rFonts w:cstheme="minorBidi"/>
          <w:sz w:val="22"/>
          <w:szCs w:val="22"/>
          <w:lang w:val="en-AU" w:eastAsia="en-AU"/>
        </w:rPr>
      </w:pPr>
      <w:hyperlink w:anchor="_Toc132823436" w:history="1">
        <w:r w:rsidR="00FA69A6" w:rsidRPr="006A024B">
          <w:rPr>
            <w:rStyle w:val="Hyperlink"/>
            <w:rFonts w:eastAsia="Times New Roman"/>
          </w:rPr>
          <w:t>Table 16. Annual expenditure of medicines for opioid dependence treatment by financial year</w:t>
        </w:r>
        <w:r w:rsidR="00FA69A6">
          <w:rPr>
            <w:webHidden/>
          </w:rPr>
          <w:tab/>
        </w:r>
        <w:r w:rsidR="00FA69A6">
          <w:rPr>
            <w:webHidden/>
          </w:rPr>
          <w:fldChar w:fldCharType="begin"/>
        </w:r>
        <w:r w:rsidR="00FA69A6">
          <w:rPr>
            <w:webHidden/>
          </w:rPr>
          <w:instrText xml:space="preserve"> PAGEREF _Toc132823436 \h </w:instrText>
        </w:r>
        <w:r w:rsidR="00FA69A6">
          <w:rPr>
            <w:webHidden/>
          </w:rPr>
        </w:r>
        <w:r w:rsidR="00FA69A6">
          <w:rPr>
            <w:webHidden/>
          </w:rPr>
          <w:fldChar w:fldCharType="separate"/>
        </w:r>
        <w:r w:rsidR="002178D6">
          <w:rPr>
            <w:webHidden/>
          </w:rPr>
          <w:t>73</w:t>
        </w:r>
        <w:r w:rsidR="00FA69A6">
          <w:rPr>
            <w:webHidden/>
          </w:rPr>
          <w:fldChar w:fldCharType="end"/>
        </w:r>
      </w:hyperlink>
    </w:p>
    <w:p w14:paraId="3FD81477" w14:textId="27070561" w:rsidR="00FA69A6" w:rsidRDefault="00000000">
      <w:pPr>
        <w:pStyle w:val="TOC1"/>
        <w:rPr>
          <w:rFonts w:cstheme="minorBidi"/>
          <w:sz w:val="22"/>
          <w:szCs w:val="22"/>
          <w:lang w:val="en-AU" w:eastAsia="en-AU"/>
        </w:rPr>
      </w:pPr>
      <w:hyperlink w:anchor="_Toc132823437" w:history="1">
        <w:r w:rsidR="00FA69A6" w:rsidRPr="006A024B">
          <w:rPr>
            <w:rStyle w:val="Hyperlink"/>
            <w:rFonts w:eastAsia="Times New Roman"/>
          </w:rPr>
          <w:t>Table 17. Annual expenditure growth of medicines for opioid dependence treatment by FY</w:t>
        </w:r>
        <w:r w:rsidR="00FA69A6">
          <w:rPr>
            <w:webHidden/>
          </w:rPr>
          <w:tab/>
        </w:r>
        <w:r w:rsidR="00FA69A6">
          <w:rPr>
            <w:webHidden/>
          </w:rPr>
          <w:fldChar w:fldCharType="begin"/>
        </w:r>
        <w:r w:rsidR="00FA69A6">
          <w:rPr>
            <w:webHidden/>
          </w:rPr>
          <w:instrText xml:space="preserve"> PAGEREF _Toc132823437 \h </w:instrText>
        </w:r>
        <w:r w:rsidR="00FA69A6">
          <w:rPr>
            <w:webHidden/>
          </w:rPr>
        </w:r>
        <w:r w:rsidR="00FA69A6">
          <w:rPr>
            <w:webHidden/>
          </w:rPr>
          <w:fldChar w:fldCharType="separate"/>
        </w:r>
        <w:r w:rsidR="002178D6">
          <w:rPr>
            <w:webHidden/>
          </w:rPr>
          <w:t>73</w:t>
        </w:r>
        <w:r w:rsidR="00FA69A6">
          <w:rPr>
            <w:webHidden/>
          </w:rPr>
          <w:fldChar w:fldCharType="end"/>
        </w:r>
      </w:hyperlink>
    </w:p>
    <w:p w14:paraId="5F95EA00" w14:textId="0E5109D6" w:rsidR="00FA69A6" w:rsidRDefault="00000000">
      <w:pPr>
        <w:pStyle w:val="TOC1"/>
        <w:rPr>
          <w:rFonts w:cstheme="minorBidi"/>
          <w:sz w:val="22"/>
          <w:szCs w:val="22"/>
          <w:lang w:val="en-AU" w:eastAsia="en-AU"/>
        </w:rPr>
      </w:pPr>
      <w:hyperlink w:anchor="_Toc132823438" w:history="1">
        <w:r w:rsidR="00FA69A6" w:rsidRPr="006A024B">
          <w:rPr>
            <w:rStyle w:val="Hyperlink"/>
            <w:lang w:eastAsia="en-AU"/>
          </w:rPr>
          <w:t>Table 18. Cost per average daily dose of each PBS ODTP medicine</w:t>
        </w:r>
        <w:r w:rsidR="00FA69A6">
          <w:rPr>
            <w:webHidden/>
          </w:rPr>
          <w:tab/>
        </w:r>
        <w:r w:rsidR="00FA69A6">
          <w:rPr>
            <w:webHidden/>
          </w:rPr>
          <w:fldChar w:fldCharType="begin"/>
        </w:r>
        <w:r w:rsidR="00FA69A6">
          <w:rPr>
            <w:webHidden/>
          </w:rPr>
          <w:instrText xml:space="preserve"> PAGEREF _Toc132823438 \h </w:instrText>
        </w:r>
        <w:r w:rsidR="00FA69A6">
          <w:rPr>
            <w:webHidden/>
          </w:rPr>
        </w:r>
        <w:r w:rsidR="00FA69A6">
          <w:rPr>
            <w:webHidden/>
          </w:rPr>
          <w:fldChar w:fldCharType="separate"/>
        </w:r>
        <w:r w:rsidR="002178D6">
          <w:rPr>
            <w:webHidden/>
          </w:rPr>
          <w:t>74</w:t>
        </w:r>
        <w:r w:rsidR="00FA69A6">
          <w:rPr>
            <w:webHidden/>
          </w:rPr>
          <w:fldChar w:fldCharType="end"/>
        </w:r>
      </w:hyperlink>
    </w:p>
    <w:p w14:paraId="153EFADD" w14:textId="676BBD0F" w:rsidR="00FA69A6" w:rsidRDefault="00000000">
      <w:pPr>
        <w:pStyle w:val="TOC1"/>
        <w:rPr>
          <w:rFonts w:cstheme="minorBidi"/>
          <w:sz w:val="22"/>
          <w:szCs w:val="22"/>
          <w:lang w:val="en-AU" w:eastAsia="en-AU"/>
        </w:rPr>
      </w:pPr>
      <w:hyperlink w:anchor="_Toc132823439" w:history="1">
        <w:r w:rsidR="00FA69A6" w:rsidRPr="006A024B">
          <w:rPr>
            <w:rStyle w:val="Hyperlink"/>
            <w:rFonts w:eastAsia="Calibri"/>
          </w:rPr>
          <w:t>Table 19. Breakdown of total PBS ODTP expenditure by drug and state and territory (GST exclusive, 2021-22 FY)</w:t>
        </w:r>
        <w:r w:rsidR="00FA69A6" w:rsidRPr="006A024B">
          <w:rPr>
            <w:rStyle w:val="Hyperlink"/>
            <w:rFonts w:eastAsia="Calibri"/>
            <w:vertAlign w:val="superscript"/>
          </w:rPr>
          <w:t>*</w:t>
        </w:r>
        <w:r w:rsidR="00FA69A6">
          <w:rPr>
            <w:webHidden/>
          </w:rPr>
          <w:tab/>
        </w:r>
        <w:r w:rsidR="00FA69A6">
          <w:rPr>
            <w:webHidden/>
          </w:rPr>
          <w:fldChar w:fldCharType="begin"/>
        </w:r>
        <w:r w:rsidR="00FA69A6">
          <w:rPr>
            <w:webHidden/>
          </w:rPr>
          <w:instrText xml:space="preserve"> PAGEREF _Toc132823439 \h </w:instrText>
        </w:r>
        <w:r w:rsidR="00FA69A6">
          <w:rPr>
            <w:webHidden/>
          </w:rPr>
        </w:r>
        <w:r w:rsidR="00FA69A6">
          <w:rPr>
            <w:webHidden/>
          </w:rPr>
          <w:fldChar w:fldCharType="separate"/>
        </w:r>
        <w:r w:rsidR="002178D6">
          <w:rPr>
            <w:webHidden/>
          </w:rPr>
          <w:t>76</w:t>
        </w:r>
        <w:r w:rsidR="00FA69A6">
          <w:rPr>
            <w:webHidden/>
          </w:rPr>
          <w:fldChar w:fldCharType="end"/>
        </w:r>
      </w:hyperlink>
    </w:p>
    <w:p w14:paraId="2C2AA33D" w14:textId="6F6FF6C9" w:rsidR="00FA69A6" w:rsidRDefault="00000000">
      <w:pPr>
        <w:pStyle w:val="TOC1"/>
        <w:rPr>
          <w:rFonts w:cstheme="minorBidi"/>
          <w:sz w:val="22"/>
          <w:szCs w:val="22"/>
          <w:lang w:val="en-AU" w:eastAsia="en-AU"/>
        </w:rPr>
      </w:pPr>
      <w:hyperlink w:anchor="_Toc132823440" w:history="1">
        <w:r w:rsidR="00FA69A6" w:rsidRPr="006A024B">
          <w:rPr>
            <w:rStyle w:val="Hyperlink"/>
            <w:rFonts w:eastAsia="Calibri"/>
          </w:rPr>
          <w:t>Table 20. Estimated percentage of PBS ODTP medicine doses supplied to each type of dosing point by medicine form</w:t>
        </w:r>
        <w:r w:rsidR="00FA69A6">
          <w:rPr>
            <w:webHidden/>
          </w:rPr>
          <w:tab/>
        </w:r>
        <w:r w:rsidR="00FA69A6">
          <w:rPr>
            <w:webHidden/>
          </w:rPr>
          <w:fldChar w:fldCharType="begin"/>
        </w:r>
        <w:r w:rsidR="00FA69A6">
          <w:rPr>
            <w:webHidden/>
          </w:rPr>
          <w:instrText xml:space="preserve"> PAGEREF _Toc132823440 \h </w:instrText>
        </w:r>
        <w:r w:rsidR="00FA69A6">
          <w:rPr>
            <w:webHidden/>
          </w:rPr>
        </w:r>
        <w:r w:rsidR="00FA69A6">
          <w:rPr>
            <w:webHidden/>
          </w:rPr>
          <w:fldChar w:fldCharType="separate"/>
        </w:r>
        <w:r w:rsidR="002178D6">
          <w:rPr>
            <w:webHidden/>
          </w:rPr>
          <w:t>77</w:t>
        </w:r>
        <w:r w:rsidR="00FA69A6">
          <w:rPr>
            <w:webHidden/>
          </w:rPr>
          <w:fldChar w:fldCharType="end"/>
        </w:r>
      </w:hyperlink>
    </w:p>
    <w:p w14:paraId="42C915F5" w14:textId="7AC5226A" w:rsidR="00227EAB" w:rsidRDefault="00636171" w:rsidP="00227EAB">
      <w:r>
        <w:fldChar w:fldCharType="end"/>
      </w:r>
      <w:bookmarkEnd w:id="2"/>
    </w:p>
    <w:p w14:paraId="4363049F" w14:textId="77777777" w:rsidR="00927367" w:rsidRDefault="00927367">
      <w:pPr>
        <w:spacing w:after="160" w:line="259" w:lineRule="auto"/>
        <w:jc w:val="left"/>
        <w:rPr>
          <w:rFonts w:asciiTheme="minorHAnsi" w:eastAsiaTheme="majorEastAsia" w:hAnsiTheme="minorHAnsi" w:cstheme="majorBidi"/>
          <w:color w:val="2F5496" w:themeColor="accent1" w:themeShade="BF"/>
          <w:sz w:val="26"/>
          <w:szCs w:val="26"/>
        </w:rPr>
      </w:pPr>
      <w:r>
        <w:br w:type="page"/>
      </w:r>
    </w:p>
    <w:p w14:paraId="591D0910" w14:textId="09EF7B8A" w:rsidR="0064372B" w:rsidRDefault="0064372B" w:rsidP="0064372B">
      <w:pPr>
        <w:pStyle w:val="Heading2"/>
      </w:pPr>
      <w:bookmarkStart w:id="3" w:name="_Toc163221149"/>
      <w:r>
        <w:lastRenderedPageBreak/>
        <w:t>List of Figures</w:t>
      </w:r>
      <w:bookmarkEnd w:id="3"/>
    </w:p>
    <w:p w14:paraId="5451C4C5" w14:textId="0FC76B7B" w:rsidR="00FA69A6" w:rsidRDefault="00227EAB">
      <w:pPr>
        <w:pStyle w:val="TOC1"/>
        <w:rPr>
          <w:rFonts w:cstheme="minorBidi"/>
          <w:sz w:val="22"/>
          <w:szCs w:val="22"/>
          <w:lang w:val="en-AU" w:eastAsia="en-AU"/>
        </w:rPr>
      </w:pPr>
      <w:r>
        <w:rPr>
          <w:sz w:val="22"/>
          <w:szCs w:val="22"/>
        </w:rPr>
        <w:fldChar w:fldCharType="begin"/>
      </w:r>
      <w:r>
        <w:instrText xml:space="preserve"> TOC \h \z \t "FIgures,1" </w:instrText>
      </w:r>
      <w:r>
        <w:rPr>
          <w:sz w:val="22"/>
          <w:szCs w:val="22"/>
        </w:rPr>
        <w:fldChar w:fldCharType="separate"/>
      </w:r>
      <w:hyperlink w:anchor="_Toc132823441" w:history="1">
        <w:r w:rsidR="00FA69A6" w:rsidRPr="00D54B2B">
          <w:rPr>
            <w:rStyle w:val="Hyperlink"/>
          </w:rPr>
          <w:t>Figure 1. Consumer preferences for ODT medications in the ETHOS (top) and PREFER* (bottom) studies</w:t>
        </w:r>
        <w:r w:rsidR="00FA69A6">
          <w:rPr>
            <w:webHidden/>
          </w:rPr>
          <w:tab/>
        </w:r>
        <w:r w:rsidR="00FA69A6">
          <w:rPr>
            <w:webHidden/>
          </w:rPr>
          <w:fldChar w:fldCharType="begin"/>
        </w:r>
        <w:r w:rsidR="00FA69A6">
          <w:rPr>
            <w:webHidden/>
          </w:rPr>
          <w:instrText xml:space="preserve"> PAGEREF _Toc132823441 \h </w:instrText>
        </w:r>
        <w:r w:rsidR="00FA69A6">
          <w:rPr>
            <w:webHidden/>
          </w:rPr>
        </w:r>
        <w:r w:rsidR="00FA69A6">
          <w:rPr>
            <w:webHidden/>
          </w:rPr>
          <w:fldChar w:fldCharType="separate"/>
        </w:r>
        <w:r w:rsidR="002178D6">
          <w:rPr>
            <w:webHidden/>
          </w:rPr>
          <w:t>47</w:t>
        </w:r>
        <w:r w:rsidR="00FA69A6">
          <w:rPr>
            <w:webHidden/>
          </w:rPr>
          <w:fldChar w:fldCharType="end"/>
        </w:r>
      </w:hyperlink>
    </w:p>
    <w:p w14:paraId="5FF68BD6" w14:textId="09E8D213" w:rsidR="00FA69A6" w:rsidRDefault="00000000">
      <w:pPr>
        <w:pStyle w:val="TOC1"/>
        <w:rPr>
          <w:rFonts w:cstheme="minorBidi"/>
          <w:sz w:val="22"/>
          <w:szCs w:val="22"/>
          <w:lang w:val="en-AU" w:eastAsia="en-AU"/>
        </w:rPr>
      </w:pPr>
      <w:hyperlink w:anchor="_Toc132823442" w:history="1">
        <w:r w:rsidR="00FA69A6" w:rsidRPr="00D54B2B">
          <w:rPr>
            <w:rStyle w:val="Hyperlink"/>
          </w:rPr>
          <w:t>Figure 2. Perceived facilitators and barriers for entering treatment with ODT medicines</w:t>
        </w:r>
        <w:r w:rsidR="00FA69A6">
          <w:rPr>
            <w:webHidden/>
          </w:rPr>
          <w:tab/>
        </w:r>
        <w:r w:rsidR="00FA69A6">
          <w:rPr>
            <w:webHidden/>
          </w:rPr>
          <w:fldChar w:fldCharType="begin"/>
        </w:r>
        <w:r w:rsidR="00FA69A6">
          <w:rPr>
            <w:webHidden/>
          </w:rPr>
          <w:instrText xml:space="preserve"> PAGEREF _Toc132823442 \h </w:instrText>
        </w:r>
        <w:r w:rsidR="00FA69A6">
          <w:rPr>
            <w:webHidden/>
          </w:rPr>
        </w:r>
        <w:r w:rsidR="00FA69A6">
          <w:rPr>
            <w:webHidden/>
          </w:rPr>
          <w:fldChar w:fldCharType="separate"/>
        </w:r>
        <w:r w:rsidR="002178D6">
          <w:rPr>
            <w:webHidden/>
          </w:rPr>
          <w:t>55</w:t>
        </w:r>
        <w:r w:rsidR="00FA69A6">
          <w:rPr>
            <w:webHidden/>
          </w:rPr>
          <w:fldChar w:fldCharType="end"/>
        </w:r>
      </w:hyperlink>
    </w:p>
    <w:p w14:paraId="105F7B85" w14:textId="18574DCA" w:rsidR="00FA69A6" w:rsidRDefault="00000000">
      <w:pPr>
        <w:pStyle w:val="TOC1"/>
        <w:rPr>
          <w:rFonts w:cstheme="minorBidi"/>
          <w:sz w:val="22"/>
          <w:szCs w:val="22"/>
          <w:lang w:val="en-AU" w:eastAsia="en-AU"/>
        </w:rPr>
      </w:pPr>
      <w:hyperlink w:anchor="_Toc132823443" w:history="1">
        <w:r w:rsidR="00FA69A6" w:rsidRPr="00D54B2B">
          <w:rPr>
            <w:rStyle w:val="Hyperlink"/>
          </w:rPr>
          <w:t>Figure 3. Main treatment goal in ODT medicines reported by participants of the CoLAB study (n=400)</w:t>
        </w:r>
        <w:r w:rsidR="00FA69A6">
          <w:rPr>
            <w:webHidden/>
          </w:rPr>
          <w:tab/>
        </w:r>
        <w:r w:rsidR="00FA69A6">
          <w:rPr>
            <w:webHidden/>
          </w:rPr>
          <w:fldChar w:fldCharType="begin"/>
        </w:r>
        <w:r w:rsidR="00FA69A6">
          <w:rPr>
            <w:webHidden/>
          </w:rPr>
          <w:instrText xml:space="preserve"> PAGEREF _Toc132823443 \h </w:instrText>
        </w:r>
        <w:r w:rsidR="00FA69A6">
          <w:rPr>
            <w:webHidden/>
          </w:rPr>
        </w:r>
        <w:r w:rsidR="00FA69A6">
          <w:rPr>
            <w:webHidden/>
          </w:rPr>
          <w:fldChar w:fldCharType="separate"/>
        </w:r>
        <w:r w:rsidR="002178D6">
          <w:rPr>
            <w:webHidden/>
          </w:rPr>
          <w:t>56</w:t>
        </w:r>
        <w:r w:rsidR="00FA69A6">
          <w:rPr>
            <w:webHidden/>
          </w:rPr>
          <w:fldChar w:fldCharType="end"/>
        </w:r>
      </w:hyperlink>
    </w:p>
    <w:p w14:paraId="3A124A93" w14:textId="624E24EE" w:rsidR="00FA69A6" w:rsidRDefault="00000000">
      <w:pPr>
        <w:pStyle w:val="TOC1"/>
        <w:rPr>
          <w:rFonts w:cstheme="minorBidi"/>
          <w:sz w:val="22"/>
          <w:szCs w:val="22"/>
          <w:lang w:val="en-AU" w:eastAsia="en-AU"/>
        </w:rPr>
      </w:pPr>
      <w:hyperlink w:anchor="_Toc132823444" w:history="1">
        <w:r w:rsidR="00FA69A6" w:rsidRPr="00D54B2B">
          <w:rPr>
            <w:rStyle w:val="Hyperlink"/>
          </w:rPr>
          <w:t>Figure 4.</w:t>
        </w:r>
        <w:r w:rsidR="00FA69A6" w:rsidRPr="00D54B2B">
          <w:rPr>
            <w:rStyle w:val="Hyperlink"/>
            <w:bCs/>
          </w:rPr>
          <w:t xml:space="preserve"> </w:t>
        </w:r>
        <w:r w:rsidR="00FA69A6" w:rsidRPr="00D54B2B">
          <w:rPr>
            <w:rStyle w:val="Hyperlink"/>
          </w:rPr>
          <w:t>Main motivation for entering treatment with ODT medicines reported by participants of the CoLAB study (n=400)</w:t>
        </w:r>
        <w:r w:rsidR="00FA69A6">
          <w:rPr>
            <w:webHidden/>
          </w:rPr>
          <w:tab/>
        </w:r>
        <w:r w:rsidR="00FA69A6">
          <w:rPr>
            <w:webHidden/>
          </w:rPr>
          <w:fldChar w:fldCharType="begin"/>
        </w:r>
        <w:r w:rsidR="00FA69A6">
          <w:rPr>
            <w:webHidden/>
          </w:rPr>
          <w:instrText xml:space="preserve"> PAGEREF _Toc132823444 \h </w:instrText>
        </w:r>
        <w:r w:rsidR="00FA69A6">
          <w:rPr>
            <w:webHidden/>
          </w:rPr>
        </w:r>
        <w:r w:rsidR="00FA69A6">
          <w:rPr>
            <w:webHidden/>
          </w:rPr>
          <w:fldChar w:fldCharType="separate"/>
        </w:r>
        <w:r w:rsidR="002178D6">
          <w:rPr>
            <w:webHidden/>
          </w:rPr>
          <w:t>57</w:t>
        </w:r>
        <w:r w:rsidR="00FA69A6">
          <w:rPr>
            <w:webHidden/>
          </w:rPr>
          <w:fldChar w:fldCharType="end"/>
        </w:r>
      </w:hyperlink>
    </w:p>
    <w:p w14:paraId="6AC3B826" w14:textId="6F7D22C2" w:rsidR="00FA69A6" w:rsidRDefault="00000000">
      <w:pPr>
        <w:pStyle w:val="TOC1"/>
        <w:rPr>
          <w:rFonts w:cstheme="minorBidi"/>
          <w:sz w:val="22"/>
          <w:szCs w:val="22"/>
          <w:lang w:val="en-AU" w:eastAsia="en-AU"/>
        </w:rPr>
      </w:pPr>
      <w:hyperlink w:anchor="_Toc132823445" w:history="1">
        <w:r w:rsidR="00FA69A6" w:rsidRPr="00D54B2B">
          <w:rPr>
            <w:rStyle w:val="Hyperlink"/>
          </w:rPr>
          <w:t>Figure 5. Resource use as a percentage of total annual costs for delivery of 12 months of LAIB treatment</w:t>
        </w:r>
        <w:r w:rsidR="00FA69A6">
          <w:rPr>
            <w:webHidden/>
          </w:rPr>
          <w:tab/>
        </w:r>
        <w:r w:rsidR="00FA69A6">
          <w:rPr>
            <w:webHidden/>
          </w:rPr>
          <w:fldChar w:fldCharType="begin"/>
        </w:r>
        <w:r w:rsidR="00FA69A6">
          <w:rPr>
            <w:webHidden/>
          </w:rPr>
          <w:instrText xml:space="preserve"> PAGEREF _Toc132823445 \h </w:instrText>
        </w:r>
        <w:r w:rsidR="00FA69A6">
          <w:rPr>
            <w:webHidden/>
          </w:rPr>
        </w:r>
        <w:r w:rsidR="00FA69A6">
          <w:rPr>
            <w:webHidden/>
          </w:rPr>
          <w:fldChar w:fldCharType="separate"/>
        </w:r>
        <w:r w:rsidR="002178D6">
          <w:rPr>
            <w:webHidden/>
          </w:rPr>
          <w:t>66</w:t>
        </w:r>
        <w:r w:rsidR="00FA69A6">
          <w:rPr>
            <w:webHidden/>
          </w:rPr>
          <w:fldChar w:fldCharType="end"/>
        </w:r>
      </w:hyperlink>
    </w:p>
    <w:p w14:paraId="717C8655" w14:textId="7DE8C9D2" w:rsidR="00FA69A6" w:rsidRDefault="00000000">
      <w:pPr>
        <w:pStyle w:val="TOC1"/>
        <w:rPr>
          <w:rFonts w:cstheme="minorBidi"/>
          <w:sz w:val="22"/>
          <w:szCs w:val="22"/>
          <w:lang w:val="en-AU" w:eastAsia="en-AU"/>
        </w:rPr>
      </w:pPr>
      <w:hyperlink w:anchor="_Toc132823446" w:history="1">
        <w:r w:rsidR="00FA69A6" w:rsidRPr="00D54B2B">
          <w:rPr>
            <w:rStyle w:val="Hyperlink"/>
            <w:rFonts w:eastAsia="Times New Roman"/>
          </w:rPr>
          <w:t>Figure 6. Approximate number of supplied ODT daily doses per financial year, broken down by medicine type.</w:t>
        </w:r>
        <w:r w:rsidR="00FA69A6">
          <w:rPr>
            <w:webHidden/>
          </w:rPr>
          <w:tab/>
        </w:r>
        <w:r w:rsidR="00FA69A6">
          <w:rPr>
            <w:webHidden/>
          </w:rPr>
          <w:fldChar w:fldCharType="begin"/>
        </w:r>
        <w:r w:rsidR="00FA69A6">
          <w:rPr>
            <w:webHidden/>
          </w:rPr>
          <w:instrText xml:space="preserve"> PAGEREF _Toc132823446 \h </w:instrText>
        </w:r>
        <w:r w:rsidR="00FA69A6">
          <w:rPr>
            <w:webHidden/>
          </w:rPr>
        </w:r>
        <w:r w:rsidR="00FA69A6">
          <w:rPr>
            <w:webHidden/>
          </w:rPr>
          <w:fldChar w:fldCharType="separate"/>
        </w:r>
        <w:r w:rsidR="002178D6">
          <w:rPr>
            <w:webHidden/>
          </w:rPr>
          <w:t>75</w:t>
        </w:r>
        <w:r w:rsidR="00FA69A6">
          <w:rPr>
            <w:webHidden/>
          </w:rPr>
          <w:fldChar w:fldCharType="end"/>
        </w:r>
      </w:hyperlink>
    </w:p>
    <w:p w14:paraId="38765114" w14:textId="513A66BC" w:rsidR="00A60594" w:rsidRDefault="00227EAB" w:rsidP="00227EAB">
      <w:pPr>
        <w:pStyle w:val="Heading2"/>
      </w:pPr>
      <w:r>
        <w:fldChar w:fldCharType="end"/>
      </w:r>
      <w:r w:rsidR="00421D86">
        <w:br w:type="page"/>
      </w:r>
      <w:bookmarkStart w:id="4" w:name="_Toc163221150"/>
      <w:r w:rsidR="00363A7A">
        <w:lastRenderedPageBreak/>
        <w:t>Terminology and Abbreviations</w:t>
      </w:r>
      <w:bookmarkEnd w:id="4"/>
    </w:p>
    <w:p w14:paraId="2AB2435C" w14:textId="77777777" w:rsidR="00363A7A" w:rsidRDefault="00363A7A" w:rsidP="00C11C23">
      <w:pPr>
        <w:pStyle w:val="Heading5"/>
      </w:pPr>
      <w:r>
        <w:t>Terminology</w:t>
      </w:r>
    </w:p>
    <w:p w14:paraId="28EE653A" w14:textId="2E19DBF5" w:rsidR="00420E81" w:rsidRDefault="00420E81" w:rsidP="00420E81">
      <w:r>
        <w:t xml:space="preserve">The report uses the term “consumer” rather than “client” or “individual” to </w:t>
      </w:r>
      <w:r w:rsidR="00B86AFA">
        <w:t>mean</w:t>
      </w:r>
      <w:r>
        <w:t xml:space="preserve"> people with opioid dependence in the context of opioid dependence treatment programs.</w:t>
      </w:r>
      <w:r w:rsidR="00B86AFA">
        <w:t xml:space="preserve"> </w:t>
      </w:r>
      <w:r>
        <w:t>The term “patient” is used in contexts that are medical in nature.</w:t>
      </w:r>
    </w:p>
    <w:p w14:paraId="27626C61" w14:textId="470957F2" w:rsidR="00B86AFA" w:rsidRPr="001A3E2C" w:rsidRDefault="00CA3F41" w:rsidP="00420E81">
      <w:pPr>
        <w:rPr>
          <w:rStyle w:val="normaltextrun"/>
        </w:rPr>
      </w:pPr>
      <w:r w:rsidRPr="00420E81">
        <w:rPr>
          <w:rStyle w:val="normaltextrun"/>
          <w:rFonts w:cs="Calibri"/>
          <w:color w:val="000000"/>
          <w:shd w:val="clear" w:color="auto" w:fill="FFFFFF"/>
        </w:rPr>
        <w:t>Varying terms (and their acronyms) are</w:t>
      </w:r>
      <w:r w:rsidR="00420E81" w:rsidRPr="00420E81">
        <w:rPr>
          <w:rStyle w:val="normaltextrun"/>
          <w:rFonts w:cs="Calibri"/>
          <w:color w:val="000000"/>
          <w:shd w:val="clear" w:color="auto" w:fill="FFFFFF"/>
        </w:rPr>
        <w:t xml:space="preserve"> </w:t>
      </w:r>
      <w:r w:rsidR="00B86AFA">
        <w:rPr>
          <w:rStyle w:val="normaltextrun"/>
          <w:rFonts w:cs="Calibri"/>
          <w:color w:val="000000"/>
          <w:shd w:val="clear" w:color="auto" w:fill="FFFFFF"/>
        </w:rPr>
        <w:t>often</w:t>
      </w:r>
      <w:r w:rsidRPr="00420E81">
        <w:rPr>
          <w:rStyle w:val="normaltextrun"/>
          <w:rFonts w:cs="Calibri"/>
          <w:color w:val="000000"/>
          <w:shd w:val="clear" w:color="auto" w:fill="FFFFFF"/>
        </w:rPr>
        <w:t xml:space="preserve"> used to describe treatment of opioid </w:t>
      </w:r>
      <w:r w:rsidR="003A07DC">
        <w:rPr>
          <w:rStyle w:val="normaltextrun"/>
          <w:rFonts w:cs="Calibri"/>
          <w:color w:val="000000"/>
          <w:shd w:val="clear" w:color="auto" w:fill="FFFFFF"/>
        </w:rPr>
        <w:t>dependence</w:t>
      </w:r>
      <w:r w:rsidR="003A07DC" w:rsidRPr="00420E81">
        <w:rPr>
          <w:rStyle w:val="normaltextrun"/>
          <w:rFonts w:cs="Calibri"/>
          <w:color w:val="000000"/>
          <w:shd w:val="clear" w:color="auto" w:fill="FFFFFF"/>
        </w:rPr>
        <w:t xml:space="preserve"> </w:t>
      </w:r>
      <w:r w:rsidRPr="00420E81">
        <w:rPr>
          <w:rStyle w:val="normaltextrun"/>
          <w:rFonts w:cs="Calibri"/>
          <w:color w:val="000000"/>
          <w:shd w:val="clear" w:color="auto" w:fill="FFFFFF"/>
        </w:rPr>
        <w:t xml:space="preserve">with medicines, including </w:t>
      </w:r>
      <w:r w:rsidR="00D8303B">
        <w:rPr>
          <w:rStyle w:val="normaltextrun"/>
          <w:rFonts w:cs="Calibri"/>
          <w:color w:val="000000"/>
          <w:shd w:val="clear" w:color="auto" w:fill="FFFFFF"/>
        </w:rPr>
        <w:t xml:space="preserve">opioid agonist treatment (OAT), </w:t>
      </w:r>
      <w:r w:rsidRPr="00420E81">
        <w:rPr>
          <w:rStyle w:val="normaltextrun"/>
          <w:rFonts w:cs="Calibri"/>
          <w:color w:val="000000"/>
          <w:shd w:val="clear" w:color="auto" w:fill="FFFFFF"/>
        </w:rPr>
        <w:t>opioid substitution therapy (OST)</w:t>
      </w:r>
      <w:r w:rsidR="00B86AFA">
        <w:rPr>
          <w:rStyle w:val="normaltextrun"/>
          <w:rFonts w:cs="Calibri"/>
          <w:color w:val="000000"/>
          <w:shd w:val="clear" w:color="auto" w:fill="FFFFFF"/>
        </w:rPr>
        <w:t>, opioid maintenance treatment (OM</w:t>
      </w:r>
      <w:r w:rsidR="00D8303B">
        <w:rPr>
          <w:rStyle w:val="normaltextrun"/>
          <w:rFonts w:cs="Calibri"/>
          <w:color w:val="000000"/>
          <w:shd w:val="clear" w:color="auto" w:fill="FFFFFF"/>
        </w:rPr>
        <w:t>T</w:t>
      </w:r>
      <w:r w:rsidR="00B86AFA">
        <w:rPr>
          <w:rStyle w:val="normaltextrun"/>
          <w:rFonts w:cs="Calibri"/>
          <w:color w:val="000000"/>
          <w:shd w:val="clear" w:color="auto" w:fill="FFFFFF"/>
        </w:rPr>
        <w:t>)</w:t>
      </w:r>
      <w:r w:rsidR="00D8303B">
        <w:rPr>
          <w:rStyle w:val="normaltextrun"/>
          <w:rFonts w:cs="Calibri"/>
          <w:color w:val="000000"/>
          <w:shd w:val="clear" w:color="auto" w:fill="FFFFFF"/>
        </w:rPr>
        <w:t xml:space="preserve">, </w:t>
      </w:r>
      <w:r w:rsidRPr="00420E81">
        <w:rPr>
          <w:rStyle w:val="normaltextrun"/>
          <w:rFonts w:cs="Calibri"/>
          <w:color w:val="000000"/>
          <w:shd w:val="clear" w:color="auto" w:fill="FFFFFF"/>
        </w:rPr>
        <w:t>opioid replacement therapy (ORT)</w:t>
      </w:r>
      <w:r w:rsidR="00D8303B">
        <w:rPr>
          <w:rStyle w:val="normaltextrun"/>
          <w:rFonts w:cs="Calibri"/>
          <w:color w:val="000000"/>
          <w:shd w:val="clear" w:color="auto" w:fill="FFFFFF"/>
        </w:rPr>
        <w:t xml:space="preserve"> and medication assisted treatment for opioid dependence (MATOD)</w:t>
      </w:r>
      <w:r w:rsidRPr="00420E81">
        <w:rPr>
          <w:rStyle w:val="normaltextrun"/>
          <w:rFonts w:cs="Calibri"/>
          <w:color w:val="000000"/>
          <w:shd w:val="clear" w:color="auto" w:fill="FFFFFF"/>
        </w:rPr>
        <w:t xml:space="preserve">. </w:t>
      </w:r>
      <w:r w:rsidRPr="001A3E2C">
        <w:rPr>
          <w:rStyle w:val="normaltextrun"/>
          <w:rFonts w:cs="Calibri"/>
          <w:color w:val="000000"/>
          <w:shd w:val="clear" w:color="auto" w:fill="FFFFFF"/>
        </w:rPr>
        <w:t>In this report we use</w:t>
      </w:r>
      <w:r w:rsidRPr="001A3E2C">
        <w:rPr>
          <w:rStyle w:val="normaltextrun"/>
          <w:rFonts w:cs="Calibri"/>
          <w:b/>
          <w:bCs/>
          <w:color w:val="000000"/>
          <w:shd w:val="clear" w:color="auto" w:fill="FFFFFF"/>
        </w:rPr>
        <w:t xml:space="preserve"> </w:t>
      </w:r>
      <w:r w:rsidR="003F4B9D">
        <w:rPr>
          <w:rStyle w:val="normaltextrun"/>
          <w:rFonts w:cs="Calibri"/>
          <w:b/>
          <w:bCs/>
          <w:color w:val="000000"/>
          <w:shd w:val="clear" w:color="auto" w:fill="FFFFFF"/>
        </w:rPr>
        <w:t>‘</w:t>
      </w:r>
      <w:r w:rsidR="00A27F66" w:rsidRPr="001A3E2C">
        <w:rPr>
          <w:rStyle w:val="normaltextrun"/>
          <w:rFonts w:cs="Calibri"/>
          <w:b/>
          <w:bCs/>
          <w:color w:val="000000"/>
          <w:shd w:val="clear" w:color="auto" w:fill="FFFFFF"/>
        </w:rPr>
        <w:t xml:space="preserve">opioid </w:t>
      </w:r>
      <w:r w:rsidR="00D8303B">
        <w:rPr>
          <w:rStyle w:val="normaltextrun"/>
          <w:rFonts w:cs="Calibri"/>
          <w:b/>
          <w:bCs/>
          <w:color w:val="000000"/>
          <w:shd w:val="clear" w:color="auto" w:fill="FFFFFF"/>
        </w:rPr>
        <w:t xml:space="preserve">dependence </w:t>
      </w:r>
      <w:r w:rsidR="00A27F66" w:rsidRPr="001A3E2C">
        <w:rPr>
          <w:rStyle w:val="normaltextrun"/>
          <w:rFonts w:cs="Calibri"/>
          <w:b/>
          <w:bCs/>
          <w:color w:val="000000"/>
          <w:shd w:val="clear" w:color="auto" w:fill="FFFFFF"/>
        </w:rPr>
        <w:t>treatment (</w:t>
      </w:r>
      <w:r w:rsidRPr="001A3E2C">
        <w:rPr>
          <w:rStyle w:val="normaltextrun"/>
          <w:rFonts w:cs="Calibri"/>
          <w:b/>
          <w:bCs/>
          <w:color w:val="000000"/>
          <w:shd w:val="clear" w:color="auto" w:fill="FFFFFF"/>
        </w:rPr>
        <w:t>O</w:t>
      </w:r>
      <w:r w:rsidR="00D8303B">
        <w:rPr>
          <w:rStyle w:val="normaltextrun"/>
          <w:rFonts w:cs="Calibri"/>
          <w:b/>
          <w:bCs/>
          <w:color w:val="000000"/>
          <w:shd w:val="clear" w:color="auto" w:fill="FFFFFF"/>
        </w:rPr>
        <w:t>D</w:t>
      </w:r>
      <w:r w:rsidRPr="001A3E2C">
        <w:rPr>
          <w:rStyle w:val="normaltextrun"/>
          <w:rFonts w:cs="Calibri"/>
          <w:b/>
          <w:bCs/>
          <w:color w:val="000000"/>
          <w:shd w:val="clear" w:color="auto" w:fill="FFFFFF"/>
        </w:rPr>
        <w:t>T</w:t>
      </w:r>
      <w:r w:rsidR="00A27F66" w:rsidRPr="001A3E2C">
        <w:rPr>
          <w:rStyle w:val="normaltextrun"/>
          <w:rFonts w:cs="Calibri"/>
          <w:b/>
          <w:bCs/>
          <w:color w:val="000000"/>
          <w:shd w:val="clear" w:color="auto" w:fill="FFFFFF"/>
        </w:rPr>
        <w:t>)</w:t>
      </w:r>
      <w:r w:rsidRPr="001A3E2C">
        <w:rPr>
          <w:rStyle w:val="normaltextrun"/>
          <w:rFonts w:cs="Calibri"/>
          <w:b/>
          <w:bCs/>
          <w:color w:val="000000"/>
          <w:shd w:val="clear" w:color="auto" w:fill="FFFFFF"/>
        </w:rPr>
        <w:t xml:space="preserve"> </w:t>
      </w:r>
      <w:r w:rsidR="00D8303B">
        <w:rPr>
          <w:rStyle w:val="normaltextrun"/>
          <w:rFonts w:cs="Calibri"/>
          <w:b/>
          <w:bCs/>
          <w:color w:val="000000"/>
          <w:shd w:val="clear" w:color="auto" w:fill="FFFFFF"/>
        </w:rPr>
        <w:t>medicines</w:t>
      </w:r>
      <w:r w:rsidR="003F4B9D">
        <w:rPr>
          <w:rStyle w:val="normaltextrun"/>
          <w:rFonts w:cs="Calibri"/>
          <w:b/>
          <w:bCs/>
          <w:color w:val="000000"/>
          <w:shd w:val="clear" w:color="auto" w:fill="FFFFFF"/>
        </w:rPr>
        <w:t>’</w:t>
      </w:r>
      <w:r w:rsidR="00D8303B">
        <w:rPr>
          <w:rStyle w:val="normaltextrun"/>
          <w:rFonts w:cs="Calibri"/>
          <w:b/>
          <w:bCs/>
          <w:color w:val="000000"/>
          <w:shd w:val="clear" w:color="auto" w:fill="FFFFFF"/>
        </w:rPr>
        <w:t xml:space="preserve"> </w:t>
      </w:r>
      <w:r w:rsidRPr="001A3E2C">
        <w:rPr>
          <w:rStyle w:val="normaltextrun"/>
          <w:rFonts w:cs="Calibri"/>
          <w:b/>
          <w:bCs/>
          <w:color w:val="000000"/>
          <w:shd w:val="clear" w:color="auto" w:fill="FFFFFF"/>
        </w:rPr>
        <w:t xml:space="preserve">to refer to </w:t>
      </w:r>
      <w:r w:rsidR="00A27F66" w:rsidRPr="001A3E2C">
        <w:rPr>
          <w:rStyle w:val="normaltextrun"/>
          <w:rFonts w:cs="Calibri"/>
          <w:b/>
          <w:bCs/>
          <w:color w:val="000000"/>
          <w:shd w:val="clear" w:color="auto" w:fill="FFFFFF"/>
        </w:rPr>
        <w:t xml:space="preserve">the </w:t>
      </w:r>
      <w:r w:rsidR="00E72F7F" w:rsidRPr="001A3E2C">
        <w:rPr>
          <w:rStyle w:val="normaltextrun"/>
          <w:rFonts w:cs="Calibri"/>
          <w:b/>
          <w:bCs/>
          <w:color w:val="000000"/>
          <w:shd w:val="clear" w:color="auto" w:fill="FFFFFF"/>
        </w:rPr>
        <w:t xml:space="preserve">pharmacotherapy </w:t>
      </w:r>
      <w:r w:rsidR="00D8303B">
        <w:rPr>
          <w:rStyle w:val="normaltextrun"/>
          <w:rFonts w:cs="Calibri"/>
          <w:b/>
          <w:bCs/>
          <w:color w:val="000000"/>
          <w:shd w:val="clear" w:color="auto" w:fill="FFFFFF"/>
        </w:rPr>
        <w:t xml:space="preserve">(or </w:t>
      </w:r>
      <w:r w:rsidR="00E72F7F" w:rsidRPr="001A3E2C">
        <w:rPr>
          <w:rStyle w:val="normaltextrun"/>
          <w:rFonts w:cs="Calibri"/>
          <w:b/>
          <w:bCs/>
          <w:color w:val="000000"/>
          <w:shd w:val="clear" w:color="auto" w:fill="FFFFFF"/>
        </w:rPr>
        <w:t>medicines) used for the treatment of opioid dependence</w:t>
      </w:r>
      <w:r w:rsidR="00876516">
        <w:rPr>
          <w:rStyle w:val="normaltextrun"/>
          <w:rFonts w:cs="Calibri"/>
          <w:b/>
          <w:bCs/>
          <w:color w:val="000000"/>
          <w:shd w:val="clear" w:color="auto" w:fill="FFFFFF"/>
        </w:rPr>
        <w:t xml:space="preserve"> listed on the </w:t>
      </w:r>
      <w:r w:rsidR="00876516">
        <w:rPr>
          <w:rStyle w:val="normaltextrun"/>
          <w:b/>
          <w:bCs/>
        </w:rPr>
        <w:t>Pharmaceutical Benefits Scheme (PBS)</w:t>
      </w:r>
      <w:r w:rsidR="00E72F7F" w:rsidRPr="001A3E2C">
        <w:rPr>
          <w:rStyle w:val="normaltextrun"/>
          <w:rFonts w:cs="Calibri"/>
          <w:b/>
          <w:bCs/>
          <w:color w:val="000000"/>
          <w:shd w:val="clear" w:color="auto" w:fill="FFFFFF"/>
        </w:rPr>
        <w:t xml:space="preserve">, </w:t>
      </w:r>
      <w:r w:rsidRPr="001A3E2C">
        <w:rPr>
          <w:rStyle w:val="normaltextrun"/>
          <w:rFonts w:cs="Calibri"/>
          <w:color w:val="000000"/>
          <w:shd w:val="clear" w:color="auto" w:fill="FFFFFF"/>
        </w:rPr>
        <w:t>although all terms have limitations. </w:t>
      </w:r>
      <w:r w:rsidRPr="001A3E2C">
        <w:rPr>
          <w:rStyle w:val="normaltextrun"/>
        </w:rPr>
        <w:t> </w:t>
      </w:r>
    </w:p>
    <w:p w14:paraId="1D1DDA61" w14:textId="45EAA897" w:rsidR="00420E81" w:rsidRPr="001A3E2C" w:rsidRDefault="00B86AFA" w:rsidP="00420E81">
      <w:pPr>
        <w:rPr>
          <w:rStyle w:val="normaltextrun"/>
          <w:b/>
          <w:bCs/>
        </w:rPr>
      </w:pPr>
      <w:r>
        <w:rPr>
          <w:rStyle w:val="normaltextrun"/>
        </w:rPr>
        <w:t xml:space="preserve">The term </w:t>
      </w:r>
      <w:r w:rsidR="003F4B9D">
        <w:rPr>
          <w:rStyle w:val="normaltextrun"/>
        </w:rPr>
        <w:t>‘</w:t>
      </w:r>
      <w:r w:rsidR="003F4B9D">
        <w:rPr>
          <w:rStyle w:val="normaltextrun"/>
          <w:b/>
          <w:bCs/>
        </w:rPr>
        <w:t>ODT</w:t>
      </w:r>
      <w:r w:rsidRPr="001A3E2C">
        <w:rPr>
          <w:rStyle w:val="normaltextrun"/>
          <w:b/>
          <w:bCs/>
        </w:rPr>
        <w:t xml:space="preserve"> </w:t>
      </w:r>
      <w:r w:rsidR="00D8303B">
        <w:rPr>
          <w:rStyle w:val="normaltextrun"/>
          <w:b/>
          <w:bCs/>
        </w:rPr>
        <w:t>programs</w:t>
      </w:r>
      <w:r w:rsidR="003F4B9D">
        <w:rPr>
          <w:rStyle w:val="normaltextrun"/>
          <w:b/>
          <w:bCs/>
        </w:rPr>
        <w:t>’</w:t>
      </w:r>
      <w:r w:rsidR="00D8303B">
        <w:rPr>
          <w:rStyle w:val="normaltextrun"/>
          <w:b/>
          <w:bCs/>
        </w:rPr>
        <w:t xml:space="preserve"> </w:t>
      </w:r>
      <w:r w:rsidRPr="001A3E2C">
        <w:rPr>
          <w:rStyle w:val="normaltextrun"/>
          <w:b/>
          <w:bCs/>
        </w:rPr>
        <w:t xml:space="preserve">is used </w:t>
      </w:r>
      <w:r w:rsidR="00E72F7F" w:rsidRPr="001A3E2C">
        <w:rPr>
          <w:rStyle w:val="normaltextrun"/>
          <w:b/>
          <w:bCs/>
        </w:rPr>
        <w:t>to describe</w:t>
      </w:r>
      <w:r w:rsidRPr="001A3E2C">
        <w:rPr>
          <w:rStyle w:val="normaltextrun"/>
          <w:b/>
          <w:bCs/>
        </w:rPr>
        <w:t xml:space="preserve"> the broader treatment of opioid dependence provided by individual jurisdictional program</w:t>
      </w:r>
      <w:r w:rsidR="00A27F66" w:rsidRPr="001A3E2C">
        <w:rPr>
          <w:rStyle w:val="normaltextrun"/>
          <w:b/>
          <w:bCs/>
        </w:rPr>
        <w:t>s</w:t>
      </w:r>
      <w:r w:rsidRPr="001A3E2C">
        <w:rPr>
          <w:rStyle w:val="normaltextrun"/>
          <w:b/>
          <w:bCs/>
        </w:rPr>
        <w:t xml:space="preserve">. </w:t>
      </w:r>
    </w:p>
    <w:p w14:paraId="614ECCB9" w14:textId="446A1C2A" w:rsidR="00BE1173" w:rsidRDefault="00BE1173" w:rsidP="00420E81">
      <w:pPr>
        <w:rPr>
          <w:rStyle w:val="normaltextrun"/>
        </w:rPr>
      </w:pPr>
      <w:r>
        <w:rPr>
          <w:rStyle w:val="normaltextrun"/>
        </w:rPr>
        <w:t xml:space="preserve">The </w:t>
      </w:r>
      <w:r w:rsidRPr="001A3E2C">
        <w:rPr>
          <w:rStyle w:val="normaltextrun"/>
        </w:rPr>
        <w:t>abbreviation</w:t>
      </w:r>
      <w:r w:rsidRPr="001A3E2C">
        <w:rPr>
          <w:rStyle w:val="normaltextrun"/>
          <w:b/>
          <w:bCs/>
        </w:rPr>
        <w:t xml:space="preserve"> </w:t>
      </w:r>
      <w:r w:rsidR="003F4B9D">
        <w:rPr>
          <w:rStyle w:val="normaltextrun"/>
          <w:b/>
          <w:bCs/>
        </w:rPr>
        <w:t>‘</w:t>
      </w:r>
      <w:r w:rsidR="00D8303B">
        <w:rPr>
          <w:rStyle w:val="normaltextrun"/>
          <w:b/>
          <w:bCs/>
        </w:rPr>
        <w:t xml:space="preserve">PBS </w:t>
      </w:r>
      <w:r w:rsidRPr="001A3E2C">
        <w:rPr>
          <w:rStyle w:val="normaltextrun"/>
          <w:b/>
          <w:bCs/>
        </w:rPr>
        <w:t>ODTP</w:t>
      </w:r>
      <w:r w:rsidR="003F4B9D">
        <w:rPr>
          <w:rStyle w:val="normaltextrun"/>
          <w:b/>
          <w:bCs/>
        </w:rPr>
        <w:t>’</w:t>
      </w:r>
      <w:r w:rsidRPr="001A3E2C">
        <w:rPr>
          <w:rStyle w:val="normaltextrun"/>
          <w:b/>
          <w:bCs/>
        </w:rPr>
        <w:t xml:space="preserve"> is used to identify the Australian Government’s Section 100 </w:t>
      </w:r>
      <w:r w:rsidR="00AE5DE1" w:rsidRPr="001A3E2C">
        <w:rPr>
          <w:rStyle w:val="normaltextrun"/>
          <w:b/>
          <w:bCs/>
        </w:rPr>
        <w:t xml:space="preserve">(S100) </w:t>
      </w:r>
      <w:r w:rsidR="00876516">
        <w:rPr>
          <w:rStyle w:val="normaltextrun"/>
          <w:b/>
          <w:bCs/>
        </w:rPr>
        <w:t>PBS</w:t>
      </w:r>
      <w:r w:rsidRPr="001A3E2C">
        <w:rPr>
          <w:rStyle w:val="normaltextrun"/>
          <w:b/>
          <w:bCs/>
        </w:rPr>
        <w:t xml:space="preserve"> Opiate Dependence Treatment Program specifically</w:t>
      </w:r>
      <w:r>
        <w:rPr>
          <w:rStyle w:val="normaltextrun"/>
        </w:rPr>
        <w:t>.</w:t>
      </w:r>
    </w:p>
    <w:p w14:paraId="031A1C82" w14:textId="77777777" w:rsidR="00945A42" w:rsidRDefault="00945A42" w:rsidP="00945A42">
      <w:pPr>
        <w:rPr>
          <w:rStyle w:val="normaltextrun"/>
        </w:rPr>
      </w:pPr>
      <w:r>
        <w:rPr>
          <w:rStyle w:val="normaltextrun"/>
        </w:rPr>
        <w:t>The abbreviation ‘ODTP PMR’ is used to identify the Post-market Review of Opiate Dependence Treatment Program medicines. The term ‘the Review’ is also used.</w:t>
      </w:r>
    </w:p>
    <w:p w14:paraId="38E7A53B" w14:textId="12A8581D" w:rsidR="00CA3F41" w:rsidRPr="00420E81" w:rsidRDefault="0080404A" w:rsidP="00420E81">
      <w:pPr>
        <w:rPr>
          <w:b/>
          <w:bCs/>
        </w:rPr>
      </w:pPr>
      <w:r>
        <w:t>The term buprenorphine + naloxone is used to describe the buprenorphine with naloxone combination</w:t>
      </w:r>
      <w:r w:rsidRPr="00420E81">
        <w:rPr>
          <w:rStyle w:val="normaltextrun"/>
          <w:rFonts w:cs="Calibri"/>
          <w:color w:val="000000"/>
          <w:shd w:val="clear" w:color="auto" w:fill="FFFFFF"/>
        </w:rPr>
        <w:t>.</w:t>
      </w:r>
      <w:r>
        <w:rPr>
          <w:rStyle w:val="normaltextrun"/>
          <w:rFonts w:cs="Calibri"/>
          <w:color w:val="000000"/>
          <w:shd w:val="clear" w:color="auto" w:fill="FFFFFF"/>
        </w:rPr>
        <w:t xml:space="preserve"> </w:t>
      </w:r>
      <w:r>
        <w:t>Where referred to together</w:t>
      </w:r>
      <w:r w:rsidR="00CA3F41" w:rsidRPr="00407F8D">
        <w:t>, the term buprenorphine</w:t>
      </w:r>
      <w:r w:rsidR="00995D0A">
        <w:t xml:space="preserve"> </w:t>
      </w:r>
      <w:r w:rsidR="00CA3F41" w:rsidRPr="00407F8D">
        <w:t>+/- naloxone is used to describe both buprenorphine with</w:t>
      </w:r>
      <w:r w:rsidR="00A034B0">
        <w:t>out</w:t>
      </w:r>
      <w:r w:rsidR="00CA3F41" w:rsidRPr="00407F8D">
        <w:t xml:space="preserve"> naloxone and the buprenorphine</w:t>
      </w:r>
      <w:r w:rsidR="00420E81">
        <w:t xml:space="preserve"> with </w:t>
      </w:r>
      <w:r w:rsidR="00CA3F41" w:rsidRPr="00407F8D">
        <w:t>naloxone combination</w:t>
      </w:r>
      <w:r w:rsidR="00CA3F41" w:rsidRPr="00420E81">
        <w:rPr>
          <w:rStyle w:val="normaltextrun"/>
          <w:rFonts w:cs="Calibri"/>
          <w:color w:val="000000"/>
          <w:shd w:val="clear" w:color="auto" w:fill="FFFFFF"/>
        </w:rPr>
        <w:t>.</w:t>
      </w:r>
    </w:p>
    <w:p w14:paraId="2F86DB22" w14:textId="77777777" w:rsidR="001F744A" w:rsidRDefault="001F744A">
      <w:pPr>
        <w:spacing w:after="160" w:line="259" w:lineRule="auto"/>
        <w:jc w:val="left"/>
        <w:rPr>
          <w:rFonts w:asciiTheme="majorHAnsi" w:eastAsiaTheme="majorEastAsia" w:hAnsiTheme="majorHAnsi" w:cstheme="majorBidi"/>
          <w:color w:val="2F5496" w:themeColor="accent1" w:themeShade="BF"/>
        </w:rPr>
      </w:pPr>
      <w:r>
        <w:br w:type="page"/>
      </w:r>
    </w:p>
    <w:p w14:paraId="558CAB33" w14:textId="1299C0D1" w:rsidR="00CA3F41" w:rsidRDefault="00363A7A" w:rsidP="00C11C23">
      <w:pPr>
        <w:pStyle w:val="Heading5"/>
      </w:pPr>
      <w:r>
        <w:lastRenderedPageBreak/>
        <w:t>Abbreviations</w:t>
      </w:r>
    </w:p>
    <w:tbl>
      <w:tblPr>
        <w:tblStyle w:val="TableGrid"/>
        <w:tblW w:w="9493" w:type="dxa"/>
        <w:tblInd w:w="0" w:type="dxa"/>
        <w:tblLook w:val="04A0" w:firstRow="1" w:lastRow="0" w:firstColumn="1" w:lastColumn="0" w:noHBand="0" w:noVBand="1"/>
        <w:tblCaption w:val="Abbreviations"/>
        <w:tblDescription w:val="ACCHO Aboriginal Community Controlled Health Organisations&#10;AEMP Approved Ex-manufacturer Price&#10;CAMH Centre for Addiction and Mental Health&#10;CTG Closing the Gap&#10;Forum Stakeholder Forum&#10;GP General Practitioner&#10;LAIB Long-acting injectable buprenorphine (or modified release buprenorphine)&#10;Legislation Register Federal Register of Legislation&#10;MBS Medicare Benefits Schedule&#10;National Guidelines National Guidelines for Medication-Assisted Treatment of Opioid Dependence 2014&#10;NDARC National Drug and Alcohol Research Centre&#10;NH Act National Health Act 1953&#10;NICE National Institute for Health Care Excellence&#10;NOPSAD National Opioid Pharmacotherapy Statistics Annual Data &#10;ODT Opioid Dependence Treatment&#10;ODTP Australian Government’s PBS Opiate Dependence Treatment Program&#10;OAT Opioid Agonist Treatment&#10;PBAC Pharmaceutical Benefits Advisory Committee&#10;PBS Pharmaceutical Benefits Scheme&#10;PMR Post-market Review&#10;PSA Pharmaceutical Society of Australia&#10;RCT Randomised Control Trials&#10;S100 Section 100 of the National Health Act 1953&#10;S85 Section 85 of the National Health Act 1953&#10;TGA Therapeutic Goods Administration&#10;TOR Term(s) of Reference&#10;TSQM Treatment Satisfaction Questionnaire for Medication&#10;WHO World Health Organization&#10;"/>
      </w:tblPr>
      <w:tblGrid>
        <w:gridCol w:w="2122"/>
        <w:gridCol w:w="7371"/>
      </w:tblGrid>
      <w:tr w:rsidR="00CA3F41" w:rsidRPr="00407F8D" w14:paraId="7B170C6C" w14:textId="77777777" w:rsidTr="00A74BD9">
        <w:tc>
          <w:tcPr>
            <w:tcW w:w="2122" w:type="dxa"/>
            <w:shd w:val="clear" w:color="auto" w:fill="D0CECE" w:themeFill="background2" w:themeFillShade="E6"/>
          </w:tcPr>
          <w:p w14:paraId="6D65A747" w14:textId="77777777" w:rsidR="00CA3F41" w:rsidRPr="00407F8D" w:rsidRDefault="00CA3F41" w:rsidP="00407F8D">
            <w:pPr>
              <w:rPr>
                <w:b/>
                <w:bCs/>
              </w:rPr>
            </w:pPr>
            <w:bookmarkStart w:id="5" w:name="_Hlk120531003"/>
            <w:r w:rsidRPr="00407F8D">
              <w:rPr>
                <w:b/>
                <w:bCs/>
              </w:rPr>
              <w:t>Abbreviation</w:t>
            </w:r>
          </w:p>
        </w:tc>
        <w:tc>
          <w:tcPr>
            <w:tcW w:w="7371" w:type="dxa"/>
            <w:shd w:val="clear" w:color="auto" w:fill="D0CECE" w:themeFill="background2" w:themeFillShade="E6"/>
          </w:tcPr>
          <w:p w14:paraId="6FCF3451" w14:textId="77777777" w:rsidR="00CA3F41" w:rsidRPr="00407F8D" w:rsidRDefault="00CA3F41" w:rsidP="00407F8D">
            <w:pPr>
              <w:rPr>
                <w:b/>
                <w:bCs/>
              </w:rPr>
            </w:pPr>
            <w:r>
              <w:rPr>
                <w:b/>
                <w:bCs/>
              </w:rPr>
              <w:t>Full Name / Wording</w:t>
            </w:r>
          </w:p>
        </w:tc>
      </w:tr>
      <w:tr w:rsidR="00694422" w14:paraId="3685773A" w14:textId="77777777" w:rsidTr="00A74BD9">
        <w:tc>
          <w:tcPr>
            <w:tcW w:w="2122" w:type="dxa"/>
          </w:tcPr>
          <w:p w14:paraId="766B6F64" w14:textId="67BCCDA1" w:rsidR="00694422" w:rsidRDefault="00694422" w:rsidP="00407F8D">
            <w:r>
              <w:t>7CPA</w:t>
            </w:r>
          </w:p>
        </w:tc>
        <w:tc>
          <w:tcPr>
            <w:tcW w:w="7371" w:type="dxa"/>
          </w:tcPr>
          <w:p w14:paraId="129D45A5" w14:textId="37863AB8" w:rsidR="00694422" w:rsidRDefault="00694422" w:rsidP="00407F8D">
            <w:r>
              <w:t>Seventh Community Pharmacy Agreement</w:t>
            </w:r>
          </w:p>
        </w:tc>
      </w:tr>
      <w:tr w:rsidR="00CA3F41" w14:paraId="52A6807B" w14:textId="77777777" w:rsidTr="00A74BD9">
        <w:tc>
          <w:tcPr>
            <w:tcW w:w="2122" w:type="dxa"/>
          </w:tcPr>
          <w:p w14:paraId="3E4474F5" w14:textId="77777777" w:rsidR="00CA3F41" w:rsidRDefault="00CA3F41" w:rsidP="00407F8D">
            <w:r>
              <w:t>ACCHO</w:t>
            </w:r>
          </w:p>
        </w:tc>
        <w:tc>
          <w:tcPr>
            <w:tcW w:w="7371" w:type="dxa"/>
          </w:tcPr>
          <w:p w14:paraId="6347C03B" w14:textId="77777777" w:rsidR="00CA3F41" w:rsidRDefault="00CA3F41" w:rsidP="00407F8D">
            <w:r>
              <w:t>Aboriginal Community Controlled Health Organisations</w:t>
            </w:r>
          </w:p>
        </w:tc>
      </w:tr>
      <w:tr w:rsidR="00694422" w14:paraId="134A17C4" w14:textId="77777777" w:rsidTr="00A74BD9">
        <w:tc>
          <w:tcPr>
            <w:tcW w:w="2122" w:type="dxa"/>
          </w:tcPr>
          <w:p w14:paraId="67FAA382" w14:textId="625E6522" w:rsidR="00694422" w:rsidRDefault="00694422" w:rsidP="00407F8D">
            <w:r>
              <w:t>ADS</w:t>
            </w:r>
          </w:p>
        </w:tc>
        <w:tc>
          <w:tcPr>
            <w:tcW w:w="7371" w:type="dxa"/>
          </w:tcPr>
          <w:p w14:paraId="155FB25B" w14:textId="1471EC4F" w:rsidR="00694422" w:rsidRDefault="00694422" w:rsidP="00407F8D">
            <w:r>
              <w:t>Alcohol and Drug Service</w:t>
            </w:r>
          </w:p>
        </w:tc>
      </w:tr>
      <w:tr w:rsidR="00CA3F41" w14:paraId="3E21BB21" w14:textId="77777777" w:rsidTr="00A74BD9">
        <w:tc>
          <w:tcPr>
            <w:tcW w:w="2122" w:type="dxa"/>
          </w:tcPr>
          <w:p w14:paraId="589BE1D9" w14:textId="77777777" w:rsidR="00CA3F41" w:rsidRDefault="00CA3F41" w:rsidP="00407F8D">
            <w:r>
              <w:t>AEMP</w:t>
            </w:r>
          </w:p>
        </w:tc>
        <w:tc>
          <w:tcPr>
            <w:tcW w:w="7371" w:type="dxa"/>
          </w:tcPr>
          <w:p w14:paraId="6F3422A3" w14:textId="66091291" w:rsidR="00CA3F41" w:rsidRDefault="003A07DC" w:rsidP="00407F8D">
            <w:r>
              <w:t xml:space="preserve">Approved </w:t>
            </w:r>
            <w:r w:rsidR="00CA3F41">
              <w:t>Ex-manufacturer Price</w:t>
            </w:r>
          </w:p>
        </w:tc>
      </w:tr>
      <w:tr w:rsidR="00CA3F41" w14:paraId="2335C154" w14:textId="77777777" w:rsidTr="00A74BD9">
        <w:tc>
          <w:tcPr>
            <w:tcW w:w="2122" w:type="dxa"/>
          </w:tcPr>
          <w:p w14:paraId="2F14BAD4" w14:textId="77777777" w:rsidR="00CA3F41" w:rsidRDefault="00CA3F41" w:rsidP="00407F8D">
            <w:r>
              <w:t>CAMH</w:t>
            </w:r>
          </w:p>
        </w:tc>
        <w:tc>
          <w:tcPr>
            <w:tcW w:w="7371" w:type="dxa"/>
          </w:tcPr>
          <w:p w14:paraId="495028B0" w14:textId="77777777" w:rsidR="00CA3F41" w:rsidRDefault="00CA3F41" w:rsidP="00407F8D">
            <w:r>
              <w:t>Centre for Addiction and Mental Health</w:t>
            </w:r>
          </w:p>
        </w:tc>
      </w:tr>
      <w:tr w:rsidR="00694422" w14:paraId="2A733246" w14:textId="77777777" w:rsidTr="00A74BD9">
        <w:tc>
          <w:tcPr>
            <w:tcW w:w="2122" w:type="dxa"/>
          </w:tcPr>
          <w:p w14:paraId="312793AB" w14:textId="34101C69" w:rsidR="00694422" w:rsidRDefault="00694422" w:rsidP="00407F8D">
            <w:r>
              <w:t>CHO</w:t>
            </w:r>
          </w:p>
        </w:tc>
        <w:tc>
          <w:tcPr>
            <w:tcW w:w="7371" w:type="dxa"/>
          </w:tcPr>
          <w:p w14:paraId="5658DF16" w14:textId="409A0910" w:rsidR="00694422" w:rsidRDefault="00694422" w:rsidP="00407F8D">
            <w:r>
              <w:t>Chief Health Officer</w:t>
            </w:r>
          </w:p>
        </w:tc>
      </w:tr>
      <w:tr w:rsidR="00AB1B77" w14:paraId="2085278E" w14:textId="77777777" w:rsidTr="00A74BD9">
        <w:tc>
          <w:tcPr>
            <w:tcW w:w="2122" w:type="dxa"/>
          </w:tcPr>
          <w:p w14:paraId="0112FE14" w14:textId="2F4B48AE" w:rsidR="00AB1B77" w:rsidRDefault="00AB1B77" w:rsidP="00407F8D">
            <w:r w:rsidRPr="00630E93">
              <w:t>CTG</w:t>
            </w:r>
          </w:p>
        </w:tc>
        <w:tc>
          <w:tcPr>
            <w:tcW w:w="7371" w:type="dxa"/>
          </w:tcPr>
          <w:p w14:paraId="50A9E363" w14:textId="6F4D6B10" w:rsidR="00AB1B77" w:rsidRDefault="00AB1B77" w:rsidP="00407F8D">
            <w:r>
              <w:t>Closing the Gap</w:t>
            </w:r>
          </w:p>
        </w:tc>
      </w:tr>
      <w:tr w:rsidR="00694422" w14:paraId="49B0638E" w14:textId="77777777" w:rsidTr="00A74BD9">
        <w:tc>
          <w:tcPr>
            <w:tcW w:w="2122" w:type="dxa"/>
          </w:tcPr>
          <w:p w14:paraId="3A0ADF58" w14:textId="512FC599" w:rsidR="00694422" w:rsidRPr="00630E93" w:rsidRDefault="00694422" w:rsidP="00407F8D">
            <w:r>
              <w:t xml:space="preserve">Department </w:t>
            </w:r>
          </w:p>
        </w:tc>
        <w:tc>
          <w:tcPr>
            <w:tcW w:w="7371" w:type="dxa"/>
          </w:tcPr>
          <w:p w14:paraId="4E270324" w14:textId="7DDF0D3B" w:rsidR="00694422" w:rsidRDefault="00694422" w:rsidP="00407F8D">
            <w:r>
              <w:t>Department of Health and Aged Care</w:t>
            </w:r>
          </w:p>
        </w:tc>
      </w:tr>
      <w:tr w:rsidR="003878A0" w14:paraId="5896E075" w14:textId="77777777" w:rsidTr="00A74BD9">
        <w:tc>
          <w:tcPr>
            <w:tcW w:w="2122" w:type="dxa"/>
          </w:tcPr>
          <w:p w14:paraId="5D411093" w14:textId="0C12F58D" w:rsidR="003878A0" w:rsidRDefault="003878A0" w:rsidP="00407F8D">
            <w:r>
              <w:t>EFC</w:t>
            </w:r>
          </w:p>
        </w:tc>
        <w:tc>
          <w:tcPr>
            <w:tcW w:w="7371" w:type="dxa"/>
          </w:tcPr>
          <w:p w14:paraId="2425C8D9" w14:textId="7F28A9F6" w:rsidR="003878A0" w:rsidRDefault="003878A0" w:rsidP="00407F8D">
            <w:r>
              <w:t>Efficient Funding of Chemotherapy Program</w:t>
            </w:r>
          </w:p>
        </w:tc>
      </w:tr>
      <w:tr w:rsidR="00A75CCC" w14:paraId="57F38617" w14:textId="77777777" w:rsidTr="00A74BD9">
        <w:tc>
          <w:tcPr>
            <w:tcW w:w="2122" w:type="dxa"/>
          </w:tcPr>
          <w:p w14:paraId="68CD922D" w14:textId="2AAC7A6E" w:rsidR="00A75CCC" w:rsidRDefault="00A75CCC" w:rsidP="00407F8D">
            <w:r>
              <w:t>Forum</w:t>
            </w:r>
          </w:p>
        </w:tc>
        <w:tc>
          <w:tcPr>
            <w:tcW w:w="7371" w:type="dxa"/>
          </w:tcPr>
          <w:p w14:paraId="316DAF86" w14:textId="64C09604" w:rsidR="00A75CCC" w:rsidRDefault="00A75CCC" w:rsidP="00407F8D">
            <w:r>
              <w:t>Stakeholder Forum</w:t>
            </w:r>
          </w:p>
        </w:tc>
      </w:tr>
      <w:tr w:rsidR="00161F50" w14:paraId="67DEF1A6" w14:textId="77777777" w:rsidTr="00A74BD9">
        <w:tc>
          <w:tcPr>
            <w:tcW w:w="2122" w:type="dxa"/>
          </w:tcPr>
          <w:p w14:paraId="4B4E7C42" w14:textId="0946867E" w:rsidR="00161F50" w:rsidRPr="00630E93" w:rsidRDefault="00161F50" w:rsidP="00407F8D">
            <w:r>
              <w:t>GP</w:t>
            </w:r>
          </w:p>
        </w:tc>
        <w:tc>
          <w:tcPr>
            <w:tcW w:w="7371" w:type="dxa"/>
          </w:tcPr>
          <w:p w14:paraId="1D01C493" w14:textId="281D0660" w:rsidR="00161F50" w:rsidRDefault="00161F50" w:rsidP="00407F8D">
            <w:r>
              <w:t>General Practitioner</w:t>
            </w:r>
          </w:p>
        </w:tc>
      </w:tr>
      <w:tr w:rsidR="00694422" w14:paraId="29F69718" w14:textId="77777777" w:rsidTr="00A74BD9">
        <w:tc>
          <w:tcPr>
            <w:tcW w:w="2122" w:type="dxa"/>
          </w:tcPr>
          <w:p w14:paraId="5988A039" w14:textId="6D44BEB8" w:rsidR="00694422" w:rsidRDefault="00694422" w:rsidP="00407F8D">
            <w:r>
              <w:t>HCV</w:t>
            </w:r>
          </w:p>
        </w:tc>
        <w:tc>
          <w:tcPr>
            <w:tcW w:w="7371" w:type="dxa"/>
          </w:tcPr>
          <w:p w14:paraId="69778A03" w14:textId="3D2D7D8B" w:rsidR="00694422" w:rsidRDefault="00694422" w:rsidP="00407F8D">
            <w:r>
              <w:t>Hepatitis C Virus</w:t>
            </w:r>
          </w:p>
        </w:tc>
      </w:tr>
      <w:tr w:rsidR="00694422" w14:paraId="6BFE8E16" w14:textId="77777777" w:rsidTr="00A74BD9">
        <w:tc>
          <w:tcPr>
            <w:tcW w:w="2122" w:type="dxa"/>
          </w:tcPr>
          <w:p w14:paraId="6EBB4B12" w14:textId="18CD2926" w:rsidR="00694422" w:rsidRDefault="00694422" w:rsidP="00694422">
            <w:r>
              <w:t>HIV</w:t>
            </w:r>
          </w:p>
        </w:tc>
        <w:tc>
          <w:tcPr>
            <w:tcW w:w="7371" w:type="dxa"/>
          </w:tcPr>
          <w:p w14:paraId="223BD246" w14:textId="11B05B98" w:rsidR="00694422" w:rsidRDefault="00694422" w:rsidP="00694422">
            <w:r>
              <w:t>Human Immunodeficiency Virus</w:t>
            </w:r>
          </w:p>
        </w:tc>
      </w:tr>
      <w:tr w:rsidR="00694422" w14:paraId="68C55F9C" w14:textId="77777777" w:rsidTr="00A74BD9">
        <w:tc>
          <w:tcPr>
            <w:tcW w:w="2122" w:type="dxa"/>
          </w:tcPr>
          <w:p w14:paraId="1076DF87" w14:textId="72A5DA24" w:rsidR="00694422" w:rsidRDefault="00694422" w:rsidP="00694422">
            <w:r>
              <w:t>HSD</w:t>
            </w:r>
          </w:p>
        </w:tc>
        <w:tc>
          <w:tcPr>
            <w:tcW w:w="7371" w:type="dxa"/>
          </w:tcPr>
          <w:p w14:paraId="3B69E6BB" w14:textId="3AEA085F" w:rsidR="00694422" w:rsidRDefault="00694422" w:rsidP="00694422">
            <w:r>
              <w:t>Highly Specialised Drugs Program</w:t>
            </w:r>
          </w:p>
        </w:tc>
      </w:tr>
      <w:tr w:rsidR="00694422" w14:paraId="276E03A0" w14:textId="77777777" w:rsidTr="00A74BD9">
        <w:tc>
          <w:tcPr>
            <w:tcW w:w="2122" w:type="dxa"/>
          </w:tcPr>
          <w:p w14:paraId="1CC986F3" w14:textId="77777777" w:rsidR="00694422" w:rsidRDefault="00694422" w:rsidP="00694422">
            <w:r>
              <w:t>LAIB</w:t>
            </w:r>
          </w:p>
        </w:tc>
        <w:tc>
          <w:tcPr>
            <w:tcW w:w="7371" w:type="dxa"/>
          </w:tcPr>
          <w:p w14:paraId="7A4AECDE" w14:textId="4C8759E4" w:rsidR="00694422" w:rsidRDefault="00694422" w:rsidP="00694422">
            <w:r>
              <w:t>Long-acting injectable buprenorphine (or modified release buprenorphine)</w:t>
            </w:r>
          </w:p>
        </w:tc>
      </w:tr>
      <w:tr w:rsidR="00694422" w14:paraId="07E4F51C" w14:textId="77777777" w:rsidTr="00A74BD9">
        <w:tc>
          <w:tcPr>
            <w:tcW w:w="2122" w:type="dxa"/>
          </w:tcPr>
          <w:p w14:paraId="3E55182E" w14:textId="0C5390D6" w:rsidR="00694422" w:rsidRDefault="00694422" w:rsidP="00694422">
            <w:r>
              <w:t>Legislation Register</w:t>
            </w:r>
          </w:p>
        </w:tc>
        <w:tc>
          <w:tcPr>
            <w:tcW w:w="7371" w:type="dxa"/>
          </w:tcPr>
          <w:p w14:paraId="618D6191" w14:textId="7CE82B18" w:rsidR="00694422" w:rsidRDefault="00694422" w:rsidP="00694422">
            <w:r w:rsidRPr="007C4B17">
              <w:t>Federal Register of Legislation</w:t>
            </w:r>
          </w:p>
        </w:tc>
      </w:tr>
      <w:tr w:rsidR="00694422" w14:paraId="53E3E924" w14:textId="77777777" w:rsidTr="00A74BD9">
        <w:tc>
          <w:tcPr>
            <w:tcW w:w="2122" w:type="dxa"/>
          </w:tcPr>
          <w:p w14:paraId="1AFF2C47" w14:textId="158081DD" w:rsidR="00694422" w:rsidRDefault="00694422" w:rsidP="00694422">
            <w:r>
              <w:t>MATOD</w:t>
            </w:r>
          </w:p>
        </w:tc>
        <w:tc>
          <w:tcPr>
            <w:tcW w:w="7371" w:type="dxa"/>
          </w:tcPr>
          <w:p w14:paraId="4A525717" w14:textId="0AF92B54" w:rsidR="00694422" w:rsidRDefault="00694422" w:rsidP="00694422">
            <w:r>
              <w:t>Medication Assisted Treatment for Opioid Dependence</w:t>
            </w:r>
          </w:p>
        </w:tc>
      </w:tr>
      <w:tr w:rsidR="00694422" w14:paraId="4C090D4B" w14:textId="77777777" w:rsidTr="00A74BD9">
        <w:tc>
          <w:tcPr>
            <w:tcW w:w="2122" w:type="dxa"/>
          </w:tcPr>
          <w:p w14:paraId="3C1EC5F8" w14:textId="33CAAC1F" w:rsidR="00694422" w:rsidRDefault="00694422" w:rsidP="00694422">
            <w:r>
              <w:t>MBS</w:t>
            </w:r>
          </w:p>
        </w:tc>
        <w:tc>
          <w:tcPr>
            <w:tcW w:w="7371" w:type="dxa"/>
          </w:tcPr>
          <w:p w14:paraId="039D7E75" w14:textId="720D7FA8" w:rsidR="00694422" w:rsidRDefault="00694422" w:rsidP="00694422">
            <w:r>
              <w:t>Medicare Benefits Schedule</w:t>
            </w:r>
          </w:p>
        </w:tc>
      </w:tr>
      <w:tr w:rsidR="00694422" w14:paraId="3F73B654" w14:textId="77777777" w:rsidTr="00A74BD9">
        <w:tc>
          <w:tcPr>
            <w:tcW w:w="2122" w:type="dxa"/>
          </w:tcPr>
          <w:p w14:paraId="07E4526F" w14:textId="441E77DD" w:rsidR="00694422" w:rsidRDefault="00694422" w:rsidP="00694422">
            <w:r>
              <w:t>National Guidelines</w:t>
            </w:r>
          </w:p>
        </w:tc>
        <w:tc>
          <w:tcPr>
            <w:tcW w:w="7371" w:type="dxa"/>
          </w:tcPr>
          <w:p w14:paraId="5D3B1A7B" w14:textId="4BF69DDE" w:rsidR="00694422" w:rsidRDefault="00694422" w:rsidP="00694422">
            <w:pPr>
              <w:jc w:val="left"/>
            </w:pPr>
            <w:r w:rsidRPr="007C4B17">
              <w:t>National Guidelines for Medication-Assisted Treatment of Opioid Dependence 2014</w:t>
            </w:r>
          </w:p>
        </w:tc>
      </w:tr>
      <w:tr w:rsidR="00694422" w14:paraId="71B3275C" w14:textId="77777777" w:rsidTr="00A74BD9">
        <w:tc>
          <w:tcPr>
            <w:tcW w:w="2122" w:type="dxa"/>
          </w:tcPr>
          <w:p w14:paraId="428DD815" w14:textId="77777777" w:rsidR="00694422" w:rsidRDefault="00694422" w:rsidP="00694422">
            <w:r>
              <w:t>NDARC</w:t>
            </w:r>
          </w:p>
        </w:tc>
        <w:tc>
          <w:tcPr>
            <w:tcW w:w="7371" w:type="dxa"/>
          </w:tcPr>
          <w:p w14:paraId="56A777FE" w14:textId="77777777" w:rsidR="00694422" w:rsidRDefault="00694422" w:rsidP="00694422">
            <w:r>
              <w:t>National Drug and Alcohol Research Centre</w:t>
            </w:r>
          </w:p>
        </w:tc>
      </w:tr>
      <w:tr w:rsidR="00694422" w:rsidRPr="00407F8D" w14:paraId="59840340" w14:textId="77777777" w:rsidTr="00A74BD9">
        <w:tc>
          <w:tcPr>
            <w:tcW w:w="2122" w:type="dxa"/>
          </w:tcPr>
          <w:p w14:paraId="00F9D755" w14:textId="77777777" w:rsidR="00694422" w:rsidRDefault="00694422" w:rsidP="00694422">
            <w:r>
              <w:t>NH Act</w:t>
            </w:r>
          </w:p>
        </w:tc>
        <w:tc>
          <w:tcPr>
            <w:tcW w:w="7371" w:type="dxa"/>
          </w:tcPr>
          <w:p w14:paraId="0BC6825E" w14:textId="77777777" w:rsidR="00694422" w:rsidRPr="00407F8D" w:rsidRDefault="00694422" w:rsidP="00694422">
            <w:pPr>
              <w:rPr>
                <w:i/>
                <w:iCs/>
              </w:rPr>
            </w:pPr>
            <w:r w:rsidRPr="00407F8D">
              <w:rPr>
                <w:i/>
                <w:iCs/>
              </w:rPr>
              <w:t>National Health Act 1953</w:t>
            </w:r>
          </w:p>
        </w:tc>
      </w:tr>
      <w:tr w:rsidR="00694422" w14:paraId="4432AADD" w14:textId="77777777" w:rsidTr="00A74BD9">
        <w:tc>
          <w:tcPr>
            <w:tcW w:w="2122" w:type="dxa"/>
          </w:tcPr>
          <w:p w14:paraId="387D8EF2" w14:textId="77777777" w:rsidR="00694422" w:rsidRDefault="00694422" w:rsidP="00694422">
            <w:r>
              <w:t>NICE</w:t>
            </w:r>
          </w:p>
        </w:tc>
        <w:tc>
          <w:tcPr>
            <w:tcW w:w="7371" w:type="dxa"/>
          </w:tcPr>
          <w:p w14:paraId="43E1B03B" w14:textId="77777777" w:rsidR="00694422" w:rsidRDefault="00694422" w:rsidP="00694422">
            <w:r>
              <w:t>National Institute for Health Care Excellence</w:t>
            </w:r>
          </w:p>
        </w:tc>
      </w:tr>
      <w:tr w:rsidR="00694422" w14:paraId="14032BED" w14:textId="77777777" w:rsidTr="00A74BD9">
        <w:tc>
          <w:tcPr>
            <w:tcW w:w="2122" w:type="dxa"/>
          </w:tcPr>
          <w:p w14:paraId="66D1BB8C" w14:textId="77777777" w:rsidR="00694422" w:rsidRDefault="00694422" w:rsidP="00694422">
            <w:r>
              <w:t>NOPSAD</w:t>
            </w:r>
          </w:p>
        </w:tc>
        <w:tc>
          <w:tcPr>
            <w:tcW w:w="7371" w:type="dxa"/>
          </w:tcPr>
          <w:p w14:paraId="1714CCD8" w14:textId="77777777" w:rsidR="00694422" w:rsidRDefault="00694422" w:rsidP="00694422">
            <w:r w:rsidRPr="00EA3458">
              <w:t>National Opioid Pharmacotherapy Statistics Annual Data</w:t>
            </w:r>
            <w:r>
              <w:t xml:space="preserve"> </w:t>
            </w:r>
          </w:p>
        </w:tc>
      </w:tr>
      <w:tr w:rsidR="00694422" w14:paraId="138BBBDB" w14:textId="77777777" w:rsidTr="00A74BD9">
        <w:tc>
          <w:tcPr>
            <w:tcW w:w="2122" w:type="dxa"/>
            <w:shd w:val="clear" w:color="auto" w:fill="F2F2F2" w:themeFill="background1" w:themeFillShade="F2"/>
          </w:tcPr>
          <w:p w14:paraId="58B8D214" w14:textId="77777777" w:rsidR="00694422" w:rsidRDefault="00694422" w:rsidP="00694422">
            <w:r>
              <w:t>ODT</w:t>
            </w:r>
          </w:p>
        </w:tc>
        <w:tc>
          <w:tcPr>
            <w:tcW w:w="7371" w:type="dxa"/>
            <w:shd w:val="clear" w:color="auto" w:fill="F2F2F2" w:themeFill="background1" w:themeFillShade="F2"/>
          </w:tcPr>
          <w:p w14:paraId="45601ED5" w14:textId="77777777" w:rsidR="00694422" w:rsidRDefault="00694422" w:rsidP="00694422">
            <w:r>
              <w:t>Opioid Dependence Treatment</w:t>
            </w:r>
          </w:p>
        </w:tc>
      </w:tr>
      <w:tr w:rsidR="00694422" w14:paraId="0553EF75" w14:textId="77777777" w:rsidTr="00A74BD9">
        <w:tc>
          <w:tcPr>
            <w:tcW w:w="2122" w:type="dxa"/>
          </w:tcPr>
          <w:p w14:paraId="1D012115" w14:textId="77777777" w:rsidR="00694422" w:rsidRDefault="00694422" w:rsidP="00694422">
            <w:r>
              <w:t>PBAC</w:t>
            </w:r>
          </w:p>
        </w:tc>
        <w:tc>
          <w:tcPr>
            <w:tcW w:w="7371" w:type="dxa"/>
          </w:tcPr>
          <w:p w14:paraId="4F5EDD13" w14:textId="77777777" w:rsidR="00694422" w:rsidRDefault="00694422" w:rsidP="00694422">
            <w:r>
              <w:t>Pharmaceutical Benefits Advisory Committee</w:t>
            </w:r>
          </w:p>
        </w:tc>
      </w:tr>
      <w:tr w:rsidR="00694422" w14:paraId="5634350F" w14:textId="77777777" w:rsidTr="00A74BD9">
        <w:tc>
          <w:tcPr>
            <w:tcW w:w="2122" w:type="dxa"/>
          </w:tcPr>
          <w:p w14:paraId="00160EE9" w14:textId="77777777" w:rsidR="00694422" w:rsidRDefault="00694422" w:rsidP="00694422">
            <w:r>
              <w:t>PBS</w:t>
            </w:r>
          </w:p>
        </w:tc>
        <w:tc>
          <w:tcPr>
            <w:tcW w:w="7371" w:type="dxa"/>
          </w:tcPr>
          <w:p w14:paraId="6946A4FC" w14:textId="5B8F2062" w:rsidR="00694422" w:rsidRDefault="00694422" w:rsidP="00694422">
            <w:r>
              <w:t>Pharmaceutical Benefits Scheme</w:t>
            </w:r>
          </w:p>
        </w:tc>
      </w:tr>
      <w:tr w:rsidR="00694422" w14:paraId="1AFC014C" w14:textId="77777777" w:rsidTr="00A74BD9">
        <w:tc>
          <w:tcPr>
            <w:tcW w:w="2122" w:type="dxa"/>
          </w:tcPr>
          <w:p w14:paraId="547226C1" w14:textId="59605724" w:rsidR="00694422" w:rsidRDefault="00694422" w:rsidP="00694422">
            <w:r>
              <w:t>PBS ODTP</w:t>
            </w:r>
          </w:p>
        </w:tc>
        <w:tc>
          <w:tcPr>
            <w:tcW w:w="7371" w:type="dxa"/>
          </w:tcPr>
          <w:p w14:paraId="3A459899" w14:textId="40CBF560" w:rsidR="00694422" w:rsidRDefault="00694422" w:rsidP="00694422">
            <w:r>
              <w:t xml:space="preserve">Australian Government’s PBS </w:t>
            </w:r>
            <w:r w:rsidR="00F212B5">
              <w:t xml:space="preserve">Section 100 (S100) </w:t>
            </w:r>
            <w:r>
              <w:t>Opiate Dependence Treatment Program</w:t>
            </w:r>
          </w:p>
        </w:tc>
      </w:tr>
      <w:tr w:rsidR="00694422" w14:paraId="392A47F8" w14:textId="77777777" w:rsidTr="00A74BD9">
        <w:tc>
          <w:tcPr>
            <w:tcW w:w="2122" w:type="dxa"/>
          </w:tcPr>
          <w:p w14:paraId="308C07BA" w14:textId="4E3B3991" w:rsidR="00694422" w:rsidRDefault="00694422" w:rsidP="00694422">
            <w:r>
              <w:t>PMR</w:t>
            </w:r>
          </w:p>
        </w:tc>
        <w:tc>
          <w:tcPr>
            <w:tcW w:w="7371" w:type="dxa"/>
          </w:tcPr>
          <w:p w14:paraId="07112E4F" w14:textId="2E412F08" w:rsidR="00694422" w:rsidRDefault="00694422" w:rsidP="00694422">
            <w:r>
              <w:t>Post-market Review</w:t>
            </w:r>
          </w:p>
        </w:tc>
      </w:tr>
      <w:tr w:rsidR="00694422" w14:paraId="1CA685A6" w14:textId="77777777" w:rsidTr="00A74BD9">
        <w:tc>
          <w:tcPr>
            <w:tcW w:w="2122" w:type="dxa"/>
          </w:tcPr>
          <w:p w14:paraId="7ACDE915" w14:textId="488DB1C6" w:rsidR="00694422" w:rsidRDefault="00694422" w:rsidP="00694422">
            <w:r>
              <w:t>PSA</w:t>
            </w:r>
          </w:p>
        </w:tc>
        <w:tc>
          <w:tcPr>
            <w:tcW w:w="7371" w:type="dxa"/>
          </w:tcPr>
          <w:p w14:paraId="4873C702" w14:textId="277B3B37" w:rsidR="00694422" w:rsidRDefault="00694422" w:rsidP="00694422">
            <w:r>
              <w:t>Pharmaceutical Society of Australia</w:t>
            </w:r>
          </w:p>
        </w:tc>
      </w:tr>
      <w:tr w:rsidR="00694422" w14:paraId="2C0B2C92" w14:textId="77777777" w:rsidTr="00A74BD9">
        <w:tc>
          <w:tcPr>
            <w:tcW w:w="2122" w:type="dxa"/>
          </w:tcPr>
          <w:p w14:paraId="2BE45BF0" w14:textId="77777777" w:rsidR="00694422" w:rsidRDefault="00694422" w:rsidP="00694422">
            <w:r>
              <w:t>RCT</w:t>
            </w:r>
          </w:p>
        </w:tc>
        <w:tc>
          <w:tcPr>
            <w:tcW w:w="7371" w:type="dxa"/>
          </w:tcPr>
          <w:p w14:paraId="72A7D7B5" w14:textId="77777777" w:rsidR="00694422" w:rsidRDefault="00694422" w:rsidP="00694422">
            <w:r>
              <w:t>Randomised Control Trials</w:t>
            </w:r>
          </w:p>
        </w:tc>
      </w:tr>
      <w:tr w:rsidR="00694422" w14:paraId="016E0D59" w14:textId="77777777" w:rsidTr="00A74BD9">
        <w:tc>
          <w:tcPr>
            <w:tcW w:w="2122" w:type="dxa"/>
          </w:tcPr>
          <w:p w14:paraId="43B9B395" w14:textId="77777777" w:rsidR="00694422" w:rsidRDefault="00694422" w:rsidP="00694422">
            <w:r>
              <w:lastRenderedPageBreak/>
              <w:t>S100</w:t>
            </w:r>
          </w:p>
        </w:tc>
        <w:tc>
          <w:tcPr>
            <w:tcW w:w="7371" w:type="dxa"/>
          </w:tcPr>
          <w:p w14:paraId="462B2D1A" w14:textId="77777777" w:rsidR="00694422" w:rsidRDefault="00694422" w:rsidP="00694422">
            <w:r>
              <w:t xml:space="preserve">Section 100 of the </w:t>
            </w:r>
            <w:r>
              <w:rPr>
                <w:rFonts w:ascii="Calibri" w:hAnsi="Calibri" w:cs="Calibri"/>
                <w:i/>
                <w:iCs/>
              </w:rPr>
              <w:t>National Health Act 1953</w:t>
            </w:r>
          </w:p>
        </w:tc>
      </w:tr>
      <w:tr w:rsidR="00694422" w14:paraId="6EF20B09" w14:textId="77777777" w:rsidTr="00A74BD9">
        <w:tc>
          <w:tcPr>
            <w:tcW w:w="2122" w:type="dxa"/>
          </w:tcPr>
          <w:p w14:paraId="7602CD12" w14:textId="77777777" w:rsidR="00694422" w:rsidRDefault="00694422" w:rsidP="00694422">
            <w:r>
              <w:t>S85</w:t>
            </w:r>
          </w:p>
        </w:tc>
        <w:tc>
          <w:tcPr>
            <w:tcW w:w="7371" w:type="dxa"/>
          </w:tcPr>
          <w:p w14:paraId="64821F27" w14:textId="471C9026" w:rsidR="00694422" w:rsidRPr="00A05CE4" w:rsidRDefault="00694422" w:rsidP="00694422">
            <w:r>
              <w:t xml:space="preserve">Section 85 of the </w:t>
            </w:r>
            <w:r>
              <w:rPr>
                <w:rFonts w:ascii="Calibri" w:hAnsi="Calibri" w:cs="Calibri"/>
                <w:i/>
                <w:iCs/>
              </w:rPr>
              <w:t>National Health Act 1953</w:t>
            </w:r>
            <w:r>
              <w:rPr>
                <w:rFonts w:ascii="Calibri" w:hAnsi="Calibri" w:cs="Calibri"/>
              </w:rPr>
              <w:t xml:space="preserve"> (also known as the general schedule)</w:t>
            </w:r>
          </w:p>
        </w:tc>
      </w:tr>
      <w:tr w:rsidR="00694422" w14:paraId="5A9AB040" w14:textId="77777777" w:rsidTr="00A74BD9">
        <w:tc>
          <w:tcPr>
            <w:tcW w:w="2122" w:type="dxa"/>
          </w:tcPr>
          <w:p w14:paraId="569E3960" w14:textId="77777777" w:rsidR="00694422" w:rsidRDefault="00694422" w:rsidP="00694422">
            <w:r>
              <w:t>TGA</w:t>
            </w:r>
          </w:p>
        </w:tc>
        <w:tc>
          <w:tcPr>
            <w:tcW w:w="7371" w:type="dxa"/>
          </w:tcPr>
          <w:p w14:paraId="0F0C014D" w14:textId="77777777" w:rsidR="00694422" w:rsidRDefault="00694422" w:rsidP="00694422">
            <w:r>
              <w:t>Therapeutic Goods Administration</w:t>
            </w:r>
          </w:p>
        </w:tc>
      </w:tr>
      <w:tr w:rsidR="00694422" w14:paraId="5A0A3769" w14:textId="77777777" w:rsidTr="00A74BD9">
        <w:tc>
          <w:tcPr>
            <w:tcW w:w="2122" w:type="dxa"/>
          </w:tcPr>
          <w:p w14:paraId="298BECB3" w14:textId="36FC085B" w:rsidR="00694422" w:rsidRDefault="00694422" w:rsidP="00694422">
            <w:r>
              <w:t>THN</w:t>
            </w:r>
          </w:p>
        </w:tc>
        <w:tc>
          <w:tcPr>
            <w:tcW w:w="7371" w:type="dxa"/>
          </w:tcPr>
          <w:p w14:paraId="78045A54" w14:textId="20259EF6" w:rsidR="00694422" w:rsidRDefault="00694422" w:rsidP="00694422">
            <w:r>
              <w:t>Take Home Naloxone</w:t>
            </w:r>
          </w:p>
        </w:tc>
      </w:tr>
      <w:tr w:rsidR="00694422" w14:paraId="546442DA" w14:textId="77777777" w:rsidTr="00A74BD9">
        <w:tc>
          <w:tcPr>
            <w:tcW w:w="2122" w:type="dxa"/>
          </w:tcPr>
          <w:p w14:paraId="7B6879D0" w14:textId="77777777" w:rsidR="00694422" w:rsidRDefault="00694422" w:rsidP="00694422">
            <w:r>
              <w:t>TOR</w:t>
            </w:r>
          </w:p>
        </w:tc>
        <w:tc>
          <w:tcPr>
            <w:tcW w:w="7371" w:type="dxa"/>
          </w:tcPr>
          <w:p w14:paraId="72161659" w14:textId="49F0553F" w:rsidR="00694422" w:rsidRDefault="00694422" w:rsidP="00694422">
            <w:r>
              <w:t>Term(s) of Reference</w:t>
            </w:r>
          </w:p>
        </w:tc>
      </w:tr>
      <w:tr w:rsidR="00694422" w14:paraId="5B056450" w14:textId="77777777" w:rsidTr="00A74BD9">
        <w:tc>
          <w:tcPr>
            <w:tcW w:w="2122" w:type="dxa"/>
          </w:tcPr>
          <w:p w14:paraId="25657C0A" w14:textId="77777777" w:rsidR="00694422" w:rsidRDefault="00694422" w:rsidP="00694422">
            <w:r>
              <w:t>TSQM</w:t>
            </w:r>
          </w:p>
        </w:tc>
        <w:tc>
          <w:tcPr>
            <w:tcW w:w="7371" w:type="dxa"/>
          </w:tcPr>
          <w:p w14:paraId="4154531D" w14:textId="77777777" w:rsidR="00694422" w:rsidRDefault="00694422" w:rsidP="00694422">
            <w:r w:rsidRPr="00FC46CF">
              <w:t>Treatment Satisfaction Questionnaire for Medication</w:t>
            </w:r>
          </w:p>
        </w:tc>
      </w:tr>
      <w:tr w:rsidR="00694422" w14:paraId="56C0B827" w14:textId="77777777" w:rsidTr="00A74BD9">
        <w:tc>
          <w:tcPr>
            <w:tcW w:w="2122" w:type="dxa"/>
          </w:tcPr>
          <w:p w14:paraId="78E636AA" w14:textId="77777777" w:rsidR="00694422" w:rsidRDefault="00694422" w:rsidP="00694422">
            <w:r>
              <w:t>WHO</w:t>
            </w:r>
          </w:p>
        </w:tc>
        <w:tc>
          <w:tcPr>
            <w:tcW w:w="7371" w:type="dxa"/>
          </w:tcPr>
          <w:p w14:paraId="32CBFD49" w14:textId="430BCB5B" w:rsidR="00694422" w:rsidRDefault="00694422" w:rsidP="00694422">
            <w:r>
              <w:t>World Health Organization</w:t>
            </w:r>
          </w:p>
        </w:tc>
      </w:tr>
      <w:bookmarkEnd w:id="5"/>
    </w:tbl>
    <w:p w14:paraId="7F2F0AF4" w14:textId="69E01B85" w:rsidR="000524DC" w:rsidRDefault="000524DC" w:rsidP="00B86AFA">
      <w:r>
        <w:br w:type="page"/>
      </w:r>
    </w:p>
    <w:p w14:paraId="1347A4EE" w14:textId="1C80404A" w:rsidR="000524DC" w:rsidRDefault="000524DC" w:rsidP="000524DC">
      <w:pPr>
        <w:pStyle w:val="Heading2"/>
      </w:pPr>
      <w:bookmarkStart w:id="6" w:name="_Toc163221151"/>
      <w:r>
        <w:lastRenderedPageBreak/>
        <w:t>Acknowledgements</w:t>
      </w:r>
      <w:bookmarkEnd w:id="6"/>
    </w:p>
    <w:p w14:paraId="131D8726" w14:textId="6B4992E2" w:rsidR="000524DC" w:rsidRDefault="000524DC" w:rsidP="00480E91">
      <w:pPr>
        <w:spacing w:after="160" w:line="259" w:lineRule="auto"/>
      </w:pPr>
      <w:r>
        <w:t>The report was prepared by the Australian Government Department of Health and Aged Care</w:t>
      </w:r>
      <w:r w:rsidR="00995D0A">
        <w:t xml:space="preserve"> (the Department)</w:t>
      </w:r>
      <w:r>
        <w:t xml:space="preserve">. </w:t>
      </w:r>
      <w:r w:rsidR="002D1AAE">
        <w:t>The Department is</w:t>
      </w:r>
      <w:r>
        <w:t xml:space="preserve"> grateful to </w:t>
      </w:r>
      <w:r w:rsidR="002D1AAE">
        <w:t>the broad range of</w:t>
      </w:r>
      <w:r>
        <w:t xml:space="preserve"> stakeholders</w:t>
      </w:r>
      <w:r w:rsidR="00F57EEC">
        <w:t xml:space="preserve"> including consumers, prescribers, service providers, pharmacists, peer</w:t>
      </w:r>
      <w:r w:rsidR="005D65C2">
        <w:t>-based</w:t>
      </w:r>
      <w:r w:rsidR="00F57EEC">
        <w:t xml:space="preserve"> organisations and state and territory governments </w:t>
      </w:r>
      <w:r w:rsidR="002D1AAE">
        <w:t>who contributed to t</w:t>
      </w:r>
      <w:r w:rsidR="003D3171">
        <w:t>he Review</w:t>
      </w:r>
      <w:r w:rsidR="002D1AAE">
        <w:t xml:space="preserve"> and participated in the consultation processes.</w:t>
      </w:r>
    </w:p>
    <w:p w14:paraId="45A263F0" w14:textId="115CAA92" w:rsidR="00434CB3" w:rsidRDefault="00434CB3" w:rsidP="00480E91">
      <w:pPr>
        <w:spacing w:after="160" w:line="259" w:lineRule="auto"/>
      </w:pPr>
      <w:r>
        <w:t>The Department would like to acknowledge the Traditional Owners and Custodians of the lands of the Ngunnawal people on which the report was written a</w:t>
      </w:r>
      <w:r w:rsidR="007B6190">
        <w:t>s well as the</w:t>
      </w:r>
      <w:r w:rsidR="00C55D56">
        <w:t xml:space="preserve"> lands </w:t>
      </w:r>
      <w:r>
        <w:t>on which the report is read. The Department would like to pay its respect to Elders past, present</w:t>
      </w:r>
      <w:r w:rsidR="000F558C">
        <w:t>,</w:t>
      </w:r>
      <w:r>
        <w:t xml:space="preserve"> and emerging.</w:t>
      </w:r>
    </w:p>
    <w:p w14:paraId="45741932" w14:textId="034D1815" w:rsidR="002D1AAE" w:rsidRDefault="007B6190" w:rsidP="00480E91">
      <w:pPr>
        <w:spacing w:after="160" w:line="259" w:lineRule="auto"/>
      </w:pPr>
      <w:r>
        <w:t>T</w:t>
      </w:r>
      <w:r w:rsidR="002D1AAE">
        <w:t xml:space="preserve">he Department would </w:t>
      </w:r>
      <w:r>
        <w:t xml:space="preserve">also </w:t>
      </w:r>
      <w:r w:rsidR="002D1AAE">
        <w:t>like to acknowledge the contributions of:</w:t>
      </w:r>
    </w:p>
    <w:p w14:paraId="2BE53E99" w14:textId="77777777" w:rsidR="000524DC" w:rsidRDefault="000524DC" w:rsidP="00480E91">
      <w:pPr>
        <w:spacing w:after="160" w:line="259" w:lineRule="auto"/>
      </w:pPr>
      <w:r>
        <w:t>National Drug and Alcohol Research Centre, UNSW Sydney</w:t>
      </w:r>
    </w:p>
    <w:p w14:paraId="1A9E0EE4" w14:textId="77777777" w:rsidR="000524DC" w:rsidRDefault="000524DC" w:rsidP="00480E91">
      <w:pPr>
        <w:spacing w:after="160" w:line="259" w:lineRule="auto"/>
      </w:pPr>
      <w:r>
        <w:t>Australian Injecting and Illicit Drug Users League</w:t>
      </w:r>
    </w:p>
    <w:p w14:paraId="6A52311C" w14:textId="77777777" w:rsidR="002D1AAE" w:rsidRDefault="000524DC" w:rsidP="00480E91">
      <w:pPr>
        <w:spacing w:after="160" w:line="259" w:lineRule="auto"/>
      </w:pPr>
      <w:r>
        <w:t>NPS MedicineWise</w:t>
      </w:r>
    </w:p>
    <w:p w14:paraId="569EBE77" w14:textId="01528749" w:rsidR="000524DC" w:rsidRDefault="002D1AAE" w:rsidP="00480E91">
      <w:pPr>
        <w:spacing w:after="160" w:line="259" w:lineRule="auto"/>
        <w:rPr>
          <w:rFonts w:asciiTheme="minorHAnsi" w:eastAsiaTheme="majorEastAsia" w:hAnsiTheme="minorHAnsi" w:cstheme="majorBidi"/>
          <w:color w:val="2F5496" w:themeColor="accent1" w:themeShade="BF"/>
          <w:sz w:val="26"/>
          <w:szCs w:val="26"/>
        </w:rPr>
      </w:pPr>
      <w:r>
        <w:t>Members of the Reference Group (</w:t>
      </w:r>
      <w:r w:rsidR="00B110C1">
        <w:t xml:space="preserve">Refer </w:t>
      </w:r>
      <w:r w:rsidRPr="00B110C1">
        <w:t xml:space="preserve">Appendix </w:t>
      </w:r>
      <w:r w:rsidR="00B110C1" w:rsidRPr="00B110C1">
        <w:t>1</w:t>
      </w:r>
      <w:r w:rsidR="00806A1A">
        <w:t>- capacity of appointments)</w:t>
      </w:r>
      <w:r w:rsidR="00B110C1">
        <w:t xml:space="preserve"> </w:t>
      </w:r>
      <w:r w:rsidR="000524DC">
        <w:br w:type="page"/>
      </w:r>
    </w:p>
    <w:p w14:paraId="2EEE4B5B" w14:textId="782ADD05" w:rsidR="000524DC" w:rsidRDefault="000524DC" w:rsidP="000524DC">
      <w:pPr>
        <w:pStyle w:val="Heading2"/>
      </w:pPr>
      <w:bookmarkStart w:id="7" w:name="_Toc163221152"/>
      <w:r>
        <w:lastRenderedPageBreak/>
        <w:t>Report Structure</w:t>
      </w:r>
      <w:bookmarkEnd w:id="7"/>
    </w:p>
    <w:p w14:paraId="39EDE0D3" w14:textId="42AEC039" w:rsidR="00EB6D50" w:rsidRDefault="00D2030A" w:rsidP="00EB6D50">
      <w:pPr>
        <w:rPr>
          <w:rFonts w:asciiTheme="minorHAnsi" w:hAnsiTheme="minorHAnsi" w:cstheme="minorHAnsi"/>
        </w:rPr>
      </w:pPr>
      <w:r>
        <w:rPr>
          <w:rFonts w:asciiTheme="minorHAnsi" w:hAnsiTheme="minorHAnsi" w:cstheme="minorHAnsi"/>
        </w:rPr>
        <w:t>This r</w:t>
      </w:r>
      <w:r w:rsidR="00EB6D50" w:rsidRPr="00FB7D73">
        <w:rPr>
          <w:rFonts w:asciiTheme="minorHAnsi" w:hAnsiTheme="minorHAnsi" w:cstheme="minorHAnsi"/>
        </w:rPr>
        <w:t xml:space="preserve">eport </w:t>
      </w:r>
      <w:r>
        <w:rPr>
          <w:rFonts w:asciiTheme="minorHAnsi" w:hAnsiTheme="minorHAnsi" w:cstheme="minorHAnsi"/>
        </w:rPr>
        <w:t xml:space="preserve">is presented in several parts, as outlined below. The report has been structured in this way to address the Terms of Reference (TOR) for the Review. </w:t>
      </w:r>
    </w:p>
    <w:p w14:paraId="7E73DD1D" w14:textId="2CB2C68D" w:rsidR="005859AA" w:rsidRDefault="00A560C3" w:rsidP="00EB6D50">
      <w:pPr>
        <w:rPr>
          <w:rFonts w:asciiTheme="minorHAnsi" w:hAnsiTheme="minorHAnsi" w:cstheme="minorHAnsi"/>
        </w:rPr>
      </w:pPr>
      <w:r>
        <w:rPr>
          <w:rFonts w:asciiTheme="minorHAnsi" w:hAnsiTheme="minorHAnsi" w:cstheme="minorHAnsi"/>
        </w:rPr>
        <w:t xml:space="preserve">For each TOR, the report summarises the key findings for </w:t>
      </w:r>
      <w:r w:rsidR="00F47CAC">
        <w:rPr>
          <w:rFonts w:asciiTheme="minorHAnsi" w:hAnsiTheme="minorHAnsi" w:cstheme="minorHAnsi"/>
        </w:rPr>
        <w:t>each</w:t>
      </w:r>
      <w:r>
        <w:rPr>
          <w:rFonts w:asciiTheme="minorHAnsi" w:hAnsiTheme="minorHAnsi" w:cstheme="minorHAnsi"/>
        </w:rPr>
        <w:t xml:space="preserve"> TOR and outlines stakeholder views. The latter part of each chapter present</w:t>
      </w:r>
      <w:r w:rsidR="003A07DC">
        <w:rPr>
          <w:rFonts w:asciiTheme="minorHAnsi" w:hAnsiTheme="minorHAnsi" w:cstheme="minorHAnsi"/>
        </w:rPr>
        <w:t>s</w:t>
      </w:r>
      <w:r>
        <w:rPr>
          <w:rFonts w:asciiTheme="minorHAnsi" w:hAnsiTheme="minorHAnsi" w:cstheme="minorHAnsi"/>
        </w:rPr>
        <w:t xml:space="preserve"> the findings from the literature review as well as other analyses or evidence used to inform the Review.</w:t>
      </w:r>
    </w:p>
    <w:p w14:paraId="3FD2FB1C" w14:textId="099299EE" w:rsidR="00A560C3" w:rsidRDefault="00A560C3" w:rsidP="00EB6D50">
      <w:pPr>
        <w:rPr>
          <w:rFonts w:asciiTheme="minorHAnsi" w:hAnsiTheme="minorHAnsi" w:cstheme="minorHAnsi"/>
        </w:rPr>
      </w:pPr>
      <w:r>
        <w:rPr>
          <w:rFonts w:asciiTheme="minorHAnsi" w:hAnsiTheme="minorHAnsi" w:cstheme="minorHAnsi"/>
        </w:rPr>
        <w:t>Each TOR is intended to build upon the evidence</w:t>
      </w:r>
      <w:r w:rsidR="00CD2BC7">
        <w:rPr>
          <w:rFonts w:asciiTheme="minorHAnsi" w:hAnsiTheme="minorHAnsi" w:cstheme="minorHAnsi"/>
        </w:rPr>
        <w:t xml:space="preserve"> and discussion</w:t>
      </w:r>
      <w:r>
        <w:rPr>
          <w:rFonts w:asciiTheme="minorHAnsi" w:hAnsiTheme="minorHAnsi" w:cstheme="minorHAnsi"/>
        </w:rPr>
        <w:t xml:space="preserve"> presented in the previous chapter.</w:t>
      </w:r>
    </w:p>
    <w:p w14:paraId="6585E814" w14:textId="444EA030" w:rsidR="00CA3F41" w:rsidRDefault="00CA3F41" w:rsidP="00CA3F41">
      <w:r>
        <w:rPr>
          <w:b/>
          <w:bCs/>
        </w:rPr>
        <w:t xml:space="preserve">Part </w:t>
      </w:r>
      <w:r w:rsidR="003A07DC">
        <w:rPr>
          <w:b/>
          <w:bCs/>
        </w:rPr>
        <w:t>1</w:t>
      </w:r>
      <w:r>
        <w:rPr>
          <w:b/>
          <w:bCs/>
        </w:rPr>
        <w:t xml:space="preserve"> </w:t>
      </w:r>
      <w:r w:rsidR="005467BC" w:rsidRPr="00D41BD2">
        <w:rPr>
          <w:rFonts w:asciiTheme="minorHAnsi" w:hAnsiTheme="minorHAnsi" w:cstheme="minorHAnsi"/>
          <w:b/>
          <w:bCs/>
        </w:rPr>
        <w:t>–</w:t>
      </w:r>
      <w:r w:rsidR="005467BC">
        <w:rPr>
          <w:rFonts w:asciiTheme="minorHAnsi" w:hAnsiTheme="minorHAnsi" w:cstheme="minorHAnsi"/>
          <w:b/>
          <w:bCs/>
        </w:rPr>
        <w:t xml:space="preserve"> </w:t>
      </w:r>
      <w:r w:rsidRPr="00407F8D">
        <w:rPr>
          <w:b/>
          <w:bCs/>
        </w:rPr>
        <w:t>Background</w:t>
      </w:r>
      <w:r>
        <w:rPr>
          <w:b/>
          <w:bCs/>
        </w:rPr>
        <w:t xml:space="preserve">: </w:t>
      </w:r>
      <w:r>
        <w:t>Provides context for the topic of</w:t>
      </w:r>
      <w:r w:rsidR="002909B1">
        <w:t xml:space="preserve"> </w:t>
      </w:r>
      <w:r w:rsidR="009C7DB8">
        <w:t>Opioid Dependence Treatment (</w:t>
      </w:r>
      <w:r w:rsidR="002909B1">
        <w:t>ODT</w:t>
      </w:r>
      <w:r w:rsidR="009C7DB8">
        <w:t>)</w:t>
      </w:r>
      <w:r>
        <w:t xml:space="preserve"> in Australia and is divided into two parts:</w:t>
      </w:r>
    </w:p>
    <w:p w14:paraId="5D253748" w14:textId="68FFC660" w:rsidR="00CA3F41" w:rsidRDefault="00CA3F41" w:rsidP="007E3DC8">
      <w:pPr>
        <w:pStyle w:val="ListParagraph"/>
        <w:numPr>
          <w:ilvl w:val="0"/>
          <w:numId w:val="22"/>
        </w:numPr>
        <w:rPr>
          <w:rFonts w:asciiTheme="minorHAnsi" w:hAnsiTheme="minorHAnsi" w:cstheme="minorHAnsi"/>
        </w:rPr>
      </w:pPr>
      <w:r w:rsidRPr="00407F8D">
        <w:rPr>
          <w:rFonts w:asciiTheme="minorHAnsi" w:hAnsiTheme="minorHAnsi" w:cstheme="minorHAnsi"/>
          <w:u w:val="single"/>
        </w:rPr>
        <w:t xml:space="preserve">Part </w:t>
      </w:r>
      <w:r w:rsidR="00316322">
        <w:rPr>
          <w:rFonts w:asciiTheme="minorHAnsi" w:hAnsiTheme="minorHAnsi" w:cstheme="minorHAnsi"/>
          <w:u w:val="single"/>
        </w:rPr>
        <w:t>1</w:t>
      </w:r>
      <w:r w:rsidRPr="00407F8D">
        <w:rPr>
          <w:rFonts w:asciiTheme="minorHAnsi" w:hAnsiTheme="minorHAnsi" w:cstheme="minorHAnsi"/>
          <w:u w:val="single"/>
        </w:rPr>
        <w:t>A</w:t>
      </w:r>
      <w:r w:rsidRPr="00407F8D">
        <w:rPr>
          <w:rFonts w:asciiTheme="minorHAnsi" w:hAnsiTheme="minorHAnsi" w:cstheme="minorHAnsi"/>
        </w:rPr>
        <w:t xml:space="preserve"> provides context for the Review, including a description of the</w:t>
      </w:r>
      <w:r w:rsidR="002909B1">
        <w:rPr>
          <w:rFonts w:asciiTheme="minorHAnsi" w:hAnsiTheme="minorHAnsi" w:cstheme="minorHAnsi"/>
        </w:rPr>
        <w:t xml:space="preserve"> </w:t>
      </w:r>
      <w:r w:rsidR="00995D0A">
        <w:rPr>
          <w:rFonts w:asciiTheme="minorHAnsi" w:hAnsiTheme="minorHAnsi" w:cstheme="minorHAnsi"/>
        </w:rPr>
        <w:t>Post-market review (</w:t>
      </w:r>
      <w:r w:rsidR="002909B1">
        <w:rPr>
          <w:rFonts w:asciiTheme="minorHAnsi" w:hAnsiTheme="minorHAnsi" w:cstheme="minorHAnsi"/>
        </w:rPr>
        <w:t>PMR</w:t>
      </w:r>
      <w:r w:rsidR="00995D0A">
        <w:rPr>
          <w:rFonts w:asciiTheme="minorHAnsi" w:hAnsiTheme="minorHAnsi" w:cstheme="minorHAnsi"/>
        </w:rPr>
        <w:t>)</w:t>
      </w:r>
      <w:r>
        <w:rPr>
          <w:rFonts w:asciiTheme="minorHAnsi" w:hAnsiTheme="minorHAnsi" w:cstheme="minorHAnsi"/>
        </w:rPr>
        <w:t xml:space="preserve"> </w:t>
      </w:r>
      <w:r w:rsidRPr="00407F8D">
        <w:rPr>
          <w:rFonts w:asciiTheme="minorHAnsi" w:hAnsiTheme="minorHAnsi" w:cstheme="minorHAnsi"/>
        </w:rPr>
        <w:t xml:space="preserve">program, the </w:t>
      </w:r>
      <w:r>
        <w:rPr>
          <w:rFonts w:asciiTheme="minorHAnsi" w:hAnsiTheme="minorHAnsi" w:cstheme="minorHAnsi"/>
        </w:rPr>
        <w:t xml:space="preserve">reasons for reviewing the </w:t>
      </w:r>
      <w:r w:rsidR="00995D0A">
        <w:rPr>
          <w:rFonts w:asciiTheme="minorHAnsi" w:hAnsiTheme="minorHAnsi" w:cstheme="minorHAnsi"/>
        </w:rPr>
        <w:t>Pharmaceutical Benefits Scheme (</w:t>
      </w:r>
      <w:r>
        <w:rPr>
          <w:rFonts w:asciiTheme="minorHAnsi" w:hAnsiTheme="minorHAnsi" w:cstheme="minorHAnsi"/>
        </w:rPr>
        <w:t>PBS</w:t>
      </w:r>
      <w:r w:rsidR="00995D0A">
        <w:rPr>
          <w:rFonts w:asciiTheme="minorHAnsi" w:hAnsiTheme="minorHAnsi" w:cstheme="minorHAnsi"/>
        </w:rPr>
        <w:t>)</w:t>
      </w:r>
      <w:r>
        <w:rPr>
          <w:rFonts w:asciiTheme="minorHAnsi" w:hAnsiTheme="minorHAnsi" w:cstheme="minorHAnsi"/>
        </w:rPr>
        <w:t xml:space="preserve"> </w:t>
      </w:r>
      <w:r w:rsidR="002909B1">
        <w:rPr>
          <w:rFonts w:asciiTheme="minorHAnsi" w:hAnsiTheme="minorHAnsi" w:cstheme="minorHAnsi"/>
        </w:rPr>
        <w:t>ODTP</w:t>
      </w:r>
      <w:r w:rsidRPr="00407F8D">
        <w:rPr>
          <w:rFonts w:asciiTheme="minorHAnsi" w:hAnsiTheme="minorHAnsi" w:cstheme="minorHAnsi"/>
        </w:rPr>
        <w:t>, and an outline of the Review methodology and main data sources</w:t>
      </w:r>
      <w:r w:rsidR="00BB745A">
        <w:rPr>
          <w:rFonts w:asciiTheme="minorHAnsi" w:hAnsiTheme="minorHAnsi" w:cstheme="minorHAnsi"/>
        </w:rPr>
        <w:t>.</w:t>
      </w:r>
    </w:p>
    <w:p w14:paraId="77C6B432" w14:textId="53DF2DD3" w:rsidR="00CA3F41" w:rsidRPr="00407F8D" w:rsidRDefault="00CA3F41" w:rsidP="007E3DC8">
      <w:pPr>
        <w:pStyle w:val="ListParagraph"/>
        <w:numPr>
          <w:ilvl w:val="0"/>
          <w:numId w:val="22"/>
        </w:numPr>
        <w:rPr>
          <w:rFonts w:asciiTheme="minorHAnsi" w:hAnsiTheme="minorHAnsi" w:cstheme="minorHAnsi"/>
        </w:rPr>
      </w:pPr>
      <w:r w:rsidRPr="00407F8D">
        <w:rPr>
          <w:rFonts w:asciiTheme="minorHAnsi" w:hAnsiTheme="minorHAnsi" w:cstheme="minorHAnsi"/>
          <w:u w:val="single"/>
        </w:rPr>
        <w:t xml:space="preserve">Part </w:t>
      </w:r>
      <w:r w:rsidR="00316322">
        <w:rPr>
          <w:rFonts w:asciiTheme="minorHAnsi" w:hAnsiTheme="minorHAnsi" w:cstheme="minorHAnsi"/>
          <w:u w:val="single"/>
        </w:rPr>
        <w:t>1</w:t>
      </w:r>
      <w:r w:rsidRPr="00407F8D">
        <w:rPr>
          <w:rFonts w:asciiTheme="minorHAnsi" w:hAnsiTheme="minorHAnsi" w:cstheme="minorHAnsi"/>
          <w:u w:val="single"/>
        </w:rPr>
        <w:t>B</w:t>
      </w:r>
      <w:r w:rsidRPr="00407F8D">
        <w:rPr>
          <w:rFonts w:asciiTheme="minorHAnsi" w:hAnsiTheme="minorHAnsi" w:cstheme="minorHAnsi"/>
        </w:rPr>
        <w:t xml:space="preserve"> introduces the </w:t>
      </w:r>
      <w:r>
        <w:rPr>
          <w:rFonts w:asciiTheme="minorHAnsi" w:hAnsiTheme="minorHAnsi" w:cstheme="minorHAnsi"/>
        </w:rPr>
        <w:t xml:space="preserve">medicines available under the </w:t>
      </w:r>
      <w:r w:rsidR="00F757D4">
        <w:rPr>
          <w:rFonts w:asciiTheme="minorHAnsi" w:hAnsiTheme="minorHAnsi" w:cstheme="minorHAnsi"/>
        </w:rPr>
        <w:t xml:space="preserve">PBS </w:t>
      </w:r>
      <w:r>
        <w:rPr>
          <w:rFonts w:asciiTheme="minorHAnsi" w:hAnsiTheme="minorHAnsi" w:cstheme="minorHAnsi"/>
        </w:rPr>
        <w:t xml:space="preserve">ODTP and their current listing arrangements, the current structure of the </w:t>
      </w:r>
      <w:r w:rsidR="00F757D4">
        <w:rPr>
          <w:rFonts w:asciiTheme="minorHAnsi" w:hAnsiTheme="minorHAnsi" w:cstheme="minorHAnsi"/>
        </w:rPr>
        <w:t xml:space="preserve">PBS </w:t>
      </w:r>
      <w:r>
        <w:rPr>
          <w:rFonts w:asciiTheme="minorHAnsi" w:hAnsiTheme="minorHAnsi" w:cstheme="minorHAnsi"/>
        </w:rPr>
        <w:t>ODTP and its funding arrangements.</w:t>
      </w:r>
    </w:p>
    <w:p w14:paraId="1CFBE9B6" w14:textId="628467A6" w:rsidR="00CA3F41" w:rsidRPr="00407F8D" w:rsidRDefault="00CA3F41" w:rsidP="00CA3F41">
      <w:pPr>
        <w:rPr>
          <w:rFonts w:asciiTheme="minorHAnsi" w:hAnsiTheme="minorHAnsi" w:cstheme="minorHAnsi"/>
          <w:b/>
          <w:bCs/>
        </w:rPr>
      </w:pPr>
      <w:r>
        <w:rPr>
          <w:rFonts w:asciiTheme="minorHAnsi" w:hAnsiTheme="minorHAnsi" w:cstheme="minorHAnsi"/>
          <w:b/>
          <w:bCs/>
        </w:rPr>
        <w:t xml:space="preserve">Part </w:t>
      </w:r>
      <w:r w:rsidR="003A07DC">
        <w:rPr>
          <w:rFonts w:asciiTheme="minorHAnsi" w:hAnsiTheme="minorHAnsi" w:cstheme="minorHAnsi"/>
          <w:b/>
          <w:bCs/>
        </w:rPr>
        <w:t>2</w:t>
      </w:r>
      <w:r>
        <w:rPr>
          <w:rFonts w:asciiTheme="minorHAnsi" w:hAnsiTheme="minorHAnsi" w:cstheme="minorHAnsi"/>
          <w:b/>
          <w:bCs/>
        </w:rPr>
        <w:t xml:space="preserve"> </w:t>
      </w:r>
      <w:r w:rsidR="005467BC" w:rsidRPr="00D41BD2">
        <w:rPr>
          <w:rFonts w:asciiTheme="minorHAnsi" w:hAnsiTheme="minorHAnsi" w:cstheme="minorHAnsi"/>
          <w:b/>
          <w:bCs/>
        </w:rPr>
        <w:t>–</w:t>
      </w:r>
      <w:r w:rsidR="005467BC">
        <w:rPr>
          <w:rFonts w:asciiTheme="minorHAnsi" w:hAnsiTheme="minorHAnsi" w:cstheme="minorHAnsi"/>
          <w:b/>
          <w:bCs/>
        </w:rPr>
        <w:t xml:space="preserve"> </w:t>
      </w:r>
      <w:r w:rsidRPr="00407F8D">
        <w:rPr>
          <w:rFonts w:asciiTheme="minorHAnsi" w:hAnsiTheme="minorHAnsi" w:cstheme="minorHAnsi"/>
          <w:b/>
          <w:bCs/>
        </w:rPr>
        <w:t>TOR 1</w:t>
      </w:r>
      <w:r>
        <w:rPr>
          <w:rFonts w:asciiTheme="minorHAnsi" w:hAnsiTheme="minorHAnsi" w:cstheme="minorHAnsi"/>
          <w:b/>
          <w:bCs/>
        </w:rPr>
        <w:t xml:space="preserve">: </w:t>
      </w:r>
      <w:r w:rsidR="00D158C5" w:rsidRPr="00D158C5">
        <w:rPr>
          <w:rFonts w:asciiTheme="minorHAnsi" w:hAnsiTheme="minorHAnsi" w:cstheme="minorHAnsi"/>
        </w:rPr>
        <w:t>This chapter</w:t>
      </w:r>
      <w:r w:rsidR="00D158C5">
        <w:rPr>
          <w:rFonts w:asciiTheme="minorHAnsi" w:hAnsiTheme="minorHAnsi" w:cstheme="minorHAnsi"/>
          <w:b/>
          <w:bCs/>
        </w:rPr>
        <w:t xml:space="preserve"> </w:t>
      </w:r>
      <w:r w:rsidR="00D158C5" w:rsidRPr="00D158C5">
        <w:rPr>
          <w:rFonts w:asciiTheme="minorHAnsi" w:hAnsiTheme="minorHAnsi" w:cstheme="minorHAnsi"/>
        </w:rPr>
        <w:t>d</w:t>
      </w:r>
      <w:r w:rsidRPr="00D111AE">
        <w:t>iscuss</w:t>
      </w:r>
      <w:r>
        <w:t>es</w:t>
      </w:r>
      <w:r w:rsidRPr="00D111AE">
        <w:t xml:space="preserve"> the current elements of ODT in Australia including the characteristics of people accessing ODT, existing treatment guidelines and compares these with international models of countries with similar health systems to Australia.</w:t>
      </w:r>
    </w:p>
    <w:p w14:paraId="0741B53A" w14:textId="7794308E" w:rsidR="00CA3F41" w:rsidRPr="00407F8D" w:rsidRDefault="00CA3F41" w:rsidP="00CA3F41">
      <w:pPr>
        <w:rPr>
          <w:rFonts w:asciiTheme="minorHAnsi" w:hAnsiTheme="minorHAnsi" w:cstheme="minorHAnsi"/>
          <w:b/>
          <w:bCs/>
        </w:rPr>
      </w:pPr>
      <w:r>
        <w:rPr>
          <w:rFonts w:asciiTheme="minorHAnsi" w:hAnsiTheme="minorHAnsi" w:cstheme="minorHAnsi"/>
          <w:b/>
          <w:bCs/>
        </w:rPr>
        <w:t xml:space="preserve">Part </w:t>
      </w:r>
      <w:r w:rsidR="003A07DC">
        <w:rPr>
          <w:rFonts w:asciiTheme="minorHAnsi" w:hAnsiTheme="minorHAnsi" w:cstheme="minorHAnsi"/>
          <w:b/>
          <w:bCs/>
        </w:rPr>
        <w:t>3</w:t>
      </w:r>
      <w:r>
        <w:rPr>
          <w:rFonts w:asciiTheme="minorHAnsi" w:hAnsiTheme="minorHAnsi" w:cstheme="minorHAnsi"/>
          <w:b/>
          <w:bCs/>
        </w:rPr>
        <w:t xml:space="preserve"> </w:t>
      </w:r>
      <w:r w:rsidR="005467BC" w:rsidRPr="00D41BD2">
        <w:rPr>
          <w:rFonts w:asciiTheme="minorHAnsi" w:hAnsiTheme="minorHAnsi" w:cstheme="minorHAnsi"/>
          <w:b/>
          <w:bCs/>
        </w:rPr>
        <w:t>–</w:t>
      </w:r>
      <w:r w:rsidR="005467BC">
        <w:rPr>
          <w:rFonts w:asciiTheme="minorHAnsi" w:hAnsiTheme="minorHAnsi" w:cstheme="minorHAnsi"/>
          <w:b/>
          <w:bCs/>
        </w:rPr>
        <w:t xml:space="preserve"> </w:t>
      </w:r>
      <w:r w:rsidRPr="00407F8D">
        <w:rPr>
          <w:rFonts w:asciiTheme="minorHAnsi" w:hAnsiTheme="minorHAnsi" w:cstheme="minorHAnsi"/>
          <w:b/>
          <w:bCs/>
        </w:rPr>
        <w:t>TOR 2</w:t>
      </w:r>
      <w:r>
        <w:rPr>
          <w:rFonts w:asciiTheme="minorHAnsi" w:hAnsiTheme="minorHAnsi" w:cstheme="minorHAnsi"/>
          <w:b/>
          <w:bCs/>
        </w:rPr>
        <w:t xml:space="preserve">: </w:t>
      </w:r>
      <w:r w:rsidR="00185110" w:rsidRPr="00EA3458">
        <w:t xml:space="preserve">This chapter first </w:t>
      </w:r>
      <w:r w:rsidR="00185110">
        <w:t xml:space="preserve">presents </w:t>
      </w:r>
      <w:r w:rsidR="00185110" w:rsidRPr="00EA3458">
        <w:t xml:space="preserve">key findings from specific consumer consultation undertaken to inform this review </w:t>
      </w:r>
      <w:r w:rsidR="00185110">
        <w:t xml:space="preserve">and then </w:t>
      </w:r>
      <w:r w:rsidR="00185110" w:rsidRPr="00EA3458">
        <w:t xml:space="preserve">literature on the barriers and facilitators of ODT from the point of view of consumers, </w:t>
      </w:r>
      <w:r w:rsidR="00F47CAC" w:rsidRPr="00EA3458">
        <w:t>prescribers,</w:t>
      </w:r>
      <w:r w:rsidR="00185110" w:rsidRPr="00EA3458">
        <w:t xml:space="preserve"> and pharmacists</w:t>
      </w:r>
      <w:r w:rsidRPr="00EA3458">
        <w:t>.</w:t>
      </w:r>
    </w:p>
    <w:p w14:paraId="7ED217D5" w14:textId="077CD14E" w:rsidR="00CA3F41" w:rsidRPr="00407F8D" w:rsidRDefault="00CA3F41" w:rsidP="00CA3F41">
      <w:pPr>
        <w:rPr>
          <w:rFonts w:asciiTheme="minorHAnsi" w:hAnsiTheme="minorHAnsi" w:cstheme="minorHAnsi"/>
          <w:b/>
          <w:bCs/>
        </w:rPr>
      </w:pPr>
      <w:r>
        <w:rPr>
          <w:rFonts w:asciiTheme="minorHAnsi" w:hAnsiTheme="minorHAnsi" w:cstheme="minorHAnsi"/>
          <w:b/>
          <w:bCs/>
        </w:rPr>
        <w:t xml:space="preserve">Part </w:t>
      </w:r>
      <w:r w:rsidR="003A07DC">
        <w:rPr>
          <w:rFonts w:asciiTheme="minorHAnsi" w:hAnsiTheme="minorHAnsi" w:cstheme="minorHAnsi"/>
          <w:b/>
          <w:bCs/>
        </w:rPr>
        <w:t>4</w:t>
      </w:r>
      <w:r>
        <w:rPr>
          <w:rFonts w:asciiTheme="minorHAnsi" w:hAnsiTheme="minorHAnsi" w:cstheme="minorHAnsi"/>
          <w:b/>
          <w:bCs/>
        </w:rPr>
        <w:t xml:space="preserve"> </w:t>
      </w:r>
      <w:r w:rsidR="005467BC" w:rsidRPr="00D41BD2">
        <w:rPr>
          <w:rFonts w:asciiTheme="minorHAnsi" w:hAnsiTheme="minorHAnsi" w:cstheme="minorHAnsi"/>
          <w:b/>
          <w:bCs/>
        </w:rPr>
        <w:t>–</w:t>
      </w:r>
      <w:r w:rsidR="005467BC">
        <w:rPr>
          <w:rFonts w:asciiTheme="minorHAnsi" w:hAnsiTheme="minorHAnsi" w:cstheme="minorHAnsi"/>
          <w:b/>
          <w:bCs/>
        </w:rPr>
        <w:t xml:space="preserve"> </w:t>
      </w:r>
      <w:r w:rsidRPr="00407F8D">
        <w:rPr>
          <w:rFonts w:asciiTheme="minorHAnsi" w:hAnsiTheme="minorHAnsi" w:cstheme="minorHAnsi"/>
          <w:b/>
          <w:bCs/>
        </w:rPr>
        <w:t>TOR 3</w:t>
      </w:r>
      <w:r>
        <w:rPr>
          <w:rFonts w:asciiTheme="minorHAnsi" w:hAnsiTheme="minorHAnsi" w:cstheme="minorHAnsi"/>
          <w:b/>
          <w:bCs/>
        </w:rPr>
        <w:t xml:space="preserve">: </w:t>
      </w:r>
      <w:r w:rsidRPr="00407F8D">
        <w:rPr>
          <w:rFonts w:asciiTheme="minorHAnsi" w:hAnsiTheme="minorHAnsi" w:cstheme="minorHAnsi"/>
        </w:rPr>
        <w:t>This chapter first</w:t>
      </w:r>
      <w:r>
        <w:rPr>
          <w:rFonts w:asciiTheme="minorHAnsi" w:hAnsiTheme="minorHAnsi" w:cstheme="minorHAnsi"/>
          <w:b/>
          <w:bCs/>
        </w:rPr>
        <w:t xml:space="preserve"> </w:t>
      </w:r>
      <w:r>
        <w:t>reviews literature</w:t>
      </w:r>
      <w:r w:rsidRPr="009B3077">
        <w:t xml:space="preserve"> on the benefits of each </w:t>
      </w:r>
      <w:r>
        <w:t>O</w:t>
      </w:r>
      <w:r w:rsidR="00992300">
        <w:t>D</w:t>
      </w:r>
      <w:r>
        <w:t>T</w:t>
      </w:r>
      <w:r w:rsidRPr="009B3077">
        <w:t xml:space="preserve"> medicine and their cost to patients, prescribers, </w:t>
      </w:r>
      <w:r w:rsidR="00F47CAC" w:rsidRPr="009B3077">
        <w:t>pharmacies,</w:t>
      </w:r>
      <w:r w:rsidRPr="009B3077">
        <w:t xml:space="preserve"> and governments. This </w:t>
      </w:r>
      <w:r>
        <w:t>is</w:t>
      </w:r>
      <w:r w:rsidRPr="009B3077">
        <w:t xml:space="preserve"> followed by an analysis of </w:t>
      </w:r>
      <w:r>
        <w:t xml:space="preserve">trends in expenditure and medicine utilisation from </w:t>
      </w:r>
      <w:r w:rsidRPr="009B3077">
        <w:t xml:space="preserve">Commonwealth </w:t>
      </w:r>
      <w:r w:rsidR="00992300">
        <w:t xml:space="preserve">PBS </w:t>
      </w:r>
      <w:r>
        <w:t xml:space="preserve">ODTP </w:t>
      </w:r>
      <w:r w:rsidRPr="009B3077">
        <w:t>expenditure data</w:t>
      </w:r>
      <w:r>
        <w:t>.</w:t>
      </w:r>
    </w:p>
    <w:p w14:paraId="5CE93532" w14:textId="07B0D11E" w:rsidR="00CA3F41" w:rsidRPr="00407F8D" w:rsidRDefault="00CA3F41" w:rsidP="00CA3F41">
      <w:pPr>
        <w:rPr>
          <w:rFonts w:asciiTheme="minorHAnsi" w:hAnsiTheme="minorHAnsi" w:cstheme="minorHAnsi"/>
          <w:b/>
          <w:bCs/>
        </w:rPr>
      </w:pPr>
      <w:r>
        <w:rPr>
          <w:rFonts w:asciiTheme="minorHAnsi" w:hAnsiTheme="minorHAnsi" w:cstheme="minorHAnsi"/>
          <w:b/>
          <w:bCs/>
        </w:rPr>
        <w:t xml:space="preserve">Part </w:t>
      </w:r>
      <w:r w:rsidR="003A07DC">
        <w:rPr>
          <w:rFonts w:asciiTheme="minorHAnsi" w:hAnsiTheme="minorHAnsi" w:cstheme="minorHAnsi"/>
          <w:b/>
          <w:bCs/>
        </w:rPr>
        <w:t>5</w:t>
      </w:r>
      <w:r>
        <w:rPr>
          <w:rFonts w:asciiTheme="minorHAnsi" w:hAnsiTheme="minorHAnsi" w:cstheme="minorHAnsi"/>
          <w:b/>
          <w:bCs/>
        </w:rPr>
        <w:t xml:space="preserve"> </w:t>
      </w:r>
      <w:r w:rsidR="005467BC" w:rsidRPr="00D41BD2">
        <w:rPr>
          <w:rFonts w:asciiTheme="minorHAnsi" w:hAnsiTheme="minorHAnsi" w:cstheme="minorHAnsi"/>
          <w:b/>
          <w:bCs/>
        </w:rPr>
        <w:t>–</w:t>
      </w:r>
      <w:r w:rsidR="005467BC">
        <w:rPr>
          <w:rFonts w:asciiTheme="minorHAnsi" w:hAnsiTheme="minorHAnsi" w:cstheme="minorHAnsi"/>
          <w:b/>
          <w:bCs/>
        </w:rPr>
        <w:t xml:space="preserve"> </w:t>
      </w:r>
      <w:r w:rsidRPr="00407F8D">
        <w:rPr>
          <w:rFonts w:asciiTheme="minorHAnsi" w:hAnsiTheme="minorHAnsi" w:cstheme="minorHAnsi"/>
          <w:b/>
          <w:bCs/>
        </w:rPr>
        <w:t>TOR 4</w:t>
      </w:r>
      <w:r>
        <w:rPr>
          <w:rFonts w:asciiTheme="minorHAnsi" w:hAnsiTheme="minorHAnsi" w:cstheme="minorHAnsi"/>
          <w:b/>
          <w:bCs/>
        </w:rPr>
        <w:t>:</w:t>
      </w:r>
      <w:r w:rsidR="00D158C5">
        <w:rPr>
          <w:rFonts w:asciiTheme="minorHAnsi" w:hAnsiTheme="minorHAnsi" w:cstheme="minorHAnsi"/>
          <w:b/>
          <w:bCs/>
        </w:rPr>
        <w:t xml:space="preserve"> </w:t>
      </w:r>
      <w:r w:rsidR="00D158C5" w:rsidRPr="00F50EAC">
        <w:t>This</w:t>
      </w:r>
      <w:r w:rsidR="00D158C5">
        <w:t xml:space="preserve"> chapter bring</w:t>
      </w:r>
      <w:r w:rsidR="00495AA2">
        <w:t>s</w:t>
      </w:r>
      <w:r w:rsidR="00D158C5">
        <w:t xml:space="preserve"> together the evidence and analyses presented in the previous TOR to examine and propose improvements to existing jurisdictional ODT service delivery models (including access to O</w:t>
      </w:r>
      <w:r w:rsidR="00992300">
        <w:t>D</w:t>
      </w:r>
      <w:r w:rsidR="00D158C5">
        <w:t>T medicines under the PBS) to best support consumers and service providers in a way that is cost-effective for the Australian Government.</w:t>
      </w:r>
    </w:p>
    <w:p w14:paraId="7A154B98" w14:textId="77791B58" w:rsidR="00D2030A" w:rsidRPr="00FB7D73" w:rsidRDefault="00B65262" w:rsidP="00EB6D50">
      <w:pPr>
        <w:rPr>
          <w:rFonts w:asciiTheme="minorHAnsi" w:hAnsiTheme="minorHAnsi" w:cstheme="minorHAnsi"/>
        </w:rPr>
      </w:pPr>
      <w:r w:rsidRPr="00D41BD2">
        <w:rPr>
          <w:rFonts w:asciiTheme="minorHAnsi" w:hAnsiTheme="minorHAnsi" w:cstheme="minorHAnsi"/>
          <w:b/>
          <w:bCs/>
        </w:rPr>
        <w:t xml:space="preserve">Part </w:t>
      </w:r>
      <w:r w:rsidR="003A07DC">
        <w:rPr>
          <w:rFonts w:asciiTheme="minorHAnsi" w:hAnsiTheme="minorHAnsi" w:cstheme="minorHAnsi"/>
          <w:b/>
          <w:bCs/>
        </w:rPr>
        <w:t>6</w:t>
      </w:r>
      <w:r w:rsidR="00D41BD2" w:rsidRPr="00D41BD2">
        <w:rPr>
          <w:rFonts w:asciiTheme="minorHAnsi" w:hAnsiTheme="minorHAnsi" w:cstheme="minorHAnsi"/>
          <w:b/>
          <w:bCs/>
        </w:rPr>
        <w:t xml:space="preserve"> –</w:t>
      </w:r>
      <w:r w:rsidR="009C7DB8">
        <w:rPr>
          <w:rFonts w:asciiTheme="minorHAnsi" w:hAnsiTheme="minorHAnsi" w:cstheme="minorHAnsi"/>
          <w:b/>
          <w:bCs/>
        </w:rPr>
        <w:t>Review Outcomes</w:t>
      </w:r>
      <w:r w:rsidR="00D41BD2" w:rsidRPr="00D41BD2">
        <w:rPr>
          <w:rFonts w:asciiTheme="minorHAnsi" w:hAnsiTheme="minorHAnsi" w:cstheme="minorHAnsi"/>
          <w:b/>
          <w:bCs/>
        </w:rPr>
        <w:t>:</w:t>
      </w:r>
      <w:r w:rsidR="00D41BD2">
        <w:rPr>
          <w:rFonts w:asciiTheme="minorHAnsi" w:hAnsiTheme="minorHAnsi" w:cstheme="minorHAnsi"/>
        </w:rPr>
        <w:t xml:space="preserve"> </w:t>
      </w:r>
      <w:r w:rsidR="009C7DB8" w:rsidRPr="009C7DB8">
        <w:rPr>
          <w:rFonts w:asciiTheme="minorHAnsi" w:hAnsiTheme="minorHAnsi" w:cstheme="minorHAnsi"/>
        </w:rPr>
        <w:t xml:space="preserve">This chapter brings together the stakeholder input and evidence presented in the TOR and puts forward matters for </w:t>
      </w:r>
      <w:r w:rsidR="00995D0A">
        <w:rPr>
          <w:rFonts w:asciiTheme="minorHAnsi" w:hAnsiTheme="minorHAnsi" w:cstheme="minorHAnsi"/>
        </w:rPr>
        <w:t>Pharmaceutical Benefits Advisory Committee (</w:t>
      </w:r>
      <w:r w:rsidR="009C7DB8" w:rsidRPr="009C7DB8">
        <w:rPr>
          <w:rFonts w:asciiTheme="minorHAnsi" w:hAnsiTheme="minorHAnsi" w:cstheme="minorHAnsi"/>
        </w:rPr>
        <w:t>PBAC</w:t>
      </w:r>
      <w:r w:rsidR="00995D0A">
        <w:rPr>
          <w:rFonts w:asciiTheme="minorHAnsi" w:hAnsiTheme="minorHAnsi" w:cstheme="minorHAnsi"/>
        </w:rPr>
        <w:t>)</w:t>
      </w:r>
      <w:r w:rsidR="009C7DB8" w:rsidRPr="009C7DB8">
        <w:rPr>
          <w:rFonts w:asciiTheme="minorHAnsi" w:hAnsiTheme="minorHAnsi" w:cstheme="minorHAnsi"/>
        </w:rPr>
        <w:t xml:space="preserve"> consideration and response.</w:t>
      </w:r>
    </w:p>
    <w:p w14:paraId="6018FEA5" w14:textId="77777777" w:rsidR="00EB6D50" w:rsidRPr="00EB6D50" w:rsidRDefault="00EB6D50" w:rsidP="00EB6D50"/>
    <w:p w14:paraId="3EBD0112" w14:textId="77777777" w:rsidR="000E0125" w:rsidRPr="00EA3458" w:rsidRDefault="000E0125" w:rsidP="004132AD"/>
    <w:p w14:paraId="7B2E61D1" w14:textId="77777777" w:rsidR="000E0125" w:rsidRPr="00EA3458" w:rsidRDefault="000E0125" w:rsidP="004132AD"/>
    <w:p w14:paraId="6B0B2E7C" w14:textId="795EC571" w:rsidR="000E0125" w:rsidRPr="00EA3458" w:rsidRDefault="000E0125" w:rsidP="004132AD">
      <w:pPr>
        <w:sectPr w:rsidR="000E0125" w:rsidRPr="00EA3458" w:rsidSect="00BF31F2">
          <w:footerReference w:type="default" r:id="rId7"/>
          <w:footerReference w:type="first" r:id="rId8"/>
          <w:pgSz w:w="11906" w:h="16838"/>
          <w:pgMar w:top="1440" w:right="1440" w:bottom="1440" w:left="1440" w:header="708" w:footer="708" w:gutter="0"/>
          <w:cols w:space="708"/>
          <w:titlePg/>
          <w:docGrid w:linePitch="360"/>
        </w:sectPr>
      </w:pPr>
    </w:p>
    <w:p w14:paraId="300D360C" w14:textId="71090F93" w:rsidR="00A31695" w:rsidRPr="00EA3458" w:rsidRDefault="00A65EBB" w:rsidP="004132AD">
      <w:pPr>
        <w:pStyle w:val="Heading2"/>
      </w:pPr>
      <w:bookmarkStart w:id="8" w:name="_Toc163221153"/>
      <w:r w:rsidRPr="00EA3458">
        <w:lastRenderedPageBreak/>
        <w:t xml:space="preserve">Part </w:t>
      </w:r>
      <w:r w:rsidR="00AD3347">
        <w:t>1</w:t>
      </w:r>
      <w:r w:rsidRPr="00EA3458">
        <w:t xml:space="preserve">: </w:t>
      </w:r>
      <w:r w:rsidR="000843FD" w:rsidRPr="00EA3458">
        <w:t>Background</w:t>
      </w:r>
      <w:bookmarkEnd w:id="8"/>
      <w:r w:rsidRPr="00EA3458">
        <w:t xml:space="preserve"> </w:t>
      </w:r>
    </w:p>
    <w:p w14:paraId="77002353" w14:textId="095B6137" w:rsidR="0074670F" w:rsidRPr="00EA3458" w:rsidRDefault="00C96025" w:rsidP="004132AD">
      <w:r w:rsidRPr="00EA3458">
        <w:t>The purpose of th</w:t>
      </w:r>
      <w:r w:rsidR="00977ADC">
        <w:t>is chapter</w:t>
      </w:r>
      <w:r w:rsidRPr="00EA3458">
        <w:t xml:space="preserve"> is to provide </w:t>
      </w:r>
      <w:r w:rsidR="0074670F" w:rsidRPr="00EA3458">
        <w:t>background information on</w:t>
      </w:r>
      <w:r w:rsidRPr="00EA3458">
        <w:t xml:space="preserve"> </w:t>
      </w:r>
      <w:r w:rsidR="0074670F" w:rsidRPr="00EA3458">
        <w:t>the Post-market Review (PMR) of Opiate Dependence Treatment Program (ODTP) medicines</w:t>
      </w:r>
      <w:r w:rsidR="00916AB6" w:rsidRPr="00EA3458">
        <w:t xml:space="preserve">. </w:t>
      </w:r>
    </w:p>
    <w:p w14:paraId="70E3A5A0" w14:textId="027E3DAE" w:rsidR="0074670F" w:rsidRPr="00EA3458" w:rsidRDefault="0074670F" w:rsidP="004132AD">
      <w:r w:rsidRPr="00EA3458">
        <w:t xml:space="preserve">The Background chapter can be </w:t>
      </w:r>
      <w:r w:rsidR="00091A21" w:rsidRPr="00EA3458">
        <w:t>divided</w:t>
      </w:r>
      <w:r w:rsidRPr="00EA3458">
        <w:t xml:space="preserve"> into two sub-Parts: </w:t>
      </w:r>
      <w:r w:rsidR="00995D0A">
        <w:t>Pharmaceutical Benefits Scheme (</w:t>
      </w:r>
      <w:r w:rsidRPr="00EA3458">
        <w:t>PBS</w:t>
      </w:r>
      <w:r w:rsidR="00995D0A">
        <w:t>)</w:t>
      </w:r>
      <w:r w:rsidRPr="00EA3458">
        <w:t xml:space="preserve"> PMR and Opioid Dependence Treatment (ODT). </w:t>
      </w:r>
    </w:p>
    <w:p w14:paraId="2DB778CE" w14:textId="61BC9F67" w:rsidR="00C96025" w:rsidRPr="00EA3458" w:rsidRDefault="0074670F" w:rsidP="004132AD">
      <w:r w:rsidRPr="00EA3458">
        <w:t>The sections on PMR</w:t>
      </w:r>
      <w:r w:rsidR="00FA1198">
        <w:t>s</w:t>
      </w:r>
      <w:r w:rsidR="00916AB6" w:rsidRPr="00EA3458">
        <w:t xml:space="preserve"> include </w:t>
      </w:r>
      <w:r w:rsidRPr="00EA3458">
        <w:t xml:space="preserve">an overview of the PBS post-market monitoring program, </w:t>
      </w:r>
      <w:r w:rsidR="00916AB6" w:rsidRPr="00EA3458">
        <w:t xml:space="preserve">the </w:t>
      </w:r>
      <w:r w:rsidR="00C96025" w:rsidRPr="00EA3458">
        <w:t>context for</w:t>
      </w:r>
      <w:r w:rsidRPr="00EA3458">
        <w:t xml:space="preserve"> conducting</w:t>
      </w:r>
      <w:r w:rsidR="00C96025" w:rsidRPr="00EA3458">
        <w:t xml:space="preserve"> the </w:t>
      </w:r>
      <w:r w:rsidRPr="00EA3458">
        <w:t xml:space="preserve">ODTP PMR </w:t>
      </w:r>
      <w:r w:rsidR="00916AB6" w:rsidRPr="00EA3458">
        <w:t xml:space="preserve">as well as </w:t>
      </w:r>
      <w:r w:rsidRPr="00EA3458">
        <w:t xml:space="preserve">describing the process that was undertaken </w:t>
      </w:r>
      <w:r w:rsidR="00916AB6" w:rsidRPr="00EA3458">
        <w:t>and</w:t>
      </w:r>
      <w:r w:rsidRPr="00EA3458">
        <w:t xml:space="preserve"> the</w:t>
      </w:r>
      <w:r w:rsidR="00916AB6" w:rsidRPr="00EA3458">
        <w:t xml:space="preserve"> methods used</w:t>
      </w:r>
      <w:r w:rsidRPr="00EA3458">
        <w:t xml:space="preserve"> to inform the Review</w:t>
      </w:r>
      <w:r w:rsidR="00916AB6" w:rsidRPr="00EA3458">
        <w:t>.</w:t>
      </w:r>
    </w:p>
    <w:p w14:paraId="403A5301" w14:textId="3D9F5C93" w:rsidR="00C96025" w:rsidRPr="00EA3458" w:rsidRDefault="00C96025" w:rsidP="004132AD">
      <w:r w:rsidRPr="00EA3458">
        <w:t>The section</w:t>
      </w:r>
      <w:r w:rsidR="0074670F" w:rsidRPr="00EA3458">
        <w:t>s on ODT</w:t>
      </w:r>
      <w:r w:rsidRPr="00EA3458">
        <w:t xml:space="preserve"> include a brief history of the Commonwealth and </w:t>
      </w:r>
      <w:r w:rsidR="00FA1198">
        <w:t>state and territory government</w:t>
      </w:r>
      <w:r w:rsidRPr="00EA3458">
        <w:t xml:space="preserve"> programs, the medicines used to treat opioid dependence and the listing of these medicines on the PBS. </w:t>
      </w:r>
    </w:p>
    <w:p w14:paraId="4C7E6195" w14:textId="4970D0FE" w:rsidR="006907EB" w:rsidRPr="00EA3458" w:rsidRDefault="00231477" w:rsidP="004132AD">
      <w:pPr>
        <w:pStyle w:val="Heading2"/>
      </w:pPr>
      <w:bookmarkStart w:id="9" w:name="_Toc163221154"/>
      <w:r w:rsidRPr="00EA3458">
        <w:t xml:space="preserve">Part </w:t>
      </w:r>
      <w:r w:rsidR="00AD3347">
        <w:t>1</w:t>
      </w:r>
      <w:r w:rsidRPr="00EA3458">
        <w:t xml:space="preserve">A: </w:t>
      </w:r>
      <w:r w:rsidR="00C96025" w:rsidRPr="00EA3458">
        <w:t>PBS Post-market Reviews</w:t>
      </w:r>
      <w:bookmarkEnd w:id="9"/>
      <w:r w:rsidR="00C96025" w:rsidRPr="00EA3458">
        <w:t xml:space="preserve"> </w:t>
      </w:r>
    </w:p>
    <w:p w14:paraId="1FAF67D5" w14:textId="42D4154E" w:rsidR="00F83F63" w:rsidRPr="00EA3458" w:rsidRDefault="00F83F63" w:rsidP="007E3DC8">
      <w:pPr>
        <w:pStyle w:val="Heading3"/>
        <w:numPr>
          <w:ilvl w:val="1"/>
          <w:numId w:val="21"/>
        </w:numPr>
      </w:pPr>
      <w:bookmarkStart w:id="10" w:name="_Toc163221155"/>
      <w:r w:rsidRPr="00EA3458">
        <w:t>Post-market monitoring</w:t>
      </w:r>
      <w:bookmarkEnd w:id="10"/>
    </w:p>
    <w:p w14:paraId="506415C5" w14:textId="5927D9A0" w:rsidR="00F25275" w:rsidRPr="00EA3458" w:rsidRDefault="00F83F63" w:rsidP="004132AD">
      <w:r w:rsidRPr="00EA3458">
        <w:t xml:space="preserve">The </w:t>
      </w:r>
      <w:r w:rsidR="00C87A53" w:rsidRPr="00EA3458">
        <w:t>PMR</w:t>
      </w:r>
      <w:r w:rsidRPr="00EA3458">
        <w:t xml:space="preserve"> program is a systematic approach to monitoring medicines subsidised by the</w:t>
      </w:r>
      <w:r w:rsidR="00334D6A" w:rsidRPr="00EA3458">
        <w:t xml:space="preserve"> </w:t>
      </w:r>
      <w:r w:rsidR="00C87A53" w:rsidRPr="00EA3458">
        <w:t>PBS</w:t>
      </w:r>
      <w:r w:rsidRPr="00EA3458">
        <w:t xml:space="preserve">. PMRs were initiated under the 2011-12 Budget measure ‘Improving sustainability of the PBS through enhanced post-market surveillance.’ PMRs are established under the quality use of medicines objective of the National Medicines Policy framework; promoting the safe and effective use of medicines, with the aim to improve health outcomes for all Australians. </w:t>
      </w:r>
    </w:p>
    <w:p w14:paraId="740900E9" w14:textId="77777777" w:rsidR="00F25275" w:rsidRPr="00EA3458" w:rsidRDefault="00F83F63" w:rsidP="004132AD">
      <w:r w:rsidRPr="00EA3458">
        <w:t xml:space="preserve">The PMR program contributes to the following: </w:t>
      </w:r>
    </w:p>
    <w:p w14:paraId="583FDA21" w14:textId="5534F2CF" w:rsidR="00F25275" w:rsidRPr="00EA3458" w:rsidRDefault="00BB745A" w:rsidP="007E3DC8">
      <w:pPr>
        <w:pStyle w:val="ListParagraph"/>
        <w:numPr>
          <w:ilvl w:val="0"/>
          <w:numId w:val="4"/>
        </w:numPr>
      </w:pPr>
      <w:r>
        <w:t>i</w:t>
      </w:r>
      <w:r w:rsidR="00F83F63" w:rsidRPr="00EA3458">
        <w:t xml:space="preserve">mproved patient safety through better understanding of adverse events and medicine-related harms, including hospitalisations </w:t>
      </w:r>
    </w:p>
    <w:p w14:paraId="2B7D014C" w14:textId="0C62079F" w:rsidR="00F25275" w:rsidRPr="00EA3458" w:rsidRDefault="00BB745A" w:rsidP="007E3DC8">
      <w:pPr>
        <w:pStyle w:val="ListParagraph"/>
        <w:numPr>
          <w:ilvl w:val="0"/>
          <w:numId w:val="4"/>
        </w:numPr>
      </w:pPr>
      <w:r>
        <w:t>a</w:t>
      </w:r>
      <w:r w:rsidR="00F83F63" w:rsidRPr="00EA3458">
        <w:t xml:space="preserve"> more sustainable PBS through better targeting of medicines, and avoidance of preventable wastage, or inappropriate prescribing </w:t>
      </w:r>
    </w:p>
    <w:p w14:paraId="38647064" w14:textId="35BDF1DE" w:rsidR="00F25275" w:rsidRPr="00EA3458" w:rsidRDefault="00BB745A" w:rsidP="007E3DC8">
      <w:pPr>
        <w:pStyle w:val="ListParagraph"/>
        <w:numPr>
          <w:ilvl w:val="0"/>
          <w:numId w:val="4"/>
        </w:numPr>
      </w:pPr>
      <w:r>
        <w:t>a</w:t>
      </w:r>
      <w:r w:rsidR="00F83F63" w:rsidRPr="00EA3458">
        <w:t xml:space="preserve"> better knowledge base to understand medicines utilisation, to validate the intended clinical benefit which will inform medicines evaluation processes</w:t>
      </w:r>
      <w:r>
        <w:t>,</w:t>
      </w:r>
      <w:r w:rsidR="00F83F63" w:rsidRPr="00EA3458">
        <w:t xml:space="preserve"> and </w:t>
      </w:r>
    </w:p>
    <w:p w14:paraId="13DBED28" w14:textId="0BDD14B2" w:rsidR="00F25275" w:rsidRPr="00EA3458" w:rsidRDefault="00BB745A" w:rsidP="007E3DC8">
      <w:pPr>
        <w:pStyle w:val="ListParagraph"/>
        <w:numPr>
          <w:ilvl w:val="0"/>
          <w:numId w:val="4"/>
        </w:numPr>
      </w:pPr>
      <w:r>
        <w:t>a</w:t>
      </w:r>
      <w:r w:rsidR="00F83F63" w:rsidRPr="00EA3458">
        <w:t xml:space="preserve"> strengthened approach to medicine pricing management, including through better management of clinical and economic uncertainty. </w:t>
      </w:r>
    </w:p>
    <w:p w14:paraId="49D682CF" w14:textId="71C50147" w:rsidR="00F83F63" w:rsidRDefault="00FA193F" w:rsidP="004132AD">
      <w:r w:rsidRPr="00EA3458">
        <w:t>A PMR</w:t>
      </w:r>
      <w:r w:rsidR="00F83F63" w:rsidRPr="00EA3458">
        <w:t xml:space="preserve"> can be initiated when concerns related to the quality use of a medicine, cost-effectiveness, clinical effectiveness, higher than predicted utilisation and/or international differences are raised. </w:t>
      </w:r>
      <w:r w:rsidR="00F25275" w:rsidRPr="00EA3458">
        <w:t xml:space="preserve">A full </w:t>
      </w:r>
      <w:r w:rsidRPr="00EA3458">
        <w:t>PMR</w:t>
      </w:r>
      <w:r w:rsidR="00F25275" w:rsidRPr="00EA3458">
        <w:t xml:space="preserve"> will only proceed following </w:t>
      </w:r>
      <w:r w:rsidR="00C20B70" w:rsidRPr="00EA3458">
        <w:t>agreement by the independent Pharmaceutical Benefits Advisory Committee (</w:t>
      </w:r>
      <w:r w:rsidR="00F25275" w:rsidRPr="00EA3458">
        <w:t>PBAC</w:t>
      </w:r>
      <w:r w:rsidR="00C20B70" w:rsidRPr="00EA3458">
        <w:t>)</w:t>
      </w:r>
      <w:r w:rsidR="00F25275" w:rsidRPr="00EA3458">
        <w:t xml:space="preserve"> and Ministerial approval.</w:t>
      </w:r>
    </w:p>
    <w:p w14:paraId="2DCEE80C" w14:textId="33D090F9" w:rsidR="00F4507C" w:rsidRDefault="00F4507C" w:rsidP="004132AD">
      <w:pPr>
        <w:rPr>
          <w:rFonts w:cstheme="minorHAnsi"/>
        </w:rPr>
      </w:pPr>
      <w:r w:rsidRPr="00B27590">
        <w:rPr>
          <w:rFonts w:cstheme="minorHAnsi"/>
        </w:rPr>
        <w:t>While recommendations vary from review to review, examples of reviews outcomes include PBS restriction changes, actions to address gaps in prescriber education and research to promote improved awareness of the safety profile of in-scope medicines and changes to price following a review of cost effectiveness.</w:t>
      </w:r>
    </w:p>
    <w:p w14:paraId="63567FD7" w14:textId="21E43B43" w:rsidR="00F4507C" w:rsidRPr="00EA3458" w:rsidRDefault="00F4507C" w:rsidP="004132AD">
      <w:r>
        <w:rPr>
          <w:rFonts w:cstheme="minorHAnsi"/>
        </w:rPr>
        <w:t>T</w:t>
      </w:r>
      <w:r w:rsidRPr="00017034">
        <w:rPr>
          <w:rFonts w:cstheme="minorHAnsi"/>
        </w:rPr>
        <w:t xml:space="preserve">he </w:t>
      </w:r>
      <w:r>
        <w:rPr>
          <w:rFonts w:cstheme="minorHAnsi"/>
        </w:rPr>
        <w:t>PMR</w:t>
      </w:r>
      <w:r w:rsidRPr="00017034">
        <w:rPr>
          <w:rFonts w:cstheme="minorHAnsi"/>
        </w:rPr>
        <w:t xml:space="preserve"> </w:t>
      </w:r>
      <w:r>
        <w:rPr>
          <w:rFonts w:cstheme="minorHAnsi"/>
        </w:rPr>
        <w:t>F</w:t>
      </w:r>
      <w:r w:rsidRPr="00017034">
        <w:rPr>
          <w:rFonts w:cstheme="minorHAnsi"/>
        </w:rPr>
        <w:t>ramework outlines the usual approach to medicines review</w:t>
      </w:r>
      <w:r>
        <w:rPr>
          <w:rFonts w:cstheme="minorHAnsi"/>
        </w:rPr>
        <w:t xml:space="preserve">s. </w:t>
      </w:r>
      <w:r w:rsidRPr="00B27590">
        <w:rPr>
          <w:rFonts w:cstheme="minorHAnsi"/>
        </w:rPr>
        <w:t xml:space="preserve">A review usually takes </w:t>
      </w:r>
      <w:r>
        <w:rPr>
          <w:rFonts w:cstheme="minorHAnsi"/>
        </w:rPr>
        <w:t>two to three years</w:t>
      </w:r>
      <w:r w:rsidRPr="00B27590">
        <w:rPr>
          <w:rFonts w:cstheme="minorHAnsi"/>
        </w:rPr>
        <w:t xml:space="preserve"> depending on its complexity.</w:t>
      </w:r>
    </w:p>
    <w:p w14:paraId="38DDDEA6" w14:textId="7D3B4DFF" w:rsidR="005D5213" w:rsidRPr="00EA3458" w:rsidRDefault="00F25275" w:rsidP="007E3DC8">
      <w:pPr>
        <w:pStyle w:val="Heading3"/>
        <w:numPr>
          <w:ilvl w:val="1"/>
          <w:numId w:val="21"/>
        </w:numPr>
        <w:rPr>
          <w:rStyle w:val="Heading3Char"/>
        </w:rPr>
      </w:pPr>
      <w:bookmarkStart w:id="11" w:name="_Toc163221156"/>
      <w:r w:rsidRPr="00EA3458">
        <w:rPr>
          <w:rStyle w:val="Heading3Char"/>
        </w:rPr>
        <w:lastRenderedPageBreak/>
        <w:t>Context to the Review</w:t>
      </w:r>
      <w:bookmarkEnd w:id="11"/>
    </w:p>
    <w:p w14:paraId="4A4E9D22" w14:textId="41A1AE60" w:rsidR="00F25275" w:rsidRPr="00EA3458" w:rsidRDefault="00F25275" w:rsidP="004132AD">
      <w:pPr>
        <w:spacing w:after="0" w:line="240" w:lineRule="auto"/>
        <w:rPr>
          <w:rFonts w:asciiTheme="minorHAnsi" w:hAnsiTheme="minorHAnsi" w:cstheme="minorHAnsi"/>
        </w:rPr>
      </w:pPr>
      <w:r w:rsidRPr="00EA3458">
        <w:t>Th</w:t>
      </w:r>
      <w:r w:rsidRPr="00EA3458">
        <w:rPr>
          <w:rFonts w:asciiTheme="minorHAnsi" w:hAnsiTheme="minorHAnsi" w:cstheme="minorHAnsi"/>
        </w:rPr>
        <w:t xml:space="preserve">ere are currently three drugs available on the </w:t>
      </w:r>
      <w:r w:rsidR="00992300">
        <w:rPr>
          <w:rFonts w:asciiTheme="minorHAnsi" w:hAnsiTheme="minorHAnsi" w:cstheme="minorHAnsi"/>
        </w:rPr>
        <w:t xml:space="preserve">PBS </w:t>
      </w:r>
      <w:r w:rsidR="004E3303" w:rsidRPr="00EA3458">
        <w:rPr>
          <w:rFonts w:asciiTheme="minorHAnsi" w:hAnsiTheme="minorHAnsi" w:cstheme="minorHAnsi"/>
        </w:rPr>
        <w:t>ODTP</w:t>
      </w:r>
      <w:r w:rsidRPr="00EA3458">
        <w:rPr>
          <w:rFonts w:asciiTheme="minorHAnsi" w:hAnsiTheme="minorHAnsi" w:cstheme="minorHAnsi"/>
        </w:rPr>
        <w:t>: methadone</w:t>
      </w:r>
      <w:r w:rsidR="004F6B75" w:rsidRPr="00EA3458">
        <w:rPr>
          <w:rFonts w:asciiTheme="minorHAnsi" w:hAnsiTheme="minorHAnsi" w:cstheme="minorHAnsi"/>
        </w:rPr>
        <w:t xml:space="preserve"> hydrochloride</w:t>
      </w:r>
      <w:r w:rsidR="00EB1B87" w:rsidRPr="00EA3458">
        <w:rPr>
          <w:rFonts w:asciiTheme="minorHAnsi" w:hAnsiTheme="minorHAnsi" w:cstheme="minorHAnsi"/>
        </w:rPr>
        <w:t xml:space="preserve"> (liquid form)</w:t>
      </w:r>
      <w:r w:rsidRPr="00EA3458">
        <w:rPr>
          <w:rFonts w:asciiTheme="minorHAnsi" w:hAnsiTheme="minorHAnsi" w:cstheme="minorHAnsi"/>
        </w:rPr>
        <w:t>, buprenorphine (</w:t>
      </w:r>
      <w:r w:rsidR="00EB1B87" w:rsidRPr="00EA3458">
        <w:rPr>
          <w:rFonts w:asciiTheme="minorHAnsi" w:hAnsiTheme="minorHAnsi" w:cstheme="minorHAnsi"/>
        </w:rPr>
        <w:t xml:space="preserve">in tablet and modified-release injection forms) </w:t>
      </w:r>
      <w:r w:rsidRPr="00EA3458">
        <w:rPr>
          <w:rFonts w:asciiTheme="minorHAnsi" w:hAnsiTheme="minorHAnsi" w:cstheme="minorHAnsi"/>
        </w:rPr>
        <w:t>and buprenorphine + naloxone</w:t>
      </w:r>
      <w:r w:rsidR="00EB1B87" w:rsidRPr="00EA3458">
        <w:rPr>
          <w:rFonts w:asciiTheme="minorHAnsi" w:hAnsiTheme="minorHAnsi" w:cstheme="minorHAnsi"/>
        </w:rPr>
        <w:t xml:space="preserve"> (film)</w:t>
      </w:r>
      <w:r w:rsidRPr="00EA3458">
        <w:rPr>
          <w:rFonts w:asciiTheme="minorHAnsi" w:hAnsiTheme="minorHAnsi" w:cstheme="minorHAnsi"/>
        </w:rPr>
        <w:t>.</w:t>
      </w:r>
    </w:p>
    <w:p w14:paraId="58366F01" w14:textId="6DDF01FD" w:rsidR="004F6B75" w:rsidRPr="00EA3458" w:rsidRDefault="00EB1B87" w:rsidP="004132AD">
      <w:pPr>
        <w:spacing w:before="100" w:beforeAutospacing="1" w:after="0" w:line="240" w:lineRule="auto"/>
        <w:rPr>
          <w:rFonts w:asciiTheme="minorHAnsi" w:hAnsiTheme="minorHAnsi" w:cstheme="minorHAnsi"/>
        </w:rPr>
      </w:pPr>
      <w:r w:rsidRPr="00EA3458">
        <w:rPr>
          <w:rFonts w:asciiTheme="minorHAnsi" w:hAnsiTheme="minorHAnsi" w:cstheme="minorHAnsi"/>
        </w:rPr>
        <w:t xml:space="preserve">In </w:t>
      </w:r>
      <w:r w:rsidR="004F6B75" w:rsidRPr="00EA3458">
        <w:rPr>
          <w:rFonts w:asciiTheme="minorHAnsi" w:hAnsiTheme="minorHAnsi" w:cstheme="minorHAnsi"/>
        </w:rPr>
        <w:t>the financial year for 2021</w:t>
      </w:r>
      <w:r w:rsidR="00C87A53" w:rsidRPr="000B6BFB">
        <w:rPr>
          <w:rFonts w:asciiTheme="minorHAnsi" w:hAnsiTheme="minorHAnsi" w:cstheme="minorHAnsi"/>
        </w:rPr>
        <w:t>-</w:t>
      </w:r>
      <w:r w:rsidR="004F6B75" w:rsidRPr="000B6BFB">
        <w:rPr>
          <w:rFonts w:asciiTheme="minorHAnsi" w:hAnsiTheme="minorHAnsi" w:cstheme="minorHAnsi"/>
        </w:rPr>
        <w:t>2022</w:t>
      </w:r>
      <w:bookmarkStart w:id="12" w:name="_Hlk119587034"/>
      <w:r w:rsidR="002565E6" w:rsidRPr="000B6BFB">
        <w:rPr>
          <w:rFonts w:asciiTheme="minorHAnsi" w:hAnsiTheme="minorHAnsi" w:cstheme="minorHAnsi"/>
        </w:rPr>
        <w:fldChar w:fldCharType="begin"/>
      </w:r>
      <w:r w:rsidR="002565E6">
        <w:rPr>
          <w:rFonts w:asciiTheme="minorHAnsi" w:hAnsiTheme="minorHAnsi" w:cstheme="minorHAnsi"/>
        </w:rPr>
        <w:instrText xml:space="preserve"> ADDIN EN.CITE &lt;EndNote&gt;&lt;Cite&gt;&lt;Author&gt;Australian Institute of Health and Welfare&lt;/Author&gt;&lt;Year&gt;2022&lt;/Year&gt;&lt;RecNum&gt;1&lt;/RecNum&gt;&lt;DisplayText&gt;&lt;style face="superscript"&gt;1&lt;/style&gt;&lt;/DisplayText&gt;&lt;record&gt;&lt;rec-number&gt;1&lt;/rec-number&gt;&lt;foreign-keys&gt;&lt;key app="EN" db-id="xssz590sx9vzw4ewpzdv0s5sret50aexdtd9" timestamp="1668645241"&gt;1&lt;/key&gt;&lt;/foreign-keys&gt;&lt;ref-type name="Report"&gt;27&lt;/ref-type&gt;&lt;contributors&gt;&lt;authors&gt;&lt;author&gt;Australian Institute of Health and Welfare,&lt;/author&gt;&lt;/authors&gt;&lt;/contributors&gt;&lt;titles&gt;&lt;title&gt;National Opioid Pharmacotherapy Statistics Annual Data (NOPSAD) collection. &lt;/title&gt;&lt;/titles&gt;&lt;volume&gt;Cat. no. PHE 266&lt;/volume&gt;&lt;dates&gt;&lt;year&gt;2022&lt;/year&gt;&lt;pub-dates&gt;&lt;date&gt;2022/11/21/&lt;/date&gt;&lt;/pub-dates&gt;&lt;/dates&gt;&lt;pub-location&gt;Canberra&lt;/pub-location&gt;&lt;publisher&gt;AIHW&lt;/publisher&gt;&lt;label&gt;BibEntry2022Feb&lt;/label&gt;&lt;urls&gt;&lt;related-urls&gt;&lt;url&gt;https://www.aihw.gov.au/reports/alcohol-other-drug-treatment-services/national-opioidpharmacotherapy-statistics&lt;/url&gt;&lt;/related-urls&gt;&lt;/urls&gt;&lt;language&gt;English&lt;/language&gt;&lt;/record&gt;&lt;/Cite&gt;&lt;/EndNote&gt;</w:instrText>
      </w:r>
      <w:r w:rsidR="002565E6" w:rsidRPr="000B6BFB">
        <w:rPr>
          <w:rFonts w:asciiTheme="minorHAnsi" w:hAnsiTheme="minorHAnsi" w:cstheme="minorHAnsi"/>
        </w:rPr>
        <w:fldChar w:fldCharType="separate"/>
      </w:r>
      <w:r w:rsidR="002565E6" w:rsidRPr="005531C9">
        <w:rPr>
          <w:rFonts w:asciiTheme="minorHAnsi" w:hAnsiTheme="minorHAnsi" w:cstheme="minorHAnsi"/>
          <w:noProof/>
          <w:vertAlign w:val="superscript"/>
        </w:rPr>
        <w:t>1</w:t>
      </w:r>
      <w:r w:rsidR="002565E6" w:rsidRPr="000B6BFB">
        <w:rPr>
          <w:rFonts w:asciiTheme="minorHAnsi" w:hAnsiTheme="minorHAnsi" w:cstheme="minorHAnsi"/>
        </w:rPr>
        <w:fldChar w:fldCharType="end"/>
      </w:r>
      <w:bookmarkEnd w:id="12"/>
      <w:r w:rsidR="000B6BFB" w:rsidRPr="000B6BFB">
        <w:rPr>
          <w:rFonts w:asciiTheme="minorHAnsi" w:hAnsiTheme="minorHAnsi" w:cstheme="minorHAnsi"/>
        </w:rPr>
        <w:t>:</w:t>
      </w:r>
    </w:p>
    <w:p w14:paraId="048F8041" w14:textId="3A516E0C" w:rsidR="004F6B75" w:rsidRPr="00EA3458" w:rsidRDefault="004F6B75" w:rsidP="007E3DC8">
      <w:pPr>
        <w:pStyle w:val="ListParagraph"/>
        <w:numPr>
          <w:ilvl w:val="0"/>
          <w:numId w:val="4"/>
        </w:numPr>
        <w:rPr>
          <w:rFonts w:asciiTheme="minorHAnsi" w:hAnsiTheme="minorHAnsi" w:cstheme="minorHAnsi"/>
        </w:rPr>
      </w:pPr>
      <w:r w:rsidRPr="00EA3458">
        <w:rPr>
          <w:rFonts w:asciiTheme="minorHAnsi" w:hAnsiTheme="minorHAnsi" w:cstheme="minorHAnsi"/>
        </w:rPr>
        <w:t xml:space="preserve">there </w:t>
      </w:r>
      <w:r w:rsidR="00EB1B87" w:rsidRPr="00EA3458">
        <w:rPr>
          <w:rFonts w:asciiTheme="minorHAnsi" w:hAnsiTheme="minorHAnsi" w:cstheme="minorHAnsi"/>
        </w:rPr>
        <w:t xml:space="preserve">were 47,563 </w:t>
      </w:r>
      <w:r w:rsidR="005B4647" w:rsidRPr="00EA3458">
        <w:rPr>
          <w:rFonts w:eastAsia="Calibri" w:cs="Calibri"/>
        </w:rPr>
        <w:t>people in Australia</w:t>
      </w:r>
      <w:r w:rsidR="005B4647">
        <w:rPr>
          <w:rFonts w:eastAsia="Calibri" w:cs="Calibri"/>
        </w:rPr>
        <w:t xml:space="preserve"> (excluding data for Queensland)</w:t>
      </w:r>
      <w:r w:rsidR="005B4647" w:rsidRPr="00EA3458">
        <w:rPr>
          <w:rFonts w:eastAsia="Calibri" w:cs="Calibri"/>
        </w:rPr>
        <w:t xml:space="preserve"> were </w:t>
      </w:r>
      <w:r w:rsidR="005B4647">
        <w:rPr>
          <w:rFonts w:eastAsia="Calibri" w:cs="Calibri"/>
        </w:rPr>
        <w:t>receiving treatment for their opioid dependence</w:t>
      </w:r>
    </w:p>
    <w:p w14:paraId="4EBD4EDE" w14:textId="06ABC22A" w:rsidR="004F6B75" w:rsidRPr="00EA3458" w:rsidRDefault="004F6B75" w:rsidP="007E3DC8">
      <w:pPr>
        <w:pStyle w:val="ListParagraph"/>
        <w:numPr>
          <w:ilvl w:val="0"/>
          <w:numId w:val="4"/>
        </w:numPr>
        <w:rPr>
          <w:rFonts w:asciiTheme="minorHAnsi" w:hAnsiTheme="minorHAnsi" w:cstheme="minorHAnsi"/>
        </w:rPr>
      </w:pPr>
      <w:r w:rsidRPr="00EA3458">
        <w:rPr>
          <w:rFonts w:asciiTheme="minorHAnsi" w:hAnsiTheme="minorHAnsi" w:cstheme="minorHAnsi"/>
        </w:rPr>
        <w:t>there were 2,485 state and territory approved dosing point sites nationally (</w:t>
      </w:r>
      <w:r w:rsidR="00084C9D" w:rsidRPr="00EA3458">
        <w:rPr>
          <w:rFonts w:asciiTheme="minorHAnsi" w:hAnsiTheme="minorHAnsi" w:cstheme="minorHAnsi"/>
        </w:rPr>
        <w:t>excluding</w:t>
      </w:r>
      <w:r w:rsidRPr="00EA3458">
        <w:rPr>
          <w:rFonts w:asciiTheme="minorHAnsi" w:hAnsiTheme="minorHAnsi" w:cstheme="minorHAnsi"/>
        </w:rPr>
        <w:t xml:space="preserve"> data for Queensland) and 9 in 10 sites (89% or 2,200 sites) were pharmacies </w:t>
      </w:r>
    </w:p>
    <w:p w14:paraId="07B07BA8" w14:textId="026D7B5E" w:rsidR="004F6B75" w:rsidRPr="00EA3458" w:rsidRDefault="004F6B75" w:rsidP="007E3DC8">
      <w:pPr>
        <w:pStyle w:val="ListParagraph"/>
        <w:numPr>
          <w:ilvl w:val="0"/>
          <w:numId w:val="4"/>
        </w:numPr>
        <w:rPr>
          <w:rFonts w:asciiTheme="minorHAnsi" w:hAnsiTheme="minorHAnsi" w:cstheme="minorHAnsi"/>
        </w:rPr>
      </w:pPr>
      <w:r w:rsidRPr="00EA3458">
        <w:rPr>
          <w:rFonts w:asciiTheme="minorHAnsi" w:hAnsiTheme="minorHAnsi" w:cstheme="minorHAnsi"/>
        </w:rPr>
        <w:t xml:space="preserve">there were 2,673 state and territory authorised prescribers of </w:t>
      </w:r>
      <w:r w:rsidR="00853F7C">
        <w:rPr>
          <w:rFonts w:asciiTheme="minorHAnsi" w:hAnsiTheme="minorHAnsi" w:cstheme="minorHAnsi"/>
        </w:rPr>
        <w:t>ODT medicines</w:t>
      </w:r>
      <w:r w:rsidR="00853F7C" w:rsidRPr="00EA3458">
        <w:rPr>
          <w:rFonts w:asciiTheme="minorHAnsi" w:hAnsiTheme="minorHAnsi" w:cstheme="minorHAnsi"/>
        </w:rPr>
        <w:t xml:space="preserve"> </w:t>
      </w:r>
      <w:r w:rsidRPr="00EA3458">
        <w:rPr>
          <w:rFonts w:asciiTheme="minorHAnsi" w:hAnsiTheme="minorHAnsi" w:cstheme="minorHAnsi"/>
        </w:rPr>
        <w:t>in Australia (excluding Queen</w:t>
      </w:r>
      <w:r w:rsidR="003E13E1" w:rsidRPr="00EA3458">
        <w:rPr>
          <w:rFonts w:asciiTheme="minorHAnsi" w:hAnsiTheme="minorHAnsi" w:cstheme="minorHAnsi"/>
        </w:rPr>
        <w:t>s</w:t>
      </w:r>
      <w:r w:rsidRPr="00EA3458">
        <w:rPr>
          <w:rFonts w:asciiTheme="minorHAnsi" w:hAnsiTheme="minorHAnsi" w:cstheme="minorHAnsi"/>
        </w:rPr>
        <w:t>land</w:t>
      </w:r>
      <w:r w:rsidR="00084C9D" w:rsidRPr="00EA3458">
        <w:rPr>
          <w:rFonts w:asciiTheme="minorHAnsi" w:hAnsiTheme="minorHAnsi" w:cstheme="minorHAnsi"/>
        </w:rPr>
        <w:t>)</w:t>
      </w:r>
    </w:p>
    <w:p w14:paraId="0CA0A791" w14:textId="441F2DB7" w:rsidR="00F25275" w:rsidRPr="00EA3458" w:rsidRDefault="00C07BA7" w:rsidP="007E3DC8">
      <w:pPr>
        <w:pStyle w:val="ListParagraph"/>
        <w:numPr>
          <w:ilvl w:val="0"/>
          <w:numId w:val="4"/>
        </w:numPr>
        <w:rPr>
          <w:rFonts w:asciiTheme="minorHAnsi" w:hAnsiTheme="minorHAnsi" w:cstheme="minorHAnsi"/>
        </w:rPr>
      </w:pPr>
      <w:r w:rsidRPr="00EA3458">
        <w:rPr>
          <w:rFonts w:cstheme="minorHAnsi"/>
        </w:rPr>
        <w:t xml:space="preserve">Australian Government </w:t>
      </w:r>
      <w:r w:rsidR="004F6B75" w:rsidRPr="00EA3458">
        <w:rPr>
          <w:rFonts w:cstheme="minorHAnsi"/>
        </w:rPr>
        <w:t>e</w:t>
      </w:r>
      <w:r w:rsidR="00EB1B87" w:rsidRPr="00EA3458">
        <w:rPr>
          <w:rFonts w:cstheme="minorHAnsi"/>
        </w:rPr>
        <w:t>xpenditure on medicines f</w:t>
      </w:r>
      <w:r w:rsidR="0084242A">
        <w:rPr>
          <w:rFonts w:cstheme="minorHAnsi"/>
        </w:rPr>
        <w:t>or ODT</w:t>
      </w:r>
      <w:r w:rsidR="0040160A" w:rsidRPr="00EA3458">
        <w:rPr>
          <w:rFonts w:cstheme="minorHAnsi"/>
        </w:rPr>
        <w:t xml:space="preserve"> </w:t>
      </w:r>
      <w:r w:rsidR="00EB1B87" w:rsidRPr="00EA3458">
        <w:rPr>
          <w:rFonts w:cstheme="minorHAnsi"/>
        </w:rPr>
        <w:t xml:space="preserve">was approximately </w:t>
      </w:r>
      <w:r w:rsidR="0084242A">
        <w:rPr>
          <w:rFonts w:cstheme="minorHAnsi"/>
        </w:rPr>
        <w:br/>
      </w:r>
      <w:r w:rsidR="00EB1B87" w:rsidRPr="00EA3458">
        <w:rPr>
          <w:rFonts w:cstheme="minorHAnsi"/>
        </w:rPr>
        <w:t>$108 million in 2021-22, an increase of 20 per cent from 2020-21 (approximately $90 million)</w:t>
      </w:r>
      <w:r w:rsidRPr="00EA3458">
        <w:rPr>
          <w:rFonts w:cstheme="minorHAnsi"/>
        </w:rPr>
        <w:t xml:space="preserve">. </w:t>
      </w:r>
    </w:p>
    <w:p w14:paraId="2C2C16DD" w14:textId="568D9F68" w:rsidR="004E3303" w:rsidRPr="00EA3458" w:rsidRDefault="004E3303" w:rsidP="00DA49F8">
      <w:r w:rsidRPr="00EA3458">
        <w:t xml:space="preserve">Work to register a legislative instrument </w:t>
      </w:r>
      <w:r w:rsidR="00FE25C0" w:rsidRPr="00EA3458">
        <w:t xml:space="preserve">for the </w:t>
      </w:r>
      <w:r w:rsidR="00992300">
        <w:t xml:space="preserve">PBS </w:t>
      </w:r>
      <w:r w:rsidR="00FE25C0" w:rsidRPr="00EA3458">
        <w:t xml:space="preserve">ODTP </w:t>
      </w:r>
      <w:r w:rsidRPr="00EA3458">
        <w:t xml:space="preserve">on the </w:t>
      </w:r>
      <w:r w:rsidR="00A43A06">
        <w:t>Federal Register of Legislation (</w:t>
      </w:r>
      <w:r w:rsidRPr="00EA3458">
        <w:t>Legislation Register</w:t>
      </w:r>
      <w:r w:rsidR="00A43A06">
        <w:t>)</w:t>
      </w:r>
      <w:r w:rsidRPr="00EA3458">
        <w:t xml:space="preserve"> originally commenced in August 2019. This action was, in part, to address a commitment made to the Office of the Australian Information Commissioner to progress registration of this instrument on the Legislation Register. In doing this, significant concerns about the existing administration arrangements, governed by states and territories, were raised through the public consultation process on a draft legislative instrument (which occurred from 30 November to 18 December 2020). </w:t>
      </w:r>
      <w:r w:rsidR="00FA1198">
        <w:t xml:space="preserve">Stakeholders raised </w:t>
      </w:r>
      <w:r w:rsidR="005012E8">
        <w:t>several</w:t>
      </w:r>
      <w:r w:rsidR="00FA1198">
        <w:t xml:space="preserve"> issues with </w:t>
      </w:r>
      <w:r w:rsidR="009A692D">
        <w:t xml:space="preserve">access to ODT medicines under the PBS </w:t>
      </w:r>
      <w:r w:rsidR="00FA1198">
        <w:t xml:space="preserve">including patient access and affordability, remuneration for pharmacies and consistency in service and program delivery across each jurisdiction. </w:t>
      </w:r>
    </w:p>
    <w:p w14:paraId="368A1277" w14:textId="67428B82" w:rsidR="00C07BA7" w:rsidRDefault="004E3303" w:rsidP="00BA65D8">
      <w:pPr>
        <w:spacing w:after="0"/>
      </w:pPr>
      <w:r w:rsidRPr="00EA3458">
        <w:t xml:space="preserve">The post-market review was </w:t>
      </w:r>
      <w:r w:rsidRPr="00AF3228">
        <w:t xml:space="preserve">approved </w:t>
      </w:r>
      <w:r w:rsidRPr="00713452">
        <w:t xml:space="preserve">by the </w:t>
      </w:r>
      <w:r w:rsidR="00913BEF" w:rsidRPr="00713452">
        <w:t>former</w:t>
      </w:r>
      <w:r w:rsidRPr="00713452">
        <w:t xml:space="preserve"> Minister for Health and Aged Care</w:t>
      </w:r>
      <w:r w:rsidR="00913BEF" w:rsidRPr="00713452">
        <w:t>, the Hon Greg Hunt,</w:t>
      </w:r>
      <w:r w:rsidRPr="00713452">
        <w:t xml:space="preserve"> </w:t>
      </w:r>
      <w:r w:rsidR="00715B77" w:rsidRPr="00713452">
        <w:t xml:space="preserve">and announced </w:t>
      </w:r>
      <w:r w:rsidRPr="00713452">
        <w:t>on</w:t>
      </w:r>
      <w:r w:rsidRPr="00AF3228">
        <w:t xml:space="preserve"> 2</w:t>
      </w:r>
      <w:r w:rsidR="00715B77">
        <w:t>4</w:t>
      </w:r>
      <w:r w:rsidRPr="00AF3228">
        <w:t xml:space="preserve"> </w:t>
      </w:r>
      <w:r w:rsidR="00715B77">
        <w:t>March</w:t>
      </w:r>
      <w:r w:rsidRPr="00AF3228">
        <w:t xml:space="preserve"> 20</w:t>
      </w:r>
      <w:r w:rsidRPr="00EA3458">
        <w:t>2</w:t>
      </w:r>
      <w:r w:rsidR="00715B77">
        <w:t>1</w:t>
      </w:r>
      <w:r w:rsidRPr="00EA3458">
        <w:t xml:space="preserve"> to consider stakeholder concerns about access and affordability of medicines for opioid dependence. </w:t>
      </w:r>
    </w:p>
    <w:p w14:paraId="7EEEEBD0" w14:textId="77777777" w:rsidR="00BA65D8" w:rsidRPr="00463EE2" w:rsidRDefault="00BA65D8" w:rsidP="00BA65D8">
      <w:pPr>
        <w:spacing w:after="0"/>
      </w:pPr>
    </w:p>
    <w:p w14:paraId="301789F3" w14:textId="77777777" w:rsidR="000C01AC" w:rsidRDefault="000C01AC">
      <w:pPr>
        <w:spacing w:after="160" w:line="259" w:lineRule="auto"/>
        <w:jc w:val="left"/>
        <w:rPr>
          <w:rFonts w:asciiTheme="minorHAnsi" w:eastAsiaTheme="majorEastAsia" w:hAnsiTheme="minorHAnsi" w:cstheme="majorBidi"/>
          <w:color w:val="1F3763" w:themeColor="accent1" w:themeShade="7F"/>
        </w:rPr>
      </w:pPr>
      <w:r>
        <w:br w:type="page"/>
      </w:r>
    </w:p>
    <w:p w14:paraId="4EEC891F" w14:textId="77777777" w:rsidR="000C01AC" w:rsidRPr="0044643F" w:rsidRDefault="000C01AC" w:rsidP="007E3DC8">
      <w:pPr>
        <w:pStyle w:val="Heading3"/>
        <w:numPr>
          <w:ilvl w:val="1"/>
          <w:numId w:val="21"/>
        </w:numPr>
        <w:rPr>
          <w:color w:val="1F3864" w:themeColor="accent1" w:themeShade="80"/>
        </w:rPr>
      </w:pPr>
      <w:bookmarkStart w:id="13" w:name="_Toc163221157"/>
      <w:r w:rsidRPr="00EA3458">
        <w:lastRenderedPageBreak/>
        <w:t>Terms of Reference for the ODTP PMR</w:t>
      </w:r>
      <w:bookmarkEnd w:id="13"/>
    </w:p>
    <w:p w14:paraId="635555C8" w14:textId="77777777" w:rsidR="000C01AC" w:rsidRPr="00EA3458" w:rsidRDefault="000C01AC" w:rsidP="000C01AC">
      <w:pPr>
        <w:spacing w:after="160" w:line="259" w:lineRule="auto"/>
        <w:rPr>
          <w:color w:val="1F3864" w:themeColor="accent1" w:themeShade="80"/>
        </w:rPr>
      </w:pPr>
      <w:r w:rsidRPr="00EA3458">
        <w:rPr>
          <w:color w:val="1F3864" w:themeColor="accent1" w:themeShade="80"/>
        </w:rPr>
        <w:t>Term of Reference 1</w:t>
      </w:r>
    </w:p>
    <w:p w14:paraId="5BC8CC98" w14:textId="00D6249F" w:rsidR="000C01AC" w:rsidRPr="00EA3458" w:rsidRDefault="000C01AC" w:rsidP="007E3DC8">
      <w:pPr>
        <w:numPr>
          <w:ilvl w:val="0"/>
          <w:numId w:val="9"/>
        </w:numPr>
        <w:shd w:val="clear" w:color="auto" w:fill="FFFFFF"/>
        <w:spacing w:after="90" w:line="300" w:lineRule="atLeast"/>
        <w:rPr>
          <w:rFonts w:asciiTheme="minorHAnsi" w:eastAsia="Times New Roman" w:hAnsiTheme="minorHAnsi" w:cstheme="minorHAnsi"/>
          <w:color w:val="222222"/>
          <w:lang w:eastAsia="en-AU"/>
        </w:rPr>
      </w:pPr>
      <w:r w:rsidRPr="00EA3458">
        <w:rPr>
          <w:rFonts w:asciiTheme="minorHAnsi" w:eastAsia="Times New Roman" w:hAnsiTheme="minorHAnsi" w:cstheme="minorHAnsi"/>
          <w:color w:val="222222"/>
          <w:lang w:eastAsia="en-AU"/>
        </w:rPr>
        <w:t>Describe and compare essential elements of models of service delivery for ODT in Australia (and internationally) including best practice guidelines and current models (including models developed in response to the COVID-19 pandemic) that support timely access to ODT medicines through both pharmacy and non-pharmacy settings*.</w:t>
      </w:r>
    </w:p>
    <w:p w14:paraId="415DD57C" w14:textId="77777777" w:rsidR="000C01AC" w:rsidRPr="00EA3458" w:rsidRDefault="000C01AC" w:rsidP="000C01AC">
      <w:pPr>
        <w:shd w:val="clear" w:color="auto" w:fill="FFFFFF"/>
        <w:spacing w:before="240" w:after="240" w:line="300" w:lineRule="atLeast"/>
        <w:ind w:left="360"/>
        <w:rPr>
          <w:rFonts w:asciiTheme="minorHAnsi" w:eastAsia="Times New Roman" w:hAnsiTheme="minorHAnsi" w:cstheme="minorHAnsi"/>
          <w:i/>
          <w:iCs/>
          <w:color w:val="222222"/>
          <w:lang w:eastAsia="en-AU"/>
        </w:rPr>
      </w:pPr>
      <w:r w:rsidRPr="00EA3458">
        <w:rPr>
          <w:rFonts w:asciiTheme="minorHAnsi" w:eastAsia="Times New Roman" w:hAnsiTheme="minorHAnsi" w:cstheme="minorHAnsi"/>
          <w:color w:val="222222"/>
          <w:lang w:eastAsia="en-AU"/>
        </w:rPr>
        <w:t>*Non-pharmacy settings include a range of service settings where ODT medicines are delivered in Australia including, but not limited to, correctional facilities, hospitals, public and private clinics, Aboriginal Community Controlled Health Organisations</w:t>
      </w:r>
      <w:r>
        <w:rPr>
          <w:rFonts w:asciiTheme="minorHAnsi" w:eastAsia="Times New Roman" w:hAnsiTheme="minorHAnsi" w:cstheme="minorHAnsi"/>
          <w:color w:val="222222"/>
          <w:lang w:eastAsia="en-AU"/>
        </w:rPr>
        <w:t xml:space="preserve"> (ACCHOs)</w:t>
      </w:r>
      <w:r w:rsidRPr="00EA3458">
        <w:rPr>
          <w:rFonts w:asciiTheme="minorHAnsi" w:eastAsia="Times New Roman" w:hAnsiTheme="minorHAnsi" w:cstheme="minorHAnsi"/>
          <w:color w:val="222222"/>
          <w:lang w:eastAsia="en-AU"/>
        </w:rPr>
        <w:t>, general practices and specialist clinics</w:t>
      </w:r>
      <w:r w:rsidRPr="00EA3458">
        <w:rPr>
          <w:rFonts w:asciiTheme="minorHAnsi" w:eastAsia="Times New Roman" w:hAnsiTheme="minorHAnsi" w:cstheme="minorHAnsi"/>
          <w:i/>
          <w:iCs/>
          <w:color w:val="222222"/>
          <w:lang w:eastAsia="en-AU"/>
        </w:rPr>
        <w:t>.</w:t>
      </w:r>
    </w:p>
    <w:p w14:paraId="47D3CFF6" w14:textId="77777777" w:rsidR="000C01AC" w:rsidRPr="00EA3458" w:rsidRDefault="000C01AC" w:rsidP="000C01AC">
      <w:pPr>
        <w:spacing w:before="120" w:line="276" w:lineRule="auto"/>
        <w:rPr>
          <w:color w:val="1F3864" w:themeColor="accent1" w:themeShade="80"/>
        </w:rPr>
      </w:pPr>
      <w:r w:rsidRPr="00EA3458">
        <w:rPr>
          <w:color w:val="1F3864" w:themeColor="accent1" w:themeShade="80"/>
        </w:rPr>
        <w:t>Term of Reference 2</w:t>
      </w:r>
    </w:p>
    <w:p w14:paraId="23DDE902" w14:textId="77777777" w:rsidR="000C01AC" w:rsidRPr="00EA3458" w:rsidRDefault="000C01AC" w:rsidP="007E3DC8">
      <w:pPr>
        <w:numPr>
          <w:ilvl w:val="0"/>
          <w:numId w:val="10"/>
        </w:numPr>
        <w:shd w:val="clear" w:color="auto" w:fill="FFFFFF"/>
        <w:spacing w:after="90" w:line="300" w:lineRule="atLeast"/>
        <w:rPr>
          <w:rFonts w:asciiTheme="minorHAnsi" w:eastAsia="Times New Roman" w:hAnsiTheme="minorHAnsi" w:cstheme="minorHAnsi"/>
          <w:color w:val="222222"/>
          <w:lang w:eastAsia="en-AU"/>
        </w:rPr>
      </w:pPr>
      <w:r w:rsidRPr="00EA3458">
        <w:rPr>
          <w:rFonts w:asciiTheme="minorHAnsi" w:eastAsia="Times New Roman" w:hAnsiTheme="minorHAnsi" w:cstheme="minorHAnsi"/>
          <w:color w:val="222222"/>
          <w:lang w:eastAsia="en-AU"/>
        </w:rPr>
        <w:t>Examine the consumer experience, focussing on equity of access, geographical barriers to access, cultural safety, and affordability of ODT medicines across the different models of service delivery. This will include consideration of access to ODT for at risk population groups including people living in rural and remote areas, Aboriginal and Torres Strait Islander peoples and other populations who may have limited access to health care services, including ODT.</w:t>
      </w:r>
    </w:p>
    <w:p w14:paraId="1340C6FF" w14:textId="77777777" w:rsidR="000C01AC" w:rsidRPr="00EA3458" w:rsidRDefault="000C01AC" w:rsidP="000C01AC">
      <w:pPr>
        <w:spacing w:before="120" w:line="276" w:lineRule="auto"/>
        <w:rPr>
          <w:color w:val="1F3864" w:themeColor="accent1" w:themeShade="80"/>
        </w:rPr>
      </w:pPr>
      <w:r w:rsidRPr="00EA3458">
        <w:rPr>
          <w:color w:val="1F3864" w:themeColor="accent1" w:themeShade="80"/>
        </w:rPr>
        <w:t>Term of Reference 3</w:t>
      </w:r>
    </w:p>
    <w:p w14:paraId="371EF33D" w14:textId="762819D2" w:rsidR="000C01AC" w:rsidRPr="00EA3458" w:rsidRDefault="000C01AC" w:rsidP="007E3DC8">
      <w:pPr>
        <w:numPr>
          <w:ilvl w:val="0"/>
          <w:numId w:val="10"/>
        </w:numPr>
        <w:shd w:val="clear" w:color="auto" w:fill="FFFFFF"/>
        <w:spacing w:after="90" w:line="300" w:lineRule="atLeast"/>
        <w:rPr>
          <w:rFonts w:asciiTheme="minorHAnsi" w:eastAsia="Times New Roman" w:hAnsiTheme="minorHAnsi" w:cstheme="minorHAnsi"/>
          <w:color w:val="222222"/>
          <w:lang w:eastAsia="en-AU"/>
        </w:rPr>
      </w:pPr>
      <w:r w:rsidRPr="00EA3458">
        <w:rPr>
          <w:rFonts w:asciiTheme="minorHAnsi" w:eastAsia="Times New Roman" w:hAnsiTheme="minorHAnsi" w:cstheme="minorHAnsi"/>
          <w:color w:val="222222"/>
          <w:lang w:eastAsia="en-AU"/>
        </w:rPr>
        <w:t xml:space="preserve">Explore the utilisation of PBS subsidised ODT medicines in Australia, including funding, benefits (health system and societal) and costs incurred in the supply and dispensing of </w:t>
      </w:r>
      <w:r>
        <w:rPr>
          <w:rFonts w:asciiTheme="minorHAnsi" w:eastAsia="Times New Roman" w:hAnsiTheme="minorHAnsi" w:cstheme="minorHAnsi"/>
          <w:color w:val="222222"/>
          <w:lang w:eastAsia="en-AU"/>
        </w:rPr>
        <w:t>O</w:t>
      </w:r>
      <w:r w:rsidR="005E4E29">
        <w:rPr>
          <w:rFonts w:asciiTheme="minorHAnsi" w:eastAsia="Times New Roman" w:hAnsiTheme="minorHAnsi" w:cstheme="minorHAnsi"/>
          <w:color w:val="222222"/>
          <w:lang w:eastAsia="en-AU"/>
        </w:rPr>
        <w:t>D</w:t>
      </w:r>
      <w:r>
        <w:rPr>
          <w:rFonts w:asciiTheme="minorHAnsi" w:eastAsia="Times New Roman" w:hAnsiTheme="minorHAnsi" w:cstheme="minorHAnsi"/>
          <w:color w:val="222222"/>
          <w:lang w:eastAsia="en-AU"/>
        </w:rPr>
        <w:t>T</w:t>
      </w:r>
      <w:r w:rsidRPr="00EA3458">
        <w:rPr>
          <w:rFonts w:asciiTheme="minorHAnsi" w:eastAsia="Times New Roman" w:hAnsiTheme="minorHAnsi" w:cstheme="minorHAnsi"/>
          <w:color w:val="222222"/>
          <w:lang w:eastAsia="en-AU"/>
        </w:rPr>
        <w:t xml:space="preserve"> medicines in pharmacy and non-pharmacy settings. This will include examination of current PBS restriction criteria and the impact of the listing of modified release buprenorphine injections on the PBS ODTP.</w:t>
      </w:r>
    </w:p>
    <w:p w14:paraId="39663364" w14:textId="77777777" w:rsidR="000C01AC" w:rsidRPr="00EA3458" w:rsidRDefault="000C01AC" w:rsidP="000C01AC">
      <w:pPr>
        <w:spacing w:before="120" w:line="276" w:lineRule="auto"/>
        <w:rPr>
          <w:color w:val="1F3864" w:themeColor="accent1" w:themeShade="80"/>
        </w:rPr>
      </w:pPr>
      <w:r w:rsidRPr="00EA3458">
        <w:rPr>
          <w:color w:val="1F3864" w:themeColor="accent1" w:themeShade="80"/>
        </w:rPr>
        <w:t>Term of Reference 4</w:t>
      </w:r>
    </w:p>
    <w:p w14:paraId="20CE6111" w14:textId="77777777" w:rsidR="000C01AC" w:rsidRPr="00C014CE" w:rsidRDefault="000C01AC" w:rsidP="007E3DC8">
      <w:pPr>
        <w:numPr>
          <w:ilvl w:val="0"/>
          <w:numId w:val="10"/>
        </w:numPr>
        <w:shd w:val="clear" w:color="auto" w:fill="FFFFFF"/>
        <w:spacing w:line="300" w:lineRule="atLeast"/>
        <w:ind w:left="357" w:hanging="357"/>
        <w:rPr>
          <w:rFonts w:asciiTheme="minorHAnsi" w:eastAsia="Times New Roman" w:hAnsiTheme="minorHAnsi" w:cstheme="minorHAnsi"/>
          <w:color w:val="222222"/>
          <w:lang w:eastAsia="en-AU"/>
        </w:rPr>
      </w:pPr>
      <w:r w:rsidRPr="00EA3458">
        <w:rPr>
          <w:rFonts w:asciiTheme="minorHAnsi" w:eastAsia="Times New Roman" w:hAnsiTheme="minorHAnsi" w:cstheme="minorHAnsi"/>
          <w:color w:val="222222"/>
          <w:lang w:eastAsia="en-AU"/>
        </w:rPr>
        <w:t>Propose improved service delivery arrangements for access to ODT medicines, with an aim of identifying an ODTP that is equitable, timely, reliable, and affordable for consumers and stakeholders involved in the supply and delivery of ODT medicines and cost-effective for the Australian Government.</w:t>
      </w:r>
    </w:p>
    <w:p w14:paraId="26668D4C" w14:textId="77777777" w:rsidR="000C01AC" w:rsidRDefault="000C01AC">
      <w:pPr>
        <w:spacing w:after="160" w:line="259" w:lineRule="auto"/>
        <w:jc w:val="left"/>
        <w:rPr>
          <w:rFonts w:asciiTheme="minorHAnsi" w:eastAsiaTheme="majorEastAsia" w:hAnsiTheme="minorHAnsi" w:cstheme="majorBidi"/>
          <w:color w:val="1F3763" w:themeColor="accent1" w:themeShade="7F"/>
        </w:rPr>
      </w:pPr>
      <w:r>
        <w:br w:type="page"/>
      </w:r>
    </w:p>
    <w:p w14:paraId="53DC2922" w14:textId="12140DEA" w:rsidR="00EB1B87" w:rsidRPr="00EA3458" w:rsidRDefault="00C07BA7" w:rsidP="007E3DC8">
      <w:pPr>
        <w:pStyle w:val="Heading3"/>
        <w:numPr>
          <w:ilvl w:val="1"/>
          <w:numId w:val="21"/>
        </w:numPr>
      </w:pPr>
      <w:bookmarkStart w:id="14" w:name="_Toc163221158"/>
      <w:r w:rsidRPr="00EA3458">
        <w:lastRenderedPageBreak/>
        <w:t>Review Process</w:t>
      </w:r>
      <w:bookmarkEnd w:id="14"/>
    </w:p>
    <w:p w14:paraId="5FD02616" w14:textId="68486CDD" w:rsidR="00C014CE" w:rsidRDefault="00BC4999" w:rsidP="00BA65D8">
      <w:pPr>
        <w:spacing w:after="0"/>
      </w:pPr>
      <w:r w:rsidRPr="00EA3458">
        <w:t xml:space="preserve">The Review has the overall aim of reviewing the current </w:t>
      </w:r>
      <w:r w:rsidR="00992300">
        <w:t xml:space="preserve">PBS </w:t>
      </w:r>
      <w:r w:rsidR="00AD29FF" w:rsidRPr="00EA3458">
        <w:t xml:space="preserve">ODTP </w:t>
      </w:r>
      <w:r w:rsidRPr="00EA3458">
        <w:t>arrangements to ensure that Australians who have an opioid dependency continue to have access to medicines to help treat their opioid dependence.</w:t>
      </w:r>
      <w:r w:rsidR="00AD29FF" w:rsidRPr="00EA3458">
        <w:t xml:space="preserve"> </w:t>
      </w:r>
      <w:r w:rsidR="00A83E23">
        <w:t>The</w:t>
      </w:r>
      <w:r w:rsidR="00A83E23" w:rsidRPr="00EA3458">
        <w:t xml:space="preserve"> </w:t>
      </w:r>
      <w:r w:rsidR="00A528B6">
        <w:t>Terms of Reference (</w:t>
      </w:r>
      <w:r w:rsidR="00A83E23" w:rsidRPr="00EA3458">
        <w:t>TOR</w:t>
      </w:r>
      <w:r w:rsidR="00A528B6">
        <w:t>)</w:t>
      </w:r>
      <w:r w:rsidR="00A83E23" w:rsidRPr="00EA3458">
        <w:t xml:space="preserve"> for the ODTP PMR </w:t>
      </w:r>
      <w:r w:rsidR="00A528B6">
        <w:t>are</w:t>
      </w:r>
      <w:r w:rsidR="00A83E23" w:rsidRPr="00EA3458">
        <w:t xml:space="preserve"> provided </w:t>
      </w:r>
      <w:r w:rsidR="0044643F">
        <w:t xml:space="preserve">in </w:t>
      </w:r>
      <w:r w:rsidR="006D1683">
        <w:t>S</w:t>
      </w:r>
      <w:r w:rsidR="0044643F">
        <w:t>ection 1.</w:t>
      </w:r>
      <w:r w:rsidR="000C01AC">
        <w:t>3</w:t>
      </w:r>
      <w:r w:rsidR="00A83E23" w:rsidRPr="00EA3458">
        <w:t>.</w:t>
      </w:r>
    </w:p>
    <w:p w14:paraId="55016171" w14:textId="36CD6377" w:rsidR="0044643F" w:rsidRDefault="0044643F" w:rsidP="007E3DC8">
      <w:pPr>
        <w:pStyle w:val="Heading4"/>
        <w:numPr>
          <w:ilvl w:val="2"/>
          <w:numId w:val="21"/>
        </w:numPr>
        <w:spacing w:before="120"/>
      </w:pPr>
      <w:r>
        <w:t xml:space="preserve">Development of the Terms of Reference </w:t>
      </w:r>
    </w:p>
    <w:p w14:paraId="5C6B6F35" w14:textId="77777777" w:rsidR="0044643F" w:rsidRPr="00EA3458" w:rsidRDefault="0044643F" w:rsidP="0044643F">
      <w:r w:rsidRPr="00EA3458">
        <w:t xml:space="preserve">The draft TOR for the Review were open to public consultation from 28 May 2021 to </w:t>
      </w:r>
      <w:r w:rsidRPr="00EA3458">
        <w:br/>
        <w:t xml:space="preserve">30 June 2021. A total of 28 responses were received from a cross-section of peak bodies, research institutes and individuals. Except where requested otherwise, public comments were published on the Review’s website, available at </w:t>
      </w:r>
      <w:hyperlink r:id="rId9" w:history="1">
        <w:r w:rsidRPr="00EA3458">
          <w:rPr>
            <w:rStyle w:val="Hyperlink"/>
          </w:rPr>
          <w:t>www.pbs.gov.au/info/browse/reviews</w:t>
        </w:r>
      </w:hyperlink>
      <w:r w:rsidRPr="00EA3458">
        <w:t xml:space="preserve">. </w:t>
      </w:r>
    </w:p>
    <w:p w14:paraId="31040764" w14:textId="32478B47" w:rsidR="0044643F" w:rsidRPr="0044643F" w:rsidRDefault="0044643F" w:rsidP="0044643F">
      <w:r w:rsidRPr="00EA3458">
        <w:t xml:space="preserve">In August 2021, the PBAC considered the draft TOR and comments from stakeholders. The </w:t>
      </w:r>
      <w:r w:rsidRPr="00AF3228">
        <w:t>former Minister for Health and Aged Care approved</w:t>
      </w:r>
      <w:r w:rsidRPr="00EA3458">
        <w:t xml:space="preserve"> the final TOR for the ODTP PMR on 13</w:t>
      </w:r>
      <w:r>
        <w:t> </w:t>
      </w:r>
      <w:r w:rsidRPr="00EA3458">
        <w:t>August 2021</w:t>
      </w:r>
      <w:r>
        <w:t xml:space="preserve"> (refer </w:t>
      </w:r>
      <w:r w:rsidR="006D1683">
        <w:t>S</w:t>
      </w:r>
      <w:r>
        <w:t>ection 1.</w:t>
      </w:r>
      <w:r w:rsidR="000C01AC">
        <w:t>3</w:t>
      </w:r>
      <w:r>
        <w:t>)</w:t>
      </w:r>
      <w:r w:rsidRPr="00EA3458">
        <w:t>.</w:t>
      </w:r>
      <w:r>
        <w:t xml:space="preserve"> </w:t>
      </w:r>
    </w:p>
    <w:p w14:paraId="029C4AEB" w14:textId="1409AD7F" w:rsidR="0044643F" w:rsidRPr="00EA3458" w:rsidRDefault="0044643F" w:rsidP="007E3DC8">
      <w:pPr>
        <w:pStyle w:val="Heading4"/>
        <w:numPr>
          <w:ilvl w:val="2"/>
          <w:numId w:val="21"/>
        </w:numPr>
        <w:spacing w:before="120"/>
      </w:pPr>
      <w:r w:rsidRPr="00EA3458">
        <w:t>Reference Group</w:t>
      </w:r>
    </w:p>
    <w:p w14:paraId="40F2C6B4" w14:textId="77777777" w:rsidR="0044643F" w:rsidRPr="00EA3458" w:rsidRDefault="0044643F" w:rsidP="0044643F">
      <w:r w:rsidRPr="00EA3458">
        <w:t xml:space="preserve">In line with the PMR Framework, a Reference Group was formed to assist in the review of the evidence and information for each of the Review’s </w:t>
      </w:r>
      <w:r>
        <w:t>TOR</w:t>
      </w:r>
      <w:r w:rsidRPr="00EA3458">
        <w:t xml:space="preserve">, and to ensure that the perspectives of stakeholders are considered in its preparation of the Review Report to the PBAC. Members of the Reference Group are appointed as either individuals or organisational representatives. </w:t>
      </w:r>
      <w:r w:rsidRPr="00EA3458">
        <w:rPr>
          <w:rFonts w:asciiTheme="minorHAnsi" w:hAnsiTheme="minorHAnsi" w:cstheme="minorHAnsi"/>
        </w:rPr>
        <w:t>The Reference Group membership for this Review includes:</w:t>
      </w:r>
    </w:p>
    <w:p w14:paraId="3CBDBD1D" w14:textId="77777777" w:rsidR="0044643F" w:rsidRPr="00EA3458" w:rsidRDefault="0044643F" w:rsidP="007E3DC8">
      <w:pPr>
        <w:pStyle w:val="ListParagraph"/>
        <w:numPr>
          <w:ilvl w:val="1"/>
          <w:numId w:val="8"/>
        </w:numPr>
        <w:spacing w:line="259" w:lineRule="auto"/>
        <w:ind w:left="785"/>
        <w:jc w:val="left"/>
        <w:rPr>
          <w:rFonts w:asciiTheme="minorHAnsi" w:hAnsiTheme="minorHAnsi" w:cstheme="minorHAnsi"/>
        </w:rPr>
      </w:pPr>
      <w:r w:rsidRPr="00EA3458">
        <w:rPr>
          <w:rFonts w:asciiTheme="minorHAnsi" w:hAnsiTheme="minorHAnsi" w:cstheme="minorHAnsi"/>
        </w:rPr>
        <w:t xml:space="preserve">addiction medicine specialist, </w:t>
      </w:r>
      <w:r>
        <w:rPr>
          <w:rFonts w:asciiTheme="minorHAnsi" w:hAnsiTheme="minorHAnsi" w:cstheme="minorHAnsi"/>
        </w:rPr>
        <w:t>GP</w:t>
      </w:r>
      <w:r w:rsidRPr="00EA3458">
        <w:rPr>
          <w:rFonts w:asciiTheme="minorHAnsi" w:hAnsiTheme="minorHAnsi" w:cstheme="minorHAnsi"/>
        </w:rPr>
        <w:t xml:space="preserve">, and nurse practitioner representation with expertise in providing ODT to marginalised and at-risk populations </w:t>
      </w:r>
    </w:p>
    <w:p w14:paraId="560CC438" w14:textId="77777777" w:rsidR="0044643F" w:rsidRPr="00EA3458" w:rsidRDefault="0044643F" w:rsidP="007E3DC8">
      <w:pPr>
        <w:pStyle w:val="ListParagraph"/>
        <w:numPr>
          <w:ilvl w:val="1"/>
          <w:numId w:val="8"/>
        </w:numPr>
        <w:spacing w:line="259" w:lineRule="auto"/>
        <w:ind w:left="785"/>
        <w:jc w:val="left"/>
        <w:rPr>
          <w:rFonts w:asciiTheme="minorHAnsi" w:hAnsiTheme="minorHAnsi" w:cstheme="minorHAnsi"/>
        </w:rPr>
      </w:pPr>
      <w:r w:rsidRPr="00EA3458">
        <w:rPr>
          <w:rFonts w:asciiTheme="minorHAnsi" w:hAnsiTheme="minorHAnsi" w:cstheme="minorHAnsi"/>
        </w:rPr>
        <w:t>consumer representation from several groups including those representing injecting and illicit drug users and First Nations people</w:t>
      </w:r>
    </w:p>
    <w:p w14:paraId="42D08B82" w14:textId="77777777" w:rsidR="0044643F" w:rsidRPr="00EA3458" w:rsidRDefault="0044643F" w:rsidP="007E3DC8">
      <w:pPr>
        <w:pStyle w:val="ListParagraph"/>
        <w:numPr>
          <w:ilvl w:val="1"/>
          <w:numId w:val="8"/>
        </w:numPr>
        <w:spacing w:line="259" w:lineRule="auto"/>
        <w:ind w:left="785"/>
        <w:jc w:val="left"/>
        <w:rPr>
          <w:rFonts w:asciiTheme="minorHAnsi" w:hAnsiTheme="minorHAnsi" w:cstheme="minorHAnsi"/>
        </w:rPr>
      </w:pPr>
      <w:r w:rsidRPr="00EA3458">
        <w:rPr>
          <w:rFonts w:asciiTheme="minorHAnsi" w:hAnsiTheme="minorHAnsi" w:cstheme="minorHAnsi"/>
        </w:rPr>
        <w:t xml:space="preserve">pharmacy representation </w:t>
      </w:r>
    </w:p>
    <w:p w14:paraId="5584DB08" w14:textId="77777777" w:rsidR="0044643F" w:rsidRPr="00EA3458" w:rsidRDefault="0044643F" w:rsidP="007E3DC8">
      <w:pPr>
        <w:pStyle w:val="ListParagraph"/>
        <w:numPr>
          <w:ilvl w:val="1"/>
          <w:numId w:val="8"/>
        </w:numPr>
        <w:spacing w:line="259" w:lineRule="auto"/>
        <w:ind w:left="782" w:hanging="357"/>
        <w:contextualSpacing w:val="0"/>
        <w:jc w:val="left"/>
        <w:rPr>
          <w:rFonts w:asciiTheme="minorHAnsi" w:hAnsiTheme="minorHAnsi" w:cstheme="minorHAnsi"/>
        </w:rPr>
      </w:pPr>
      <w:r w:rsidRPr="00EA3458">
        <w:rPr>
          <w:rFonts w:asciiTheme="minorHAnsi" w:hAnsiTheme="minorHAnsi" w:cstheme="minorHAnsi"/>
        </w:rPr>
        <w:t xml:space="preserve">leaders in the field of drug and alcohol research.  </w:t>
      </w:r>
    </w:p>
    <w:p w14:paraId="64D3B5D2" w14:textId="3D5EA171" w:rsidR="0044643F" w:rsidRDefault="0044643F" w:rsidP="0044643F">
      <w:r w:rsidRPr="00EA3458">
        <w:t xml:space="preserve">The Reference </w:t>
      </w:r>
      <w:r>
        <w:t>G</w:t>
      </w:r>
      <w:r w:rsidRPr="00EA3458">
        <w:t xml:space="preserve">roup for the </w:t>
      </w:r>
      <w:r>
        <w:t>ODTP PMR</w:t>
      </w:r>
      <w:r w:rsidRPr="00EA3458">
        <w:t xml:space="preserve"> was appointed on 22 September 2021. </w:t>
      </w:r>
      <w:r w:rsidR="00806A1A">
        <w:t>Refer</w:t>
      </w:r>
      <w:r w:rsidRPr="00AF3228">
        <w:t xml:space="preserve"> Appendix 1</w:t>
      </w:r>
      <w:r>
        <w:t>.</w:t>
      </w:r>
    </w:p>
    <w:p w14:paraId="28F3130E" w14:textId="77777777" w:rsidR="0044643F" w:rsidRPr="00EA3458" w:rsidRDefault="0044643F" w:rsidP="0044643F">
      <w:r w:rsidRPr="00EA3458">
        <w:t xml:space="preserve">The separate consultation processes are outlined in the following sections. </w:t>
      </w:r>
    </w:p>
    <w:p w14:paraId="102ECACB" w14:textId="77777777" w:rsidR="0044643F" w:rsidRPr="00EA3458" w:rsidRDefault="0044643F" w:rsidP="007E3DC8">
      <w:pPr>
        <w:pStyle w:val="Heading4"/>
        <w:numPr>
          <w:ilvl w:val="2"/>
          <w:numId w:val="21"/>
        </w:numPr>
      </w:pPr>
      <w:r w:rsidRPr="00EA3458">
        <w:t>Stakeholder contributions to the Review</w:t>
      </w:r>
    </w:p>
    <w:p w14:paraId="6E2684E4" w14:textId="77777777" w:rsidR="0044643F" w:rsidRPr="00EA3458" w:rsidRDefault="0044643F" w:rsidP="0044643F">
      <w:r w:rsidRPr="00EA3458">
        <w:t>As part of the PMR Framework there are a number of opportunities for stakeholders to contribute their experiences and evidence to inform the Review. Stakeholder</w:t>
      </w:r>
      <w:r>
        <w:t>s</w:t>
      </w:r>
      <w:r w:rsidRPr="00EA3458">
        <w:t xml:space="preserve"> include but are not limited to, the pharmaceutical industry, state and territory governments, medical practitioners, service providers as well as consumers and supporting organisations. The key opportunities include public consultation on the draft TOR, a public submission process to address the</w:t>
      </w:r>
      <w:r>
        <w:t xml:space="preserve"> final</w:t>
      </w:r>
      <w:r w:rsidRPr="00EA3458">
        <w:t xml:space="preserve"> TOR, and the Stakeholder Forum. The information and evidence gathered through these consultation processes forms an important part of the Review Report.</w:t>
      </w:r>
    </w:p>
    <w:p w14:paraId="3BD360F3" w14:textId="77777777" w:rsidR="000C01AC" w:rsidRDefault="000C01AC">
      <w:pPr>
        <w:spacing w:after="160" w:line="259" w:lineRule="auto"/>
        <w:jc w:val="left"/>
        <w:rPr>
          <w:rFonts w:asciiTheme="majorHAnsi" w:eastAsiaTheme="majorEastAsia" w:hAnsiTheme="majorHAnsi" w:cstheme="majorBidi"/>
          <w:i/>
          <w:iCs/>
          <w:color w:val="2F5496" w:themeColor="accent1" w:themeShade="BF"/>
        </w:rPr>
      </w:pPr>
      <w:r>
        <w:br w:type="page"/>
      </w:r>
    </w:p>
    <w:p w14:paraId="56C5130A" w14:textId="0BD66AFF" w:rsidR="0044643F" w:rsidRPr="00CC6755" w:rsidRDefault="0044643F" w:rsidP="007E3DC8">
      <w:pPr>
        <w:pStyle w:val="Heading4"/>
        <w:numPr>
          <w:ilvl w:val="2"/>
          <w:numId w:val="21"/>
        </w:numPr>
      </w:pPr>
      <w:r w:rsidRPr="00EA3458">
        <w:lastRenderedPageBreak/>
        <w:t>Public Submissions</w:t>
      </w:r>
    </w:p>
    <w:p w14:paraId="61785C58" w14:textId="77777777" w:rsidR="0044643F" w:rsidRPr="00EA3458" w:rsidRDefault="0044643F" w:rsidP="0044643F">
      <w:r w:rsidRPr="00EA3458">
        <w:t xml:space="preserve">Public submissions addressing the </w:t>
      </w:r>
      <w:r>
        <w:t xml:space="preserve">final </w:t>
      </w:r>
      <w:r w:rsidRPr="00EA3458">
        <w:t>T</w:t>
      </w:r>
      <w:r>
        <w:t>O</w:t>
      </w:r>
      <w:r w:rsidRPr="00EA3458">
        <w:t>R for this Review were open from 17 August 2021 to 1 October 2021. This process provided stakeholders with an opportunity to identify relevant issues, evidence or data that may inform the Review and to provide comment against each of the T</w:t>
      </w:r>
      <w:r>
        <w:t>O</w:t>
      </w:r>
      <w:r w:rsidRPr="00EA3458">
        <w:t xml:space="preserve">R. </w:t>
      </w:r>
    </w:p>
    <w:p w14:paraId="617B8385" w14:textId="77777777" w:rsidR="0044643F" w:rsidRPr="00EA3458" w:rsidRDefault="0044643F" w:rsidP="0044643F">
      <w:r w:rsidRPr="00EA3458">
        <w:t xml:space="preserve">Submissions were received from 35 stakeholder including peak bodies, pharmaceutical companies, state and territory governments, health professionals and individuals </w:t>
      </w:r>
      <w:r w:rsidRPr="005012E8">
        <w:t>and highlighted the complexity of considerations when viewed from different stakeholder perspectives</w:t>
      </w:r>
      <w:r w:rsidRPr="00EA3458">
        <w:t xml:space="preserve">. Except where requested otherwise, public submissions were published on the </w:t>
      </w:r>
      <w:r>
        <w:t>ODTP PMR</w:t>
      </w:r>
      <w:r w:rsidRPr="00EA3458">
        <w:t xml:space="preserve"> website, available at </w:t>
      </w:r>
      <w:hyperlink r:id="rId10" w:history="1">
        <w:r w:rsidRPr="00EA3458">
          <w:rPr>
            <w:rStyle w:val="Hyperlink"/>
          </w:rPr>
          <w:t>www.pbs.gov.au/info/browse/reviews</w:t>
        </w:r>
      </w:hyperlink>
      <w:r w:rsidRPr="00EA3458">
        <w:t xml:space="preserve">. </w:t>
      </w:r>
    </w:p>
    <w:p w14:paraId="5A716034" w14:textId="42754915" w:rsidR="0044643F" w:rsidRPr="00EA3458" w:rsidRDefault="0044643F" w:rsidP="0044643F">
      <w:r w:rsidRPr="00EA3458">
        <w:t xml:space="preserve">The content of the public submissions was considered in the development of the report and incorporated into the Review where appropriate. Overall, the evidence provided in the public submissions was consistent with those identified in the literature review addressing each </w:t>
      </w:r>
      <w:r w:rsidR="009E7570">
        <w:t>TOR</w:t>
      </w:r>
      <w:r w:rsidRPr="00EA3458">
        <w:t xml:space="preserve">. </w:t>
      </w:r>
    </w:p>
    <w:p w14:paraId="4A849164" w14:textId="77777777" w:rsidR="0044643F" w:rsidRPr="00EA3458" w:rsidRDefault="0044643F" w:rsidP="007E3DC8">
      <w:pPr>
        <w:pStyle w:val="Heading4"/>
        <w:numPr>
          <w:ilvl w:val="2"/>
          <w:numId w:val="21"/>
        </w:numPr>
      </w:pPr>
      <w:r w:rsidRPr="00EA3458">
        <w:t>Stakeholder Forum</w:t>
      </w:r>
    </w:p>
    <w:p w14:paraId="5ACA95C0" w14:textId="7DB70060" w:rsidR="0044643F" w:rsidRPr="00EA3458" w:rsidRDefault="0044643F" w:rsidP="0044643F">
      <w:pPr>
        <w:rPr>
          <w:iCs/>
        </w:rPr>
      </w:pPr>
      <w:r w:rsidRPr="00EA3458">
        <w:t xml:space="preserve">A Stakeholder Forum (Forum) for the </w:t>
      </w:r>
      <w:r>
        <w:t>ODTP PMR</w:t>
      </w:r>
      <w:r w:rsidRPr="00EA3458">
        <w:t xml:space="preserve"> was held by the Department via webinar on 24 February 2022. </w:t>
      </w:r>
      <w:r w:rsidRPr="00EA3458">
        <w:rPr>
          <w:iCs/>
        </w:rPr>
        <w:t>Stakeholders with an interest in ODT were invited to participate in the Forum, including industry, peak bodies, consumers (and consumer advocacy organisations), prescribers, pharmacists, and state and territory government representatives.</w:t>
      </w:r>
    </w:p>
    <w:p w14:paraId="28DFBA39" w14:textId="77777777" w:rsidR="0044643F" w:rsidRPr="00EA3458" w:rsidRDefault="0044643F" w:rsidP="0044643F">
      <w:pPr>
        <w:rPr>
          <w:szCs w:val="22"/>
        </w:rPr>
      </w:pPr>
      <w:r w:rsidRPr="00EA3458">
        <w:rPr>
          <w:szCs w:val="22"/>
        </w:rPr>
        <w:t xml:space="preserve">Of the 87 external participants attending the </w:t>
      </w:r>
      <w:r>
        <w:rPr>
          <w:szCs w:val="22"/>
        </w:rPr>
        <w:t>F</w:t>
      </w:r>
      <w:r w:rsidRPr="00EA3458">
        <w:rPr>
          <w:szCs w:val="22"/>
        </w:rPr>
        <w:t xml:space="preserve">orum, the highest proportion of participants were nurses or nurse practitioners (16%), followed by pharmacists (13%), other health professionals (13%), and organisations representing health professionals (13%). The </w:t>
      </w:r>
      <w:r>
        <w:rPr>
          <w:szCs w:val="22"/>
        </w:rPr>
        <w:t>F</w:t>
      </w:r>
      <w:r w:rsidRPr="00EA3458">
        <w:rPr>
          <w:szCs w:val="22"/>
        </w:rPr>
        <w:t xml:space="preserve">orum was also attended by consumers of ODT. </w:t>
      </w:r>
    </w:p>
    <w:p w14:paraId="29F7DD86" w14:textId="77777777" w:rsidR="0044643F" w:rsidRPr="00EA3458" w:rsidRDefault="0044643F" w:rsidP="0044643F">
      <w:r w:rsidRPr="00EA3458">
        <w:t xml:space="preserve">The discussion from the Form is summarised in the key finding for each TOR. Issues raised by stakeholders in the Forum </w:t>
      </w:r>
      <w:r>
        <w:t>were</w:t>
      </w:r>
      <w:r w:rsidRPr="00EA3458">
        <w:t xml:space="preserve"> broadly consistent with the evidence provided in the public submissions and literature review. A full version of the Forum Summary is published on the </w:t>
      </w:r>
      <w:r>
        <w:t>ODTP PMR</w:t>
      </w:r>
      <w:r w:rsidRPr="00EA3458">
        <w:t xml:space="preserve"> website, available at </w:t>
      </w:r>
      <w:hyperlink r:id="rId11" w:history="1">
        <w:r w:rsidRPr="00EA3458">
          <w:rPr>
            <w:rStyle w:val="Hyperlink"/>
          </w:rPr>
          <w:t>www.pbs.gov.au/info/browse/reviews</w:t>
        </w:r>
      </w:hyperlink>
      <w:r w:rsidRPr="00EA3458">
        <w:t>.</w:t>
      </w:r>
    </w:p>
    <w:p w14:paraId="24FA15BA" w14:textId="77777777" w:rsidR="0044643F" w:rsidRPr="00EA3458" w:rsidRDefault="0044643F" w:rsidP="007E3DC8">
      <w:pPr>
        <w:pStyle w:val="Heading4"/>
        <w:numPr>
          <w:ilvl w:val="2"/>
          <w:numId w:val="21"/>
        </w:numPr>
      </w:pPr>
      <w:r w:rsidRPr="00EA3458">
        <w:t>Targeted consumer consultation</w:t>
      </w:r>
    </w:p>
    <w:p w14:paraId="29205551" w14:textId="77777777" w:rsidR="0044643F" w:rsidRPr="00EA3458" w:rsidRDefault="0044643F" w:rsidP="0044643F">
      <w:r w:rsidRPr="00EA3458">
        <w:t xml:space="preserve">In line with the PMR Framework, the Reference Group provided guidance on the stakeholder input to the Review and advised the Department </w:t>
      </w:r>
      <w:r>
        <w:t xml:space="preserve">to undertake </w:t>
      </w:r>
      <w:r w:rsidRPr="00EA3458">
        <w:t>specific consumer consultation in addition to the usual consultation processes. It was considered particularly important for the ODTP PMR to seek input directly from people who use medicines for the treatment of opioid dependence regarding their experiences and treatment journey including how they access their medicines. Consumers also had an opportunity to attend the broader Forum.</w:t>
      </w:r>
    </w:p>
    <w:p w14:paraId="290FAAD3" w14:textId="389FB22C" w:rsidR="0044643F" w:rsidRDefault="0044643F" w:rsidP="009E7570">
      <w:pPr>
        <w:spacing w:after="0"/>
        <w:rPr>
          <w:rFonts w:asciiTheme="minorHAnsi" w:hAnsiTheme="minorHAnsi" w:cstheme="minorHAnsi"/>
        </w:rPr>
      </w:pPr>
      <w:r>
        <w:t>Coordinated by the Australian Injecting and Illicit Drug Users League, c</w:t>
      </w:r>
      <w:r w:rsidRPr="005012E8">
        <w:t xml:space="preserve">onsumer consultation activities were undertaken </w:t>
      </w:r>
      <w:r>
        <w:t xml:space="preserve">in each jurisdiction </w:t>
      </w:r>
      <w:r w:rsidRPr="005012E8">
        <w:t>consisting of multiple focus groups</w:t>
      </w:r>
      <w:r>
        <w:t xml:space="preserve"> and individual interviews</w:t>
      </w:r>
      <w:r w:rsidRPr="005012E8">
        <w:t xml:space="preserve"> which sought insight into consumer experiences relating to ODT with a particular focus on barriers and facilitators for populations</w:t>
      </w:r>
      <w:r w:rsidR="00037100">
        <w:t xml:space="preserve"> with specific needs</w:t>
      </w:r>
      <w:r w:rsidR="000C01AC">
        <w:t>.</w:t>
      </w:r>
      <w:r w:rsidR="009E7570">
        <w:t xml:space="preserve"> </w:t>
      </w:r>
      <w:r w:rsidR="009E7570">
        <w:rPr>
          <w:rFonts w:asciiTheme="minorHAnsi" w:hAnsiTheme="minorHAnsi" w:cstheme="minorHAnsi"/>
        </w:rPr>
        <w:t>The full report summarising the outcomes of the targeted consumer consultation is available at Appendix 3.</w:t>
      </w:r>
    </w:p>
    <w:p w14:paraId="49BD93EF" w14:textId="77777777" w:rsidR="009E7570" w:rsidRDefault="009E7570" w:rsidP="009E7570">
      <w:pPr>
        <w:spacing w:after="0"/>
        <w:rPr>
          <w:rFonts w:asciiTheme="minorHAnsi" w:eastAsiaTheme="majorEastAsia" w:hAnsiTheme="minorHAnsi" w:cstheme="majorBidi"/>
          <w:color w:val="1F3763" w:themeColor="accent1" w:themeShade="7F"/>
        </w:rPr>
      </w:pPr>
    </w:p>
    <w:p w14:paraId="0EADCBB2" w14:textId="7A945F0F" w:rsidR="00A83A6C" w:rsidRPr="00EA3458" w:rsidRDefault="00A83A6C" w:rsidP="007E3DC8">
      <w:pPr>
        <w:pStyle w:val="Heading3"/>
        <w:numPr>
          <w:ilvl w:val="1"/>
          <w:numId w:val="21"/>
        </w:numPr>
      </w:pPr>
      <w:bookmarkStart w:id="15" w:name="_Toc163221159"/>
      <w:r w:rsidRPr="00EA3458">
        <w:lastRenderedPageBreak/>
        <w:t>Review methodology</w:t>
      </w:r>
      <w:bookmarkEnd w:id="15"/>
    </w:p>
    <w:p w14:paraId="3C6C2210" w14:textId="77777777" w:rsidR="00A83A6C" w:rsidRPr="00EA3458" w:rsidRDefault="00A83A6C" w:rsidP="007E3DC8">
      <w:pPr>
        <w:pStyle w:val="Heading4"/>
        <w:numPr>
          <w:ilvl w:val="2"/>
          <w:numId w:val="21"/>
        </w:numPr>
      </w:pPr>
      <w:r w:rsidRPr="00EA3458">
        <w:t xml:space="preserve">Literature review </w:t>
      </w:r>
    </w:p>
    <w:p w14:paraId="1B6394B5" w14:textId="77777777" w:rsidR="00A83A6C" w:rsidRPr="00EA3458" w:rsidRDefault="00A83A6C" w:rsidP="004132AD">
      <w:r w:rsidRPr="00EA3458">
        <w:t>Systematic literature reviews of both qualitative and qualitative data were undertaken and summarised by the National Drug and Alcohol Research Centre (NDARC).</w:t>
      </w:r>
    </w:p>
    <w:p w14:paraId="564CB5E0" w14:textId="77777777" w:rsidR="00A83A6C" w:rsidRPr="00EA3458" w:rsidRDefault="00A83A6C" w:rsidP="004132AD">
      <w:pPr>
        <w:rPr>
          <w:rFonts w:cs="Calibri"/>
          <w:color w:val="000000" w:themeColor="text1"/>
        </w:rPr>
      </w:pPr>
      <w:r w:rsidRPr="00EA3458">
        <w:rPr>
          <w:rFonts w:cs="Calibri"/>
          <w:color w:val="000000" w:themeColor="text1"/>
        </w:rPr>
        <w:t>Relevant studies were searched through MEDLINE, Embase, and PsycINFO databases, following which they were screened by multiple reviewers for inclusion in the review. Key findings and methodologies were then extracted from included studies and meta-analysed where appropriate. This process was conducted both when reviewing qualitative and quantitative studies.</w:t>
      </w:r>
    </w:p>
    <w:p w14:paraId="57EA2F36" w14:textId="7933C443" w:rsidR="00A83A6C" w:rsidRPr="00EA3458" w:rsidRDefault="00A83A6C" w:rsidP="004132AD">
      <w:r w:rsidRPr="00EA3458">
        <w:rPr>
          <w:rFonts w:cs="Calibri"/>
          <w:color w:val="000000" w:themeColor="text1"/>
        </w:rPr>
        <w:t>Additionally, to review clinical guidelines across countries to address T</w:t>
      </w:r>
      <w:r w:rsidR="00F31EAB" w:rsidRPr="00EA3458">
        <w:rPr>
          <w:rFonts w:cs="Calibri"/>
          <w:color w:val="000000" w:themeColor="text1"/>
        </w:rPr>
        <w:t>O</w:t>
      </w:r>
      <w:r w:rsidRPr="00EA3458">
        <w:rPr>
          <w:rFonts w:cs="Calibri"/>
          <w:color w:val="000000" w:themeColor="text1"/>
        </w:rPr>
        <w:t xml:space="preserve">R 1 of the PMR, </w:t>
      </w:r>
      <w:r w:rsidRPr="00EA3458">
        <w:t xml:space="preserve">a methodical search for grey literature was undertaken. </w:t>
      </w:r>
      <w:r w:rsidR="00FF31B2">
        <w:t>Australian Government</w:t>
      </w:r>
      <w:r w:rsidRPr="00EA3458">
        <w:t>, state</w:t>
      </w:r>
      <w:r w:rsidR="00FF31B2">
        <w:t xml:space="preserve"> and territory government</w:t>
      </w:r>
      <w:r w:rsidRPr="00EA3458">
        <w:t>, provincial and non-government websites were searched to identify guidelines that outline the clinical management of opioid dependence in Australia, Canada, and the United Kingdom. Where this information wasn’t available, stakeholders were contacted to obtain the relevant information.</w:t>
      </w:r>
    </w:p>
    <w:p w14:paraId="4E22067B" w14:textId="2F012072" w:rsidR="00A83A6C" w:rsidRPr="00EA3458" w:rsidRDefault="00F31EAB" w:rsidP="004132AD">
      <w:r w:rsidRPr="00EA3458">
        <w:t>F</w:t>
      </w:r>
      <w:r w:rsidR="00A83A6C" w:rsidRPr="00EA3458">
        <w:t>or T</w:t>
      </w:r>
      <w:r w:rsidRPr="00EA3458">
        <w:t>O</w:t>
      </w:r>
      <w:r w:rsidR="00A83A6C" w:rsidRPr="00EA3458">
        <w:t>R 3</w:t>
      </w:r>
      <w:r w:rsidRPr="00EA3458">
        <w:t xml:space="preserve">, the literature review </w:t>
      </w:r>
      <w:r w:rsidR="00A83A6C" w:rsidRPr="00EA3458">
        <w:t xml:space="preserve">also drew from an ongoing systematic review of buprenorphine studies, being conducted by NDARC, which includes </w:t>
      </w:r>
      <w:r w:rsidR="00590BD6">
        <w:t xml:space="preserve">oral </w:t>
      </w:r>
      <w:r w:rsidR="00A83A6C" w:rsidRPr="00EA3458">
        <w:t>methadone as a comparator.</w:t>
      </w:r>
    </w:p>
    <w:p w14:paraId="0A5F6AB0" w14:textId="77777777" w:rsidR="00A83A6C" w:rsidRPr="00EA3458" w:rsidRDefault="00A83A6C" w:rsidP="007E3DC8">
      <w:pPr>
        <w:pStyle w:val="Heading4"/>
        <w:numPr>
          <w:ilvl w:val="2"/>
          <w:numId w:val="21"/>
        </w:numPr>
      </w:pPr>
      <w:r w:rsidRPr="00EA3458">
        <w:t>Primary data sources</w:t>
      </w:r>
    </w:p>
    <w:p w14:paraId="098C98CA" w14:textId="12D45F1E" w:rsidR="00A83A6C" w:rsidRPr="00EA3458" w:rsidRDefault="00A83A6C" w:rsidP="004132AD">
      <w:pPr>
        <w:pStyle w:val="Heading5"/>
      </w:pPr>
      <w:r w:rsidRPr="00EA3458">
        <w:t xml:space="preserve">Commonwealth </w:t>
      </w:r>
      <w:r w:rsidR="00992300">
        <w:t xml:space="preserve">PBS </w:t>
      </w:r>
      <w:r w:rsidRPr="00EA3458">
        <w:t>ODTP expenditure data</w:t>
      </w:r>
    </w:p>
    <w:p w14:paraId="71CE2F5B" w14:textId="10B50791" w:rsidR="00A83A6C" w:rsidRPr="00EA3458" w:rsidRDefault="00A83A6C" w:rsidP="004132AD">
      <w:r w:rsidRPr="00EA3458">
        <w:t xml:space="preserve">The </w:t>
      </w:r>
      <w:r w:rsidR="00043CD9">
        <w:t>Australian</w:t>
      </w:r>
      <w:r w:rsidRPr="00EA3458">
        <w:t xml:space="preserve"> Government receives monthly data from </w:t>
      </w:r>
      <w:r w:rsidR="00992300">
        <w:t xml:space="preserve">PBS </w:t>
      </w:r>
      <w:r w:rsidRPr="00EA3458">
        <w:t>ODTP medicine suppliers on the number of medicine packs supplied, the costs of these and the locations to which these have been delivered.</w:t>
      </w:r>
    </w:p>
    <w:p w14:paraId="0DFBBC2F" w14:textId="14429DE1" w:rsidR="00A83A6C" w:rsidRPr="00EA3458" w:rsidRDefault="00A83A6C" w:rsidP="004132AD">
      <w:r w:rsidRPr="00EA3458">
        <w:t xml:space="preserve">The Department does not hold individual patient level dispensing data for these medicines. Dosing points order medicines directly from the pharmaceutical companies at no cost, and the Commonwealth pays the full cost of the medicines directly to the </w:t>
      </w:r>
      <w:r w:rsidR="00590BD6">
        <w:t>pharmaceutical companies</w:t>
      </w:r>
      <w:r w:rsidRPr="00EA3458">
        <w:t>.</w:t>
      </w:r>
    </w:p>
    <w:p w14:paraId="0D6F0FF3" w14:textId="77777777" w:rsidR="00A83A6C" w:rsidRPr="00EA3458" w:rsidRDefault="00A83A6C" w:rsidP="004132AD">
      <w:pPr>
        <w:pStyle w:val="Heading5"/>
      </w:pPr>
      <w:r w:rsidRPr="00EA3458">
        <w:t>Australian National Opioid Pharmacotherapy Statistics Annual Data</w:t>
      </w:r>
    </w:p>
    <w:p w14:paraId="78C38B94" w14:textId="633995FF" w:rsidR="00A83A6C" w:rsidRPr="00EA3458" w:rsidRDefault="00A83A6C" w:rsidP="004132AD">
      <w:r w:rsidRPr="00EA3458">
        <w:t xml:space="preserve">The National Opioid Pharmacotherapy Statistics Annual Data (NOPSAD) collection by the Australian Institute of Health and Welfare comprises data collected by state and territory health departments about opioid pharmacotherapy </w:t>
      </w:r>
      <w:r w:rsidR="00441126" w:rsidRPr="00EA3458">
        <w:t>consumer</w:t>
      </w:r>
      <w:r w:rsidRPr="00EA3458">
        <w:t>s, prescribers, and dosing points. Each jurisdiction uses different methods to collect data about the pharmacotherapy</w:t>
      </w:r>
      <w:r w:rsidR="00853F7C">
        <w:t xml:space="preserve"> (i.e. ODT medicines)</w:t>
      </w:r>
      <w:r w:rsidRPr="00EA3458">
        <w:t xml:space="preserve"> used to treat those with opioid dependence. The data are a mix of survey and administrative data. Data between 2016 and 2021 are summarised in the current report. Further information </w:t>
      </w:r>
      <w:r w:rsidRPr="000B6BFB">
        <w:t xml:space="preserve">can be found in the annual </w:t>
      </w:r>
      <w:hyperlink r:id="rId12" w:history="1">
        <w:r w:rsidR="00DC7896" w:rsidRPr="00590BD6">
          <w:rPr>
            <w:rStyle w:val="Hyperlink"/>
          </w:rPr>
          <w:t>NOPSAD</w:t>
        </w:r>
        <w:r w:rsidRPr="00590BD6">
          <w:rPr>
            <w:rStyle w:val="Hyperlink"/>
          </w:rPr>
          <w:t xml:space="preserve"> Report</w:t>
        </w:r>
      </w:hyperlink>
      <w:r w:rsidR="002565E6" w:rsidRPr="000B6BFB">
        <w:rPr>
          <w:rFonts w:asciiTheme="minorHAnsi" w:hAnsiTheme="minorHAnsi" w:cstheme="minorHAnsi"/>
        </w:rPr>
        <w:fldChar w:fldCharType="begin"/>
      </w:r>
      <w:r w:rsidR="002565E6">
        <w:rPr>
          <w:rFonts w:asciiTheme="minorHAnsi" w:hAnsiTheme="minorHAnsi" w:cstheme="minorHAnsi"/>
        </w:rPr>
        <w:instrText xml:space="preserve"> ADDIN EN.CITE &lt;EndNote&gt;&lt;Cite&gt;&lt;Author&gt;Australian Institute of Health and Welfare&lt;/Author&gt;&lt;Year&gt;2022&lt;/Year&gt;&lt;RecNum&gt;1&lt;/RecNum&gt;&lt;DisplayText&gt;&lt;style face="superscript"&gt;1&lt;/style&gt;&lt;/DisplayText&gt;&lt;record&gt;&lt;rec-number&gt;1&lt;/rec-number&gt;&lt;foreign-keys&gt;&lt;key app="EN" db-id="xssz590sx9vzw4ewpzdv0s5sret50aexdtd9" timestamp="1668645241"&gt;1&lt;/key&gt;&lt;/foreign-keys&gt;&lt;ref-type name="Report"&gt;27&lt;/ref-type&gt;&lt;contributors&gt;&lt;authors&gt;&lt;author&gt;Australian Institute of Health and Welfare,&lt;/author&gt;&lt;/authors&gt;&lt;/contributors&gt;&lt;titles&gt;&lt;title&gt;National Opioid Pharmacotherapy Statistics Annual Data (NOPSAD) collection. &lt;/title&gt;&lt;/titles&gt;&lt;volume&gt;Cat. no. PHE 266&lt;/volume&gt;&lt;dates&gt;&lt;year&gt;2022&lt;/year&gt;&lt;pub-dates&gt;&lt;date&gt;2022/11/21/&lt;/date&gt;&lt;/pub-dates&gt;&lt;/dates&gt;&lt;pub-location&gt;Canberra&lt;/pub-location&gt;&lt;publisher&gt;AIHW&lt;/publisher&gt;&lt;label&gt;BibEntry2022Feb&lt;/label&gt;&lt;urls&gt;&lt;related-urls&gt;&lt;url&gt;https://www.aihw.gov.au/reports/alcohol-other-drug-treatment-services/national-opioidpharmacotherapy-statistics&lt;/url&gt;&lt;/related-urls&gt;&lt;/urls&gt;&lt;language&gt;English&lt;/language&gt;&lt;/record&gt;&lt;/Cite&gt;&lt;/EndNote&gt;</w:instrText>
      </w:r>
      <w:r w:rsidR="002565E6" w:rsidRPr="000B6BFB">
        <w:rPr>
          <w:rFonts w:asciiTheme="minorHAnsi" w:hAnsiTheme="minorHAnsi" w:cstheme="minorHAnsi"/>
        </w:rPr>
        <w:fldChar w:fldCharType="separate"/>
      </w:r>
      <w:r w:rsidR="002565E6" w:rsidRPr="005531C9">
        <w:rPr>
          <w:rFonts w:asciiTheme="minorHAnsi" w:hAnsiTheme="minorHAnsi" w:cstheme="minorHAnsi"/>
          <w:noProof/>
          <w:vertAlign w:val="superscript"/>
        </w:rPr>
        <w:t>1</w:t>
      </w:r>
      <w:r w:rsidR="002565E6" w:rsidRPr="000B6BFB">
        <w:rPr>
          <w:rFonts w:asciiTheme="minorHAnsi" w:hAnsiTheme="minorHAnsi" w:cstheme="minorHAnsi"/>
        </w:rPr>
        <w:fldChar w:fldCharType="end"/>
      </w:r>
      <w:r w:rsidR="000B6BFB" w:rsidRPr="000B6BFB">
        <w:rPr>
          <w:rFonts w:asciiTheme="minorHAnsi" w:hAnsiTheme="minorHAnsi" w:cstheme="minorHAnsi"/>
        </w:rPr>
        <w:t>.</w:t>
      </w:r>
    </w:p>
    <w:p w14:paraId="00CEB6B6" w14:textId="77777777" w:rsidR="00A83A6C" w:rsidRPr="00EA3458" w:rsidRDefault="00A83A6C" w:rsidP="004132AD">
      <w:r w:rsidRPr="00EA3458">
        <w:t>It should be noted that data for Queensland for the 2021 NOPSAD collection was not available for inclusion in the data report, meaning comparison with other data are likely to be underestimated and caution should be taken when comparing 2021 data with previous years.</w:t>
      </w:r>
    </w:p>
    <w:p w14:paraId="15442708" w14:textId="6EB59001" w:rsidR="00A83A6C" w:rsidRPr="00EA3458" w:rsidRDefault="00A83A6C" w:rsidP="004132AD">
      <w:r w:rsidRPr="00EA3458">
        <w:t xml:space="preserve">Additionally, data for buprenorphine for NSW is grouped into a single category, while other jurisdictions have three separate categories for sublingual buprenorphine tablets, </w:t>
      </w:r>
      <w:r w:rsidRPr="00EA3458">
        <w:lastRenderedPageBreak/>
        <w:t>buprenorphine + naloxone films and long-acting injectable buprenorphine</w:t>
      </w:r>
      <w:r w:rsidR="00D810A1">
        <w:t xml:space="preserve"> (LAIB)</w:t>
      </w:r>
      <w:r w:rsidRPr="00EA3458">
        <w:t xml:space="preserve">. This causes a systematic underestimation of </w:t>
      </w:r>
      <w:r w:rsidR="00441126" w:rsidRPr="00EA3458">
        <w:t>consumer</w:t>
      </w:r>
      <w:r w:rsidRPr="00EA3458">
        <w:t xml:space="preserve">s being treated with </w:t>
      </w:r>
      <w:r w:rsidR="00D810A1">
        <w:t>LAIB</w:t>
      </w:r>
      <w:r w:rsidRPr="00EA3458">
        <w:t xml:space="preserve"> and buprenorphine + naloxone films, and an over estimation of </w:t>
      </w:r>
      <w:r w:rsidR="00441126" w:rsidRPr="00EA3458">
        <w:t>consumer</w:t>
      </w:r>
      <w:r w:rsidRPr="00EA3458">
        <w:t>s being treated with sublingual buprenorphine tablets in country-wide estimates.</w:t>
      </w:r>
    </w:p>
    <w:p w14:paraId="729A193F" w14:textId="0ED81894" w:rsidR="00A83A6C" w:rsidRPr="00EA3458" w:rsidRDefault="00A83A6C" w:rsidP="004132AD">
      <w:pPr>
        <w:pStyle w:val="Heading5"/>
      </w:pPr>
      <w:r w:rsidRPr="00EA3458">
        <w:t xml:space="preserve">CoLAB: Community Studies of </w:t>
      </w:r>
      <w:r w:rsidR="004D0AEA">
        <w:t>LAIB</w:t>
      </w:r>
    </w:p>
    <w:p w14:paraId="1CC78C33" w14:textId="77777777" w:rsidR="00A83A6C" w:rsidRPr="00EA3458" w:rsidRDefault="00A83A6C" w:rsidP="004132AD">
      <w:r w:rsidRPr="00EA3458">
        <w:t>This program of research, funded by Indivior (manufacturer of Sublocade</w:t>
      </w:r>
      <w:r w:rsidRPr="00EA3458">
        <w:rPr>
          <w:vertAlign w:val="superscript"/>
        </w:rPr>
        <w:t>®</w:t>
      </w:r>
      <w:r w:rsidRPr="00EA3458">
        <w:t xml:space="preserve">), included: </w:t>
      </w:r>
    </w:p>
    <w:p w14:paraId="2E5A379A" w14:textId="4A74A62B" w:rsidR="00A83A6C" w:rsidRPr="00EA3458" w:rsidRDefault="00A83A6C" w:rsidP="007E3DC8">
      <w:pPr>
        <w:pStyle w:val="ListParagraph"/>
        <w:numPr>
          <w:ilvl w:val="0"/>
          <w:numId w:val="12"/>
        </w:numPr>
        <w:spacing w:line="256" w:lineRule="auto"/>
      </w:pPr>
      <w:r w:rsidRPr="00EA3458">
        <w:t xml:space="preserve">a pre-implementation survey of 400 people regularly using opioids, conducted prior to availability of </w:t>
      </w:r>
      <w:r w:rsidR="00890963">
        <w:t xml:space="preserve">LAIB </w:t>
      </w:r>
      <w:r w:rsidRPr="00EA3458">
        <w:t>in Australia, which evaluated willingness to receive the new formulation</w:t>
      </w:r>
      <w:r w:rsidR="002565E6" w:rsidRPr="00EA3458">
        <w:fldChar w:fldCharType="begin">
          <w:fldData xml:space="preserve">PEVuZE5vdGU+PENpdGU+PEF1dGhvcj5MYXJhbmNlPC9BdXRob3I+PFllYXI+MjAyMDwvWWVhcj48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</w:fldData>
        </w:fldChar>
      </w:r>
      <w:r w:rsidR="002565E6">
        <w:instrText xml:space="preserve"> ADDIN EN.CITE </w:instrText>
      </w:r>
      <w:r w:rsidR="002565E6">
        <w:fldChar w:fldCharType="begin">
          <w:fldData xml:space="preserve">PEVuZE5vdGU+PENpdGU+PEF1dGhvcj5MYXJhbmNlPC9BdXRob3I+PFllYXI+MjAyMDwvWWVhcj48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</w:fldData>
        </w:fldChar>
      </w:r>
      <w:r w:rsidR="002565E6">
        <w:instrText xml:space="preserve"> ADDIN EN.CITE.DATA </w:instrText>
      </w:r>
      <w:r w:rsidR="002565E6">
        <w:fldChar w:fldCharType="end"/>
      </w:r>
      <w:r w:rsidR="002565E6" w:rsidRPr="00EA3458">
        <w:fldChar w:fldCharType="separate"/>
      </w:r>
      <w:r w:rsidR="002565E6" w:rsidRPr="005531C9">
        <w:rPr>
          <w:noProof/>
          <w:vertAlign w:val="superscript"/>
        </w:rPr>
        <w:t>2</w:t>
      </w:r>
      <w:r w:rsidR="002565E6" w:rsidRPr="00EA3458">
        <w:fldChar w:fldCharType="end"/>
      </w:r>
      <w:r w:rsidRPr="00EA3458">
        <w:t xml:space="preserve">, costs borne by </w:t>
      </w:r>
      <w:r w:rsidR="00441126" w:rsidRPr="00EA3458">
        <w:t>consumer</w:t>
      </w:r>
      <w:r w:rsidRPr="00EA3458">
        <w:t>s for receiving O</w:t>
      </w:r>
      <w:r w:rsidR="005E4E29">
        <w:t>DT medicines</w:t>
      </w:r>
      <w:r w:rsidRPr="00EA3458">
        <w:fldChar w:fldCharType="begin"/>
      </w:r>
      <w:r w:rsidR="00646D54">
        <w:instrText xml:space="preserve"> ADDIN EN.CITE &lt;EndNote&gt;&lt;Cite&gt;&lt;Author&gt;Tran&lt;/Author&gt;&lt;Year&gt;2022&lt;/Year&gt;&lt;RecNum&gt;3&lt;/RecNum&gt;&lt;DisplayText&gt;&lt;style face="superscript"&gt;3, 4&lt;/style&gt;&lt;/DisplayText&gt;&lt;record&gt;&lt;rec-number&gt;3&lt;/rec-number&gt;&lt;foreign-keys&gt;&lt;key app="EN" db-id="xssz590sx9vzw4ewpzdv0s5sret50aexdtd9" timestamp="1668645249"&gt;3&lt;/key&gt;&lt;/foreign-keys&gt;&lt;ref-type name="Journal Article"&gt;17&lt;/ref-type&gt;&lt;contributors&gt;&lt;authors&gt;&lt;author&gt;Tran, A.&lt;/author&gt;&lt;author&gt;Chen, R.&lt;/author&gt;&lt;author&gt;Nielsen, S. &lt;/author&gt;&lt;author&gt;Zahra, E. &lt;/author&gt;&lt;author&gt;Degenhardt, L.&lt;/author&gt;&lt;author&gt;Santo, T.&lt;/author&gt;&lt;author&gt;Farrell, M.&lt;/author&gt;&lt;author&gt;Larance, B.&lt;/author&gt;&lt;/authors&gt;&lt;/contributors&gt;&lt;titles&gt;&lt;title&gt;Economic analysis of out-of-pocket costs among people in opioid agonist treatment: A cross-sectional survey in three Australian jurisdictions&lt;/title&gt;&lt;secondary-title&gt;International Journal of Drug Policy&lt;/secondary-title&gt;&lt;/titles&gt;&lt;volume&gt;99&lt;/volume&gt;&lt;dates&gt;&lt;year&gt;2022&lt;/year&gt;&lt;/dates&gt;&lt;urls&gt;&lt;/urls&gt;&lt;/record&gt;&lt;/Cite&gt;&lt;Cite&gt;&lt;Author&gt;Zahra&lt;/Author&gt;&lt;Year&gt;2022&lt;/Year&gt;&lt;RecNum&gt;4&lt;/RecNum&gt;&lt;record&gt;&lt;rec-number&gt;4&lt;/rec-number&gt;&lt;foreign-keys&gt;&lt;key app="EN" db-id="xssz590sx9vzw4ewpzdv0s5sret50aexdtd9" timestamp="1668645253"&gt;4&lt;/key&gt;&lt;/foreign-keys&gt;&lt;ref-type name="Journal Article"&gt;17&lt;/ref-type&gt;&lt;contributors&gt;&lt;authors&gt;&lt;author&gt;Zahra, Emma&lt;/author&gt;&lt;author&gt;Chen, Rory&lt;/author&gt;&lt;author&gt;Nielsen, Suzanne&lt;/author&gt;&lt;author&gt;Tran, Anh&lt;/author&gt;&lt;author&gt;Santo, Thomas&lt;/author&gt;&lt;author&gt;Degenhardt, Louisa&lt;/author&gt;&lt;author&gt;Farrell, Michael&lt;/author&gt;&lt;author&gt;Byrne, Jude&lt;/author&gt;&lt;author&gt;Ali, Robert&lt;/author&gt;&lt;author&gt;Larance, Briony&lt;/author&gt;&lt;/authors&gt;&lt;/contributors&gt;&lt;titles&gt;&lt;title&gt;Examining the cost and impact of dosing fees among clients in opioid agonist treatment: Results from a cross-sectional survey of Australian treatment clients&lt;/title&gt;&lt;secondary-title&gt;Drug and Alchol Review&lt;/secondary-title&gt;&lt;/titles&gt;&lt;dates&gt;&lt;year&gt;2022&lt;/year&gt;&lt;/dates&gt;&lt;urls&gt;&lt;/urls&gt;&lt;/record&gt;&lt;/Cite&gt;&lt;/EndNote&gt;</w:instrText>
      </w:r>
      <w:r w:rsidRPr="00EA3458">
        <w:fldChar w:fldCharType="separate"/>
      </w:r>
      <w:r w:rsidR="002565E6" w:rsidRPr="005531C9">
        <w:rPr>
          <w:noProof/>
          <w:vertAlign w:val="superscript"/>
        </w:rPr>
        <w:t>3</w:t>
      </w:r>
      <w:r w:rsidR="005531C9" w:rsidRPr="005531C9">
        <w:rPr>
          <w:noProof/>
          <w:vertAlign w:val="superscript"/>
        </w:rPr>
        <w:t xml:space="preserve">, </w:t>
      </w:r>
      <w:r w:rsidR="002565E6" w:rsidRPr="005531C9">
        <w:rPr>
          <w:noProof/>
          <w:vertAlign w:val="superscript"/>
        </w:rPr>
        <w:t>4</w:t>
      </w:r>
      <w:r w:rsidRPr="00EA3458">
        <w:fldChar w:fldCharType="end"/>
      </w:r>
      <w:r w:rsidRPr="00EA3458">
        <w:t xml:space="preserve">, and barriers and facilitators to treatment (manuscript in preparation); </w:t>
      </w:r>
    </w:p>
    <w:p w14:paraId="5613D5D4" w14:textId="7096698E" w:rsidR="00A83A6C" w:rsidRPr="00EA3458" w:rsidRDefault="00A83A6C" w:rsidP="007E3DC8">
      <w:pPr>
        <w:pStyle w:val="ListParagraph"/>
        <w:numPr>
          <w:ilvl w:val="0"/>
          <w:numId w:val="12"/>
        </w:numPr>
        <w:spacing w:line="256" w:lineRule="auto"/>
      </w:pPr>
      <w:r w:rsidRPr="00EA3458">
        <w:t xml:space="preserve">a single arm implementation trial of </w:t>
      </w:r>
      <w:r w:rsidR="00890963">
        <w:t xml:space="preserve">LAIB </w:t>
      </w:r>
      <w:r w:rsidRPr="00EA3458">
        <w:t xml:space="preserve">in 100 people recruited from </w:t>
      </w:r>
      <w:r w:rsidR="00FB4EB6">
        <w:t>6</w:t>
      </w:r>
      <w:r w:rsidR="00FB4EB6" w:rsidRPr="00EA3458">
        <w:t xml:space="preserve"> </w:t>
      </w:r>
      <w:r w:rsidRPr="00EA3458">
        <w:t>specialist and primary care clinics in NSW, VIC, and SA</w:t>
      </w:r>
      <w:r w:rsidRPr="00EA3458">
        <w:fldChar w:fldCharType="begin">
          <w:fldData xml:space="preserve">PEVuZE5vdGU+PENpdGU+PEF1dGhvcj5GYXJyZWxsPC9BdXRob3I+PFllYXI+MjAyMjwvWWVhcj48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</w:fldData>
        </w:fldChar>
      </w:r>
      <w:r w:rsidR="00646D54">
        <w:instrText xml:space="preserve"> ADDIN EN.CITE </w:instrText>
      </w:r>
      <w:r w:rsidR="00646D54">
        <w:fldChar w:fldCharType="begin">
          <w:fldData xml:space="preserve">PEVuZE5vdGU+PENpdGU+PEF1dGhvcj5GYXJyZWxsPC9BdXRob3I+PFllYXI+MjAyMjwvWWVhcj48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</w:fldData>
        </w:fldChar>
      </w:r>
      <w:r w:rsidR="00646D54">
        <w:instrText xml:space="preserve"> ADDIN EN.CITE.DATA </w:instrText>
      </w:r>
      <w:r w:rsidR="00646D54">
        <w:fldChar w:fldCharType="end"/>
      </w:r>
      <w:r w:rsidRPr="00EA3458">
        <w:fldChar w:fldCharType="separate"/>
      </w:r>
      <w:r w:rsidR="002565E6" w:rsidRPr="005531C9">
        <w:rPr>
          <w:noProof/>
          <w:vertAlign w:val="superscript"/>
        </w:rPr>
        <w:t>5</w:t>
      </w:r>
      <w:r w:rsidR="005531C9" w:rsidRPr="005531C9">
        <w:rPr>
          <w:noProof/>
          <w:vertAlign w:val="superscript"/>
        </w:rPr>
        <w:t xml:space="preserve">, </w:t>
      </w:r>
      <w:r w:rsidR="002565E6" w:rsidRPr="005531C9">
        <w:rPr>
          <w:noProof/>
          <w:vertAlign w:val="superscript"/>
        </w:rPr>
        <w:t>6</w:t>
      </w:r>
      <w:r w:rsidRPr="00EA3458">
        <w:fldChar w:fldCharType="end"/>
      </w:r>
      <w:r w:rsidRPr="00EA3458">
        <w:t xml:space="preserve">; </w:t>
      </w:r>
    </w:p>
    <w:p w14:paraId="51FEF969" w14:textId="5F19B32A" w:rsidR="00A83A6C" w:rsidRPr="00EA3458" w:rsidRDefault="00A83A6C" w:rsidP="007E3DC8">
      <w:pPr>
        <w:pStyle w:val="ListParagraph"/>
        <w:numPr>
          <w:ilvl w:val="0"/>
          <w:numId w:val="12"/>
        </w:numPr>
        <w:spacing w:line="256" w:lineRule="auto"/>
      </w:pPr>
      <w:r w:rsidRPr="00EA3458">
        <w:t xml:space="preserve">in-depth qualitative research interviews with </w:t>
      </w:r>
      <w:r w:rsidR="00441126" w:rsidRPr="00EA3458">
        <w:t>consumer</w:t>
      </w:r>
      <w:r w:rsidRPr="00EA3458">
        <w:t xml:space="preserve">s, providers and policymakers exploring barriers and facilitators to treatment (Lancaster et al., under review; Treloar et al., under review); and </w:t>
      </w:r>
    </w:p>
    <w:p w14:paraId="3DB3115A" w14:textId="555C6CCA" w:rsidR="00A83A6C" w:rsidRPr="00EA3458" w:rsidRDefault="00A83A6C" w:rsidP="007E3DC8">
      <w:pPr>
        <w:pStyle w:val="ListParagraph"/>
        <w:numPr>
          <w:ilvl w:val="0"/>
          <w:numId w:val="12"/>
        </w:numPr>
        <w:spacing w:line="256" w:lineRule="auto"/>
      </w:pPr>
      <w:r w:rsidRPr="00EA3458">
        <w:t xml:space="preserve">costing of treatment delivery at the </w:t>
      </w:r>
      <w:r w:rsidR="00FB4EB6">
        <w:t>6</w:t>
      </w:r>
      <w:r w:rsidR="00FB4EB6" w:rsidRPr="00EA3458">
        <w:t xml:space="preserve"> </w:t>
      </w:r>
      <w:r w:rsidRPr="00EA3458">
        <w:t xml:space="preserve">sites involved in the implementation trial (manuscript in preparation). </w:t>
      </w:r>
    </w:p>
    <w:p w14:paraId="19AD8C3B" w14:textId="77777777" w:rsidR="00A83A6C" w:rsidRPr="00EA3458" w:rsidRDefault="00A83A6C" w:rsidP="004132AD">
      <w:pPr>
        <w:pStyle w:val="Heading5"/>
      </w:pPr>
      <w:r w:rsidRPr="00EA3458">
        <w:t>ETHOS Engage: Enhancing Treatment of Hepatitis C in Opioid Substitution Settings</w:t>
      </w:r>
    </w:p>
    <w:p w14:paraId="31E96171" w14:textId="75F47855" w:rsidR="00A83A6C" w:rsidRPr="00EA3458" w:rsidRDefault="00A83A6C" w:rsidP="004132AD">
      <w:r w:rsidRPr="00EA3458">
        <w:t xml:space="preserve">ETHOS Engage is an observational cohort study evaluating testing, treatment, and hepatitis C prevalence among people attending drug treatment clinics and needle syringe programs </w:t>
      </w:r>
      <w:r w:rsidR="00B86C9A">
        <w:br/>
      </w:r>
      <w:r w:rsidRPr="00EA3458">
        <w:t>(17 sites in NSW)</w:t>
      </w:r>
      <w:r w:rsidR="002565E6" w:rsidRPr="00EA3458">
        <w:rPr>
          <w:rFonts w:ascii="Source Sans Pro" w:hAnsi="Source Sans Pro"/>
          <w:color w:val="000000"/>
          <w:sz w:val="23"/>
          <w:szCs w:val="23"/>
          <w:shd w:val="clear" w:color="auto" w:fill="FFFFFF"/>
        </w:rPr>
        <w:fldChar w:fldCharType="begin">
          <w:fldData xml:space="preserve">PEVuZE5vdGU+PENpdGU+PEF1dGhvcj5WYWxlcmlvPC9BdXRob3I+PFllYXI+MjAyMTwvWWVhcj48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</w:fldData>
        </w:fldChar>
      </w:r>
      <w:r w:rsidR="002565E6">
        <w:rPr>
          <w:rFonts w:ascii="Source Sans Pro" w:hAnsi="Source Sans Pro"/>
          <w:color w:val="000000"/>
          <w:sz w:val="23"/>
          <w:szCs w:val="23"/>
          <w:shd w:val="clear" w:color="auto" w:fill="FFFFFF"/>
        </w:rPr>
        <w:instrText xml:space="preserve"> ADDIN EN.CITE </w:instrText>
      </w:r>
      <w:r w:rsidR="002565E6">
        <w:rPr>
          <w:rFonts w:ascii="Source Sans Pro" w:hAnsi="Source Sans Pro"/>
          <w:color w:val="000000"/>
          <w:sz w:val="23"/>
          <w:szCs w:val="23"/>
          <w:shd w:val="clear" w:color="auto" w:fill="FFFFFF"/>
        </w:rPr>
        <w:fldChar w:fldCharType="begin">
          <w:fldData xml:space="preserve">PEVuZE5vdGU+PENpdGU+PEF1dGhvcj5WYWxlcmlvPC9BdXRob3I+PFllYXI+MjAyMTwvWWVhcj48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</w:fldData>
        </w:fldChar>
      </w:r>
      <w:r w:rsidR="002565E6">
        <w:rPr>
          <w:rFonts w:ascii="Source Sans Pro" w:hAnsi="Source Sans Pro"/>
          <w:color w:val="000000"/>
          <w:sz w:val="23"/>
          <w:szCs w:val="23"/>
          <w:shd w:val="clear" w:color="auto" w:fill="FFFFFF"/>
        </w:rPr>
        <w:instrText xml:space="preserve"> ADDIN EN.CITE.DATA </w:instrText>
      </w:r>
      <w:r w:rsidR="002565E6">
        <w:rPr>
          <w:rFonts w:ascii="Source Sans Pro" w:hAnsi="Source Sans Pro"/>
          <w:color w:val="000000"/>
          <w:sz w:val="23"/>
          <w:szCs w:val="23"/>
          <w:shd w:val="clear" w:color="auto" w:fill="FFFFFF"/>
        </w:rPr>
      </w:r>
      <w:r w:rsidR="002565E6">
        <w:rPr>
          <w:rFonts w:ascii="Source Sans Pro" w:hAnsi="Source Sans Pro"/>
          <w:color w:val="000000"/>
          <w:sz w:val="23"/>
          <w:szCs w:val="23"/>
          <w:shd w:val="clear" w:color="auto" w:fill="FFFFFF"/>
        </w:rPr>
        <w:fldChar w:fldCharType="end"/>
      </w:r>
      <w:r w:rsidR="002565E6" w:rsidRPr="00EA3458">
        <w:rPr>
          <w:rFonts w:ascii="Source Sans Pro" w:hAnsi="Source Sans Pro"/>
          <w:color w:val="000000"/>
          <w:sz w:val="23"/>
          <w:szCs w:val="23"/>
          <w:shd w:val="clear" w:color="auto" w:fill="FFFFFF"/>
        </w:rPr>
      </w:r>
      <w:r w:rsidR="002565E6" w:rsidRPr="00EA3458">
        <w:rPr>
          <w:rFonts w:ascii="Source Sans Pro" w:hAnsi="Source Sans Pro"/>
          <w:color w:val="000000"/>
          <w:sz w:val="23"/>
          <w:szCs w:val="23"/>
          <w:shd w:val="clear" w:color="auto" w:fill="FFFFFF"/>
        </w:rPr>
        <w:fldChar w:fldCharType="separate"/>
      </w:r>
      <w:r w:rsidR="002565E6" w:rsidRPr="005531C9">
        <w:rPr>
          <w:rFonts w:ascii="Source Sans Pro" w:hAnsi="Source Sans Pro"/>
          <w:noProof/>
          <w:color w:val="000000"/>
          <w:sz w:val="23"/>
          <w:szCs w:val="23"/>
          <w:shd w:val="clear" w:color="auto" w:fill="FFFFFF"/>
          <w:vertAlign w:val="superscript"/>
        </w:rPr>
        <w:t>7</w:t>
      </w:r>
      <w:r w:rsidR="002565E6" w:rsidRPr="00EA3458">
        <w:rPr>
          <w:rFonts w:ascii="Source Sans Pro" w:hAnsi="Source Sans Pro"/>
          <w:color w:val="000000"/>
          <w:sz w:val="23"/>
          <w:szCs w:val="23"/>
          <w:shd w:val="clear" w:color="auto" w:fill="FFFFFF"/>
        </w:rPr>
        <w:fldChar w:fldCharType="end"/>
      </w:r>
      <w:r w:rsidRPr="00EA3458">
        <w:t xml:space="preserve">. Eligible participants are people with a history of injecting drug use, either in the last 6 months, or currently receiving opioid agonist therapy. At enrolment, participants were invited to complete a questionnaire, providing information on drug use, drug treatment, and hepatitis C testing and treatment. The first wave of ETHOS Engage enrolment was </w:t>
      </w:r>
      <w:r w:rsidR="00B86C9A">
        <w:br/>
      </w:r>
      <w:r w:rsidRPr="00EA3458">
        <w:t>May 2018</w:t>
      </w:r>
      <w:r w:rsidR="00B86C9A">
        <w:t xml:space="preserve"> </w:t>
      </w:r>
      <w:r w:rsidRPr="00EA3458">
        <w:t>–</w:t>
      </w:r>
      <w:r w:rsidR="00B86C9A">
        <w:t xml:space="preserve"> </w:t>
      </w:r>
      <w:r w:rsidRPr="00EA3458">
        <w:t xml:space="preserve">September 2019 and the second wave of recruitment was November 2019 and </w:t>
      </w:r>
      <w:r w:rsidR="00B86C9A">
        <w:br/>
      </w:r>
      <w:r w:rsidRPr="00EA3458">
        <w:t xml:space="preserve">June 2021. </w:t>
      </w:r>
    </w:p>
    <w:p w14:paraId="614BF3C1" w14:textId="77777777" w:rsidR="00A83A6C" w:rsidRPr="00EA3458" w:rsidRDefault="00A83A6C" w:rsidP="004132AD">
      <w:pPr>
        <w:pStyle w:val="Heading5"/>
      </w:pPr>
      <w:r w:rsidRPr="00EA3458">
        <w:t>PREFER</w:t>
      </w:r>
    </w:p>
    <w:p w14:paraId="39D32CCC" w14:textId="0CC85562" w:rsidR="00A83A6C" w:rsidRPr="00EA3458" w:rsidRDefault="00A83A6C" w:rsidP="004132AD">
      <w:pPr>
        <w:rPr>
          <w:rStyle w:val="eop"/>
          <w:rFonts w:asciiTheme="majorHAnsi" w:eastAsiaTheme="majorEastAsia" w:hAnsiTheme="majorHAnsi" w:cstheme="minorHAnsi"/>
          <w:color w:val="2F5496" w:themeColor="accent1" w:themeShade="BF"/>
        </w:rPr>
      </w:pPr>
      <w:r w:rsidRPr="00EA3458">
        <w:t>PREFER is a cross-sectional cohort study</w:t>
      </w:r>
      <w:r w:rsidRPr="00EA3458">
        <w:rPr>
          <w:rStyle w:val="eop"/>
          <w:rFonts w:cstheme="minorHAnsi"/>
        </w:rPr>
        <w:t xml:space="preserve"> evaluating </w:t>
      </w:r>
      <w:r w:rsidR="00441126" w:rsidRPr="00EA3458">
        <w:rPr>
          <w:rStyle w:val="eop"/>
          <w:rFonts w:cstheme="minorHAnsi"/>
        </w:rPr>
        <w:t>consumer</w:t>
      </w:r>
      <w:r w:rsidRPr="00EA3458">
        <w:rPr>
          <w:rStyle w:val="eop"/>
          <w:rFonts w:cstheme="minorHAnsi"/>
        </w:rPr>
        <w:t xml:space="preserve"> preferences for O</w:t>
      </w:r>
      <w:r w:rsidR="005E4E29">
        <w:rPr>
          <w:rStyle w:val="eop"/>
          <w:rFonts w:cstheme="minorHAnsi"/>
        </w:rPr>
        <w:t>D</w:t>
      </w:r>
      <w:r w:rsidRPr="00EA3458">
        <w:rPr>
          <w:rStyle w:val="eop"/>
          <w:rFonts w:cstheme="minorHAnsi"/>
        </w:rPr>
        <w:t>T</w:t>
      </w:r>
      <w:r w:rsidR="005E4E29">
        <w:rPr>
          <w:rStyle w:val="eop"/>
          <w:rFonts w:cstheme="minorHAnsi"/>
        </w:rPr>
        <w:t xml:space="preserve"> medicines</w:t>
      </w:r>
      <w:r w:rsidRPr="00EA3458">
        <w:rPr>
          <w:rStyle w:val="eop"/>
          <w:rFonts w:cstheme="minorHAnsi"/>
        </w:rPr>
        <w:t xml:space="preserve"> in Australia among people attending drug and alcohol treatment clinics</w:t>
      </w:r>
      <w:r w:rsidRPr="00EA3458">
        <w:rPr>
          <w:rStyle w:val="eop"/>
          <w:rFonts w:cstheme="minorHAnsi"/>
        </w:rPr>
        <w:fldChar w:fldCharType="begin"/>
      </w:r>
      <w:r w:rsidR="00646D54">
        <w:rPr>
          <w:rStyle w:val="eop"/>
          <w:rFonts w:cstheme="minorHAnsi"/>
        </w:rPr>
        <w:instrText xml:space="preserve"> ADDIN EN.CITE &lt;EndNote&gt;&lt;Cite&gt;&lt;Author&gt;Grebely&lt;/Author&gt;&lt;Year&gt;in preparation&lt;/Year&gt;&lt;RecNum&gt;8&lt;/RecNum&gt;&lt;DisplayText&gt;&lt;style face="superscript"&gt;8, 9&lt;/style&gt;&lt;/DisplayText&gt;&lt;record&gt;&lt;rec-number&gt;8&lt;/rec-number&gt;&lt;foreign-keys&gt;&lt;key app="EN" db-id="xssz590sx9vzw4ewpzdv0s5sret50aexdtd9" timestamp="1668645269"&gt;8&lt;/key&gt;&lt;/foreign-keys&gt;&lt;ref-type name="Journal Article"&gt;17&lt;/ref-type&gt;&lt;contributors&gt;&lt;authors&gt;&lt;author&gt;Grebely, J.&lt;/author&gt;&lt;author&gt;et al&lt;/author&gt;&lt;/authors&gt;&lt;/contributors&gt;&lt;titles&gt;&lt;title&gt;The PREFER study: preferences of people who are opioid dependent for their opioid agonist treatment.&lt;/title&gt;&lt;/titles&gt;&lt;dates&gt;&lt;year&gt;in preparation&lt;/year&gt;&lt;/dates&gt;&lt;urls&gt;&lt;/urls&gt;&lt;/record&gt;&lt;/Cite&gt;&lt;Cite&gt;&lt;Author&gt;Degenhardt&lt;/Author&gt;&lt;Year&gt;2021&lt;/Year&gt;&lt;RecNum&gt;9&lt;/RecNum&gt;&lt;record&gt;&lt;rec-number&gt;9&lt;/rec-number&gt;&lt;foreign-keys&gt;&lt;key app="EN" db-id="xssz590sx9vzw4ewpzdv0s5sret50aexdtd9" timestamp="1668645273"&gt;9&lt;/key&gt;&lt;/foreign-keys&gt;&lt;ref-type name="Conference Paper"&gt;47&lt;/ref-type&gt;&lt;contributors&gt;&lt;authors&gt;&lt;author&gt;Degenhardt, L.&lt;/author&gt;&lt;/authors&gt;&lt;/contributors&gt;&lt;titles&gt;&lt;title&gt;Preferences for opioid agonist treatment among people who regularly use opioids in Australia: The PREFER study&lt;/title&gt;&lt;secondary-title&gt;INHSU&lt;/secondary-title&gt;&lt;/titles&gt;&lt;dates&gt;&lt;year&gt;2021&lt;/year&gt;&lt;/dates&gt;&lt;urls&gt;&lt;/urls&gt;&lt;/record&gt;&lt;/Cite&gt;&lt;/EndNote&gt;</w:instrText>
      </w:r>
      <w:r w:rsidRPr="00EA3458">
        <w:rPr>
          <w:rStyle w:val="eop"/>
          <w:rFonts w:cstheme="minorHAnsi"/>
        </w:rPr>
        <w:fldChar w:fldCharType="separate"/>
      </w:r>
      <w:r w:rsidR="002565E6" w:rsidRPr="005531C9">
        <w:rPr>
          <w:rStyle w:val="eop"/>
          <w:rFonts w:cstheme="minorHAnsi"/>
          <w:noProof/>
          <w:vertAlign w:val="superscript"/>
        </w:rPr>
        <w:t>8</w:t>
      </w:r>
      <w:r w:rsidR="005531C9" w:rsidRPr="005531C9">
        <w:rPr>
          <w:rStyle w:val="eop"/>
          <w:rFonts w:cstheme="minorHAnsi"/>
          <w:noProof/>
          <w:vertAlign w:val="superscript"/>
        </w:rPr>
        <w:t xml:space="preserve">, </w:t>
      </w:r>
      <w:r w:rsidR="002565E6" w:rsidRPr="005531C9">
        <w:rPr>
          <w:rStyle w:val="eop"/>
          <w:rFonts w:cstheme="minorHAnsi"/>
          <w:noProof/>
          <w:vertAlign w:val="superscript"/>
        </w:rPr>
        <w:t>9</w:t>
      </w:r>
      <w:r w:rsidRPr="00EA3458">
        <w:rPr>
          <w:rStyle w:val="eop"/>
          <w:rFonts w:cstheme="minorHAnsi"/>
        </w:rPr>
        <w:fldChar w:fldCharType="end"/>
      </w:r>
      <w:r w:rsidRPr="00EA3458">
        <w:rPr>
          <w:rStyle w:val="eop"/>
          <w:rFonts w:cstheme="minorHAnsi"/>
        </w:rPr>
        <w:t xml:space="preserve">. Eligible participants were people who have current opioid dependence (defined as having used opioids in 21 of the past 28 days). At enrolment, participants were contacted over the phone or videoconference and invited to complete an interviewer-administered questionnaire, providing information on </w:t>
      </w:r>
      <w:r w:rsidR="00441126" w:rsidRPr="00EA3458">
        <w:rPr>
          <w:rStyle w:val="eop"/>
          <w:rFonts w:cstheme="minorHAnsi"/>
        </w:rPr>
        <w:t>consumer</w:t>
      </w:r>
      <w:r w:rsidRPr="00EA3458">
        <w:rPr>
          <w:rStyle w:val="eop"/>
          <w:rFonts w:cstheme="minorHAnsi"/>
        </w:rPr>
        <w:t xml:space="preserve"> preferences for O</w:t>
      </w:r>
      <w:r w:rsidR="005E4E29">
        <w:rPr>
          <w:rStyle w:val="eop"/>
          <w:rFonts w:cstheme="minorHAnsi"/>
        </w:rPr>
        <w:t>D</w:t>
      </w:r>
      <w:r w:rsidRPr="00EA3458">
        <w:rPr>
          <w:rStyle w:val="eop"/>
          <w:rFonts w:cstheme="minorHAnsi"/>
        </w:rPr>
        <w:t>T</w:t>
      </w:r>
      <w:r w:rsidR="005E4E29">
        <w:rPr>
          <w:rStyle w:val="eop"/>
          <w:rFonts w:cstheme="minorHAnsi"/>
        </w:rPr>
        <w:t xml:space="preserve"> medicines</w:t>
      </w:r>
      <w:r w:rsidRPr="00EA3458">
        <w:rPr>
          <w:rStyle w:val="eop"/>
          <w:rFonts w:cstheme="minorHAnsi"/>
        </w:rPr>
        <w:t>, demographics, drug and alcohol use, and drug treatment uptake. Participants were enrolled between October 2020 and April 2021.</w:t>
      </w:r>
    </w:p>
    <w:p w14:paraId="756A6759" w14:textId="77777777" w:rsidR="00A83A6C" w:rsidRPr="00EA3458" w:rsidRDefault="00A83A6C" w:rsidP="004132AD">
      <w:pPr>
        <w:pStyle w:val="Heading5"/>
      </w:pPr>
      <w:r w:rsidRPr="00EA3458">
        <w:t>MedicineInsight</w:t>
      </w:r>
    </w:p>
    <w:p w14:paraId="703842B0" w14:textId="10147C5A" w:rsidR="00A83A6C" w:rsidRPr="00EA3458" w:rsidRDefault="00A83A6C" w:rsidP="004132AD">
      <w:r w:rsidRPr="00EA3458">
        <w:t>MedicineInsight is a large-scale primary care data set of longitudinal de-identified electronic health records in Australia.</w:t>
      </w:r>
      <w:r w:rsidR="00415D94" w:rsidRPr="00EA3458">
        <w:t xml:space="preserve"> It</w:t>
      </w:r>
      <w:r w:rsidRPr="00EA3458">
        <w:t xml:space="preserve"> uses third-party data extraction tools to extract, de-identify, </w:t>
      </w:r>
      <w:r w:rsidR="00F25AED" w:rsidRPr="00EA3458">
        <w:t>encrypt,</w:t>
      </w:r>
      <w:r w:rsidRPr="00EA3458">
        <w:t xml:space="preserve"> and securely transmit whole-of-practice data from the clinical information systems of general practices. Patient level data are de-identified ‘at source’ meaning patients’ personal identifiers such as name, date of birth and address are not extracted by the tool. However, each patient is assigned a unique number which allows all the records (clinical, </w:t>
      </w:r>
      <w:r w:rsidRPr="00EA3458">
        <w:lastRenderedPageBreak/>
        <w:t>prescription, referral etc) held in the database to be linked to the associated patient number. The process of collecting patient data achieves a data collection that meets the definition of non-identified data in the NHMRC National Statement on Ethical Conduct in Human Research.</w:t>
      </w:r>
    </w:p>
    <w:p w14:paraId="2CA9F1CB" w14:textId="70A6DE3D" w:rsidR="00A83A6C" w:rsidRPr="00EA3458" w:rsidRDefault="00A83A6C" w:rsidP="004132AD">
      <w:r w:rsidRPr="00EA3458">
        <w:rPr>
          <w:color w:val="000000"/>
        </w:rPr>
        <w:t>As of June 2021, 5</w:t>
      </w:r>
      <w:r w:rsidR="00FB4EB6">
        <w:rPr>
          <w:color w:val="000000"/>
        </w:rPr>
        <w:t>,</w:t>
      </w:r>
      <w:r w:rsidRPr="00EA3458">
        <w:rPr>
          <w:color w:val="000000"/>
        </w:rPr>
        <w:t xml:space="preserve">082 active GPs were participating in the MedicineInsight program, representing 14% of the national GP workforce. MedicineInsight has national coverage across all states and territories and remoteness areas. Practices in South Australia are underrepresented and practices in Tasmania are overrepresented, but otherwise the distribution of MedicineInsight practices in each state is similar to the distribution of all practices in each state or territory. Compared to </w:t>
      </w:r>
      <w:r w:rsidR="006D2853">
        <w:t>Medicare Benefits Schedule</w:t>
      </w:r>
      <w:r w:rsidR="006D2853">
        <w:rPr>
          <w:rFonts w:cstheme="minorHAnsi"/>
        </w:rPr>
        <w:t xml:space="preserve"> (MBS) </w:t>
      </w:r>
      <w:r w:rsidRPr="00EA3458">
        <w:rPr>
          <w:color w:val="000000"/>
        </w:rPr>
        <w:t xml:space="preserve">data, patients in MedicineInsight are representative of the Australian patient population in terms of age and gender. Of the patients in the MedicineInsight cohort, 3.0% identified </w:t>
      </w:r>
      <w:r w:rsidR="00B86C9A">
        <w:rPr>
          <w:color w:val="000000"/>
        </w:rPr>
        <w:t>as First Nations</w:t>
      </w:r>
      <w:r w:rsidRPr="00EA3458">
        <w:rPr>
          <w:color w:val="000000"/>
        </w:rPr>
        <w:t xml:space="preserve"> people, similar to the 2.8% rate reported in 2016 national population census.</w:t>
      </w:r>
    </w:p>
    <w:p w14:paraId="3A42CA60" w14:textId="77777777" w:rsidR="00C7259D" w:rsidRPr="00EA3458" w:rsidRDefault="00C7259D" w:rsidP="004132AD">
      <w:pPr>
        <w:spacing w:after="160" w:line="259" w:lineRule="auto"/>
        <w:rPr>
          <w:rFonts w:asciiTheme="minorHAnsi" w:eastAsiaTheme="majorEastAsia" w:hAnsiTheme="minorHAnsi" w:cstheme="majorBidi"/>
          <w:color w:val="2F5496" w:themeColor="accent1" w:themeShade="BF"/>
          <w:sz w:val="26"/>
          <w:szCs w:val="26"/>
        </w:rPr>
      </w:pPr>
      <w:r w:rsidRPr="00EA3458">
        <w:br w:type="page"/>
      </w:r>
    </w:p>
    <w:p w14:paraId="5B28C93C" w14:textId="199FC64F" w:rsidR="00C87A53" w:rsidRPr="00EA3458" w:rsidRDefault="00231477" w:rsidP="004132AD">
      <w:pPr>
        <w:pStyle w:val="Heading2"/>
      </w:pPr>
      <w:bookmarkStart w:id="16" w:name="_Toc163221160"/>
      <w:r w:rsidRPr="00EA3458">
        <w:lastRenderedPageBreak/>
        <w:t xml:space="preserve">Part </w:t>
      </w:r>
      <w:r w:rsidR="00CF4462">
        <w:t>1</w:t>
      </w:r>
      <w:r w:rsidRPr="00EA3458">
        <w:t xml:space="preserve">B: </w:t>
      </w:r>
      <w:r w:rsidR="00C87A53" w:rsidRPr="00EA3458">
        <w:t xml:space="preserve">Treatment </w:t>
      </w:r>
      <w:r w:rsidR="003568C3" w:rsidRPr="00EA3458">
        <w:t xml:space="preserve">of </w:t>
      </w:r>
      <w:r w:rsidR="00C87A53" w:rsidRPr="00EA3458">
        <w:t>opioid dependence</w:t>
      </w:r>
      <w:bookmarkEnd w:id="16"/>
    </w:p>
    <w:p w14:paraId="5BA75299" w14:textId="3C38F3AB" w:rsidR="00A65EBB" w:rsidRPr="00EA3458" w:rsidRDefault="00C07BA7" w:rsidP="007E3DC8">
      <w:pPr>
        <w:pStyle w:val="Heading3"/>
        <w:numPr>
          <w:ilvl w:val="1"/>
          <w:numId w:val="21"/>
        </w:numPr>
        <w:rPr>
          <w:rStyle w:val="Heading3Char"/>
          <w:sz w:val="26"/>
          <w:szCs w:val="26"/>
        </w:rPr>
      </w:pPr>
      <w:bookmarkStart w:id="17" w:name="_Toc163221161"/>
      <w:r w:rsidRPr="00EA3458">
        <w:rPr>
          <w:rStyle w:val="Heading3Char"/>
        </w:rPr>
        <w:t>Medicines for the treatment of opioid dependence</w:t>
      </w:r>
      <w:bookmarkEnd w:id="17"/>
    </w:p>
    <w:p w14:paraId="5F530E21" w14:textId="698570E0" w:rsidR="002243DB" w:rsidRPr="00EA3458" w:rsidRDefault="00C87A53" w:rsidP="007E3DC8">
      <w:pPr>
        <w:pStyle w:val="Heading4"/>
        <w:numPr>
          <w:ilvl w:val="2"/>
          <w:numId w:val="21"/>
        </w:numPr>
      </w:pPr>
      <w:r w:rsidRPr="00EA3458">
        <w:t>What is o</w:t>
      </w:r>
      <w:r w:rsidR="00F63EFE" w:rsidRPr="00EA3458">
        <w:t>pioid dependence</w:t>
      </w:r>
    </w:p>
    <w:p w14:paraId="764EC629" w14:textId="36CB95FE" w:rsidR="00C83CAA" w:rsidRDefault="00C83CAA" w:rsidP="004132AD">
      <w:pPr>
        <w:rPr>
          <w:rStyle w:val="eop"/>
        </w:rPr>
      </w:pPr>
      <w:r w:rsidRPr="00EA3458">
        <w:rPr>
          <w:rStyle w:val="eop"/>
        </w:rPr>
        <w:t>Opioid dependence is defined by the International Statistical Classification of Diseases and Related Health Problems, 1</w:t>
      </w:r>
      <w:r w:rsidR="0026561C">
        <w:rPr>
          <w:rStyle w:val="eop"/>
        </w:rPr>
        <w:t>1</w:t>
      </w:r>
      <w:r w:rsidRPr="00EA3458">
        <w:rPr>
          <w:rStyle w:val="eop"/>
          <w:vertAlign w:val="superscript"/>
        </w:rPr>
        <w:t>th</w:t>
      </w:r>
      <w:r w:rsidRPr="00EA3458">
        <w:rPr>
          <w:rStyle w:val="eop"/>
        </w:rPr>
        <w:t xml:space="preserve"> edition as: </w:t>
      </w:r>
    </w:p>
    <w:p w14:paraId="7579E5C5" w14:textId="55C65321" w:rsidR="00661B90" w:rsidRPr="00B67884" w:rsidRDefault="00661B90" w:rsidP="004132AD">
      <w:pPr>
        <w:rPr>
          <w:rStyle w:val="eop"/>
          <w:i/>
          <w:iCs/>
        </w:rPr>
      </w:pPr>
      <w:r>
        <w:rPr>
          <w:rStyle w:val="eop"/>
          <w:i/>
          <w:iCs/>
        </w:rPr>
        <w:t>“</w:t>
      </w:r>
      <w:r w:rsidRPr="00B67884">
        <w:rPr>
          <w:rStyle w:val="eop"/>
          <w:i/>
          <w:iCs/>
        </w:rPr>
        <w:t>a disorder of regulation of opioid use arising from repeated or continuous use of opioids. The characteristic feature is a strong internal drive to use opioids, which is manifested by impaired ability to control use, increasing priority given to use over other activities and persistence of use despite harm or negative consequences. These experiences are often accompanied by a subjective sensation of urge or craving to use opioids. Physiological features of dependence may also be present, including tolerance to the effects of opioids, withdrawal symptoms following cessation or reduction in use of opioids, or repeated use of opioids or pharmacologically similar substances to prevent or alleviate withdrawal symptoms.</w:t>
      </w:r>
      <w:r>
        <w:rPr>
          <w:rStyle w:val="eop"/>
          <w:i/>
          <w:iCs/>
        </w:rPr>
        <w:t>”</w:t>
      </w:r>
      <w:r w:rsidR="002565E6" w:rsidRPr="00EA3458">
        <w:rPr>
          <w:rStyle w:val="eop"/>
          <w:i/>
          <w:iCs/>
        </w:rPr>
        <w:fldChar w:fldCharType="begin"/>
      </w:r>
      <w:r w:rsidR="002565E6">
        <w:rPr>
          <w:rStyle w:val="eop"/>
          <w:i/>
          <w:iCs/>
        </w:rPr>
        <w:instrText xml:space="preserve"> ADDIN EN.CITE &lt;EndNote&gt;&lt;Cite&gt;&lt;Author&gt;World Health Organization&lt;/Author&gt;&lt;Year&gt;2022&lt;/Year&gt;&lt;RecNum&gt;10&lt;/RecNum&gt;&lt;DisplayText&gt;&lt;style face="superscript"&gt;10&lt;/style&gt;&lt;/DisplayText&gt;&lt;record&gt;&lt;rec-number&gt;10&lt;/rec-number&gt;&lt;foreign-keys&gt;&lt;key app="EN" db-id="xssz590sx9vzw4ewpzdv0s5sret50aexdtd9" timestamp="1668645277"&gt;10&lt;/key&gt;&lt;/foreign-keys&gt;&lt;ref-type name="Book"&gt;6&lt;/ref-type&gt;&lt;contributors&gt;&lt;authors&gt;&lt;author&gt;World Health Organization,&lt;/author&gt;&lt;/authors&gt;&lt;/contributors&gt;&lt;titles&gt;&lt;title&gt;International Classification of Disease and Related Health Problems &lt;/title&gt;&lt;/titles&gt;&lt;edition&gt;11&lt;/edition&gt;&lt;dates&gt;&lt;year&gt;2022&lt;/year&gt;&lt;/dates&gt;&lt;urls&gt;&lt;related-urls&gt;&lt;url&gt;https://icd.who.int/en&lt;/url&gt;&lt;/related-urls&gt;&lt;/urls&gt;&lt;/record&gt;&lt;/Cite&gt;&lt;/EndNote&gt;</w:instrText>
      </w:r>
      <w:r w:rsidR="002565E6" w:rsidRPr="00EA3458">
        <w:rPr>
          <w:rStyle w:val="eop"/>
          <w:i/>
          <w:iCs/>
        </w:rPr>
        <w:fldChar w:fldCharType="separate"/>
      </w:r>
      <w:r w:rsidR="002565E6" w:rsidRPr="005531C9">
        <w:rPr>
          <w:rStyle w:val="eop"/>
          <w:i/>
          <w:iCs/>
          <w:noProof/>
          <w:vertAlign w:val="superscript"/>
        </w:rPr>
        <w:t>10</w:t>
      </w:r>
      <w:r w:rsidR="002565E6" w:rsidRPr="00EA3458">
        <w:rPr>
          <w:rStyle w:val="eop"/>
          <w:i/>
          <w:iCs/>
        </w:rPr>
        <w:fldChar w:fldCharType="end"/>
      </w:r>
      <w:r w:rsidRPr="00B67884">
        <w:rPr>
          <w:rStyle w:val="eop"/>
          <w:i/>
          <w:iCs/>
        </w:rPr>
        <w:t>.</w:t>
      </w:r>
    </w:p>
    <w:p w14:paraId="59012216" w14:textId="69ADD3AB" w:rsidR="00C83CAA" w:rsidRPr="00EA3458" w:rsidRDefault="00C83CAA" w:rsidP="004132AD">
      <w:pPr>
        <w:rPr>
          <w:rStyle w:val="eop"/>
        </w:rPr>
      </w:pPr>
      <w:bookmarkStart w:id="18" w:name="_Hlk127195938"/>
      <w:r w:rsidRPr="00EA3458">
        <w:rPr>
          <w:rStyle w:val="eop"/>
        </w:rPr>
        <w:t>Opioid dependence has been characterised as a chronic, relapsing condition with periods of active use, abstinence, and relapse which can occur over many years</w:t>
      </w:r>
      <w:r w:rsidR="002565E6" w:rsidRPr="00A80FD6">
        <w:rPr>
          <w:rStyle w:val="eop"/>
        </w:rPr>
        <w:fldChar w:fldCharType="begin"/>
      </w:r>
      <w:r w:rsidR="002565E6">
        <w:rPr>
          <w:rStyle w:val="eop"/>
        </w:rPr>
        <w:instrText xml:space="preserve"> ADDIN EN.CITE &lt;EndNote&gt;&lt;Cite&gt;&lt;Author&gt;Hser&lt;/Author&gt;&lt;Year&gt;2001&lt;/Year&gt;&lt;RecNum&gt;11&lt;/RecNum&gt;&lt;DisplayText&gt;&lt;style face="superscript"&gt;11&lt;/style&gt;&lt;/DisplayText&gt;&lt;record&gt;&lt;rec-number&gt;11&lt;/rec-number&gt;&lt;foreign-keys&gt;&lt;key app="EN" db-id="xssz590sx9vzw4ewpzdv0s5sret50aexdtd9" timestamp="1668645280"&gt;11&lt;/key&gt;&lt;/foreign-keys&gt;&lt;ref-type name="Journal Article"&gt;17&lt;/ref-type&gt;&lt;contributors&gt;&lt;authors&gt;&lt;author&gt;Hser, Y. I., &lt;/author&gt;&lt;author&gt;Haffman, V., &lt;/author&gt;&lt;author&gt;Grella, C. E., &lt;/author&gt;&lt;author&gt;&amp;amp; Anglin, M. D.&lt;/author&gt;&lt;/authors&gt;&lt;/contributors&gt;&lt;titles&gt;&lt;title&gt;A 33-year follow-up of narcotics addicts&lt;/title&gt;&lt;secondary-title&gt;Archives of General Psychiatry&lt;/secondary-title&gt;&lt;/titles&gt;&lt;pages&gt;503-508&lt;/pages&gt;&lt;volume&gt;58&lt;/volume&gt;&lt;number&gt;5&lt;/number&gt;&lt;dates&gt;&lt;year&gt;2001&lt;/year&gt;&lt;/dates&gt;&lt;urls&gt;&lt;/urls&gt;&lt;research-notes&gt;Entered into endnote 2.12.08 by Bridget.  This is one of the papers in Hser&amp;apos;s (2008) review study for heroin remission&lt;/research-notes&gt;&lt;/record&gt;&lt;/Cite&gt;&lt;/EndNote&gt;</w:instrText>
      </w:r>
      <w:r w:rsidR="002565E6" w:rsidRPr="00A80FD6">
        <w:rPr>
          <w:rStyle w:val="eop"/>
        </w:rPr>
        <w:fldChar w:fldCharType="separate"/>
      </w:r>
      <w:r w:rsidR="002565E6" w:rsidRPr="005531C9">
        <w:rPr>
          <w:rStyle w:val="eop"/>
          <w:noProof/>
          <w:vertAlign w:val="superscript"/>
        </w:rPr>
        <w:t>11</w:t>
      </w:r>
      <w:r w:rsidR="002565E6" w:rsidRPr="00A80FD6">
        <w:rPr>
          <w:rStyle w:val="eop"/>
        </w:rPr>
        <w:fldChar w:fldCharType="end"/>
      </w:r>
      <w:bookmarkEnd w:id="18"/>
      <w:r w:rsidRPr="00A80FD6">
        <w:rPr>
          <w:rStyle w:val="eop"/>
        </w:rPr>
        <w:t>.</w:t>
      </w:r>
      <w:r w:rsidRPr="00EA3458">
        <w:rPr>
          <w:rStyle w:val="eop"/>
        </w:rPr>
        <w:t xml:space="preserve"> Estimates from the Global Burden of Diseases, Injuries and Risk Factors Study suggest that in 2019 the Australian prevalence of opioid dependence was 0.5%; this is higher than the global prevalence of 0.29</w:t>
      </w:r>
      <w:r w:rsidRPr="00A80FD6">
        <w:rPr>
          <w:rStyle w:val="eop"/>
        </w:rPr>
        <w:t>%</w:t>
      </w:r>
      <w:r w:rsidR="002565E6" w:rsidRPr="00A80FD6">
        <w:rPr>
          <w:rStyle w:val="eop"/>
        </w:rPr>
        <w:fldChar w:fldCharType="begin"/>
      </w:r>
      <w:r w:rsidR="002565E6">
        <w:rPr>
          <w:rStyle w:val="eop"/>
        </w:rPr>
        <w:instrText xml:space="preserve"> ADDIN EN.CITE &lt;EndNote&gt;&lt;Cite&gt;&lt;Author&gt;Collaborators&lt;/Author&gt;&lt;Year&gt;2019&lt;/Year&gt;&lt;RecNum&gt;12&lt;/RecNum&gt;&lt;DisplayText&gt;&lt;style face="superscript"&gt;12&lt;/style&gt;&lt;/DisplayText&gt;&lt;record&gt;&lt;rec-number&gt;12&lt;/rec-number&gt;&lt;foreign-keys&gt;&lt;key app="EN" db-id="xssz590sx9vzw4ewpzdv0s5sret50aexdtd9" timestamp="1668645286"&gt;12&lt;/key&gt;&lt;/foreign-keys&gt;&lt;ref-type name="Journal Article"&gt;17&lt;/ref-type&gt;&lt;contributors&gt;&lt;authors&gt;&lt;author&gt;GBD 2019 Diseases and Injuries Collaborators &lt;/author&gt;&lt;/authors&gt;&lt;/contributors&gt;&lt;titles&gt;&lt;title&gt;Global burden of 369 diseases and injuries in 204 countries and territories, 1990-2019: a systematic analysis for the Global Burden of Disease Study 2019 &lt;/title&gt;&lt;secondary-title&gt;Lancet&lt;/secondary-title&gt;&lt;/titles&gt;&lt;pages&gt;1204-1222&lt;/pages&gt;&lt;volume&gt;396&lt;/volume&gt;&lt;number&gt;10258&lt;/number&gt;&lt;dates&gt;&lt;year&gt;2019&lt;/year&gt;&lt;/dates&gt;&lt;urls&gt;&lt;/urls&gt;&lt;/record&gt;&lt;/Cite&gt;&lt;/EndNote&gt;</w:instrText>
      </w:r>
      <w:r w:rsidR="002565E6" w:rsidRPr="00A80FD6">
        <w:rPr>
          <w:rStyle w:val="eop"/>
        </w:rPr>
        <w:fldChar w:fldCharType="separate"/>
      </w:r>
      <w:r w:rsidR="002565E6" w:rsidRPr="005531C9">
        <w:rPr>
          <w:rStyle w:val="eop"/>
          <w:noProof/>
          <w:vertAlign w:val="superscript"/>
        </w:rPr>
        <w:t>12</w:t>
      </w:r>
      <w:r w:rsidR="002565E6" w:rsidRPr="00A80FD6">
        <w:rPr>
          <w:rStyle w:val="eop"/>
        </w:rPr>
        <w:fldChar w:fldCharType="end"/>
      </w:r>
      <w:r w:rsidRPr="00EA3458">
        <w:rPr>
          <w:rStyle w:val="eop"/>
        </w:rPr>
        <w:t xml:space="preserve"> and represents a 19.8% increase since 2010. </w:t>
      </w:r>
    </w:p>
    <w:p w14:paraId="051908C1" w14:textId="21B249CD" w:rsidR="009527E3" w:rsidRPr="00EA3458" w:rsidRDefault="00C83CAA" w:rsidP="004132AD">
      <w:pPr>
        <w:rPr>
          <w:rStyle w:val="eop"/>
          <w:rFonts w:cs="Calibri"/>
          <w:color w:val="000000"/>
          <w:shd w:val="clear" w:color="auto" w:fill="FFFFFF"/>
        </w:rPr>
      </w:pPr>
      <w:r w:rsidRPr="00EA3458">
        <w:rPr>
          <w:rStyle w:val="normaltextrun"/>
          <w:rFonts w:cs="Calibri"/>
          <w:color w:val="000000"/>
          <w:shd w:val="clear" w:color="auto" w:fill="FFFFFF"/>
        </w:rPr>
        <w:t xml:space="preserve">Opioid dependence is associated with high rates of morbidity and mortality. These are often due to the route of administration of opioid use, with injection of opioids associated with the spread of blood borne infections such as </w:t>
      </w:r>
      <w:bookmarkStart w:id="19" w:name="_Hlk132704432"/>
      <w:r w:rsidRPr="00EA3458">
        <w:rPr>
          <w:rStyle w:val="normaltextrun"/>
          <w:rFonts w:cs="Calibri"/>
          <w:color w:val="000000"/>
          <w:shd w:val="clear" w:color="auto" w:fill="FFFFFF"/>
        </w:rPr>
        <w:t>human immunodeficiency virus (HIV)</w:t>
      </w:r>
      <w:bookmarkEnd w:id="19"/>
      <w:r w:rsidRPr="00EA3458">
        <w:rPr>
          <w:rStyle w:val="normaltextrun"/>
          <w:rFonts w:cs="Calibri"/>
          <w:color w:val="000000"/>
          <w:shd w:val="clear" w:color="auto" w:fill="FFFFFF"/>
        </w:rPr>
        <w:t xml:space="preserve"> and </w:t>
      </w:r>
      <w:r w:rsidR="00FB20A5">
        <w:rPr>
          <w:rStyle w:val="normaltextrun"/>
          <w:rFonts w:cs="Calibri"/>
          <w:color w:val="000000"/>
          <w:shd w:val="clear" w:color="auto" w:fill="FFFFFF"/>
        </w:rPr>
        <w:br/>
      </w:r>
      <w:bookmarkStart w:id="20" w:name="_Hlk132704425"/>
      <w:r w:rsidRPr="00EA3458">
        <w:rPr>
          <w:rStyle w:val="normaltextrun"/>
          <w:rFonts w:cs="Calibri"/>
          <w:color w:val="000000"/>
          <w:shd w:val="clear" w:color="auto" w:fill="FFFFFF"/>
        </w:rPr>
        <w:t>hepatitis C virus (HCV)</w:t>
      </w:r>
      <w:bookmarkEnd w:id="20"/>
      <w:r w:rsidRPr="00EA3458">
        <w:rPr>
          <w:rStyle w:val="normaltextrun"/>
          <w:rFonts w:cs="Calibri"/>
          <w:color w:val="000000"/>
          <w:shd w:val="clear" w:color="auto" w:fill="FFFFFF"/>
        </w:rPr>
        <w:t xml:space="preserve">. Opioid dependence is also associated with reduced quality of life, mental health problems, and increased criminal activity. People with opioid dependence are at greatly increased risk of </w:t>
      </w:r>
      <w:r w:rsidRPr="00A80FD6">
        <w:rPr>
          <w:rStyle w:val="normaltextrun"/>
          <w:rFonts w:cs="Calibri"/>
          <w:color w:val="000000"/>
          <w:shd w:val="clear" w:color="auto" w:fill="FFFFFF"/>
        </w:rPr>
        <w:t>death,</w:t>
      </w:r>
      <w:r w:rsidR="002565E6" w:rsidRPr="00A80FD6">
        <w:fldChar w:fldCharType="begin">
          <w:fldData xml:space="preserve">PEVuZE5vdGU+PENpdGU+PEF1dGhvcj5EZWdlbmhhcmR0PC9BdXRob3I+PFllYXI+MjAxOTwvWWVh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</w:fldData>
        </w:fldChar>
      </w:r>
      <w:r w:rsidR="002565E6">
        <w:instrText xml:space="preserve"> ADDIN EN.CITE </w:instrText>
      </w:r>
      <w:r w:rsidR="002565E6">
        <w:fldChar w:fldCharType="begin">
          <w:fldData xml:space="preserve">PEVuZE5vdGU+PENpdGU+PEF1dGhvcj5EZWdlbmhhcmR0PC9BdXRob3I+PFllYXI+MjAxOTwvWWVh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</w:fldData>
        </w:fldChar>
      </w:r>
      <w:r w:rsidR="002565E6">
        <w:instrText xml:space="preserve"> ADDIN EN.CITE.DATA </w:instrText>
      </w:r>
      <w:r w:rsidR="002565E6">
        <w:fldChar w:fldCharType="end"/>
      </w:r>
      <w:r w:rsidR="002565E6" w:rsidRPr="00A80FD6">
        <w:fldChar w:fldCharType="separate"/>
      </w:r>
      <w:r w:rsidR="002565E6" w:rsidRPr="005531C9">
        <w:rPr>
          <w:noProof/>
          <w:vertAlign w:val="superscript"/>
        </w:rPr>
        <w:t>13</w:t>
      </w:r>
      <w:r w:rsidR="002565E6" w:rsidRPr="00A80FD6">
        <w:fldChar w:fldCharType="end"/>
      </w:r>
      <w:r w:rsidRPr="00A80FD6">
        <w:rPr>
          <w:vertAlign w:val="superscript"/>
        </w:rPr>
        <w:t xml:space="preserve"> </w:t>
      </w:r>
      <w:r w:rsidRPr="00A80FD6">
        <w:rPr>
          <w:rStyle w:val="normaltextrun"/>
          <w:rFonts w:cs="Calibri"/>
          <w:color w:val="000000"/>
          <w:shd w:val="clear" w:color="auto" w:fill="FFFFFF"/>
        </w:rPr>
        <w:t>particularly</w:t>
      </w:r>
      <w:r w:rsidRPr="00EA3458">
        <w:rPr>
          <w:rStyle w:val="normaltextrun"/>
          <w:rFonts w:cs="Calibri"/>
          <w:color w:val="000000"/>
          <w:shd w:val="clear" w:color="auto" w:fill="FFFFFF"/>
        </w:rPr>
        <w:t xml:space="preserve"> from overdose</w:t>
      </w:r>
      <w:r w:rsidR="003910BE">
        <w:rPr>
          <w:rStyle w:val="normaltextrun"/>
          <w:rFonts w:cs="Calibri"/>
          <w:color w:val="000000"/>
          <w:shd w:val="clear" w:color="auto" w:fill="FFFFFF"/>
        </w:rPr>
        <w:t>.</w:t>
      </w:r>
      <w:r w:rsidR="009527E3" w:rsidRPr="00EA3458">
        <w:rPr>
          <w:rStyle w:val="normaltextrun"/>
          <w:rFonts w:cs="Calibri"/>
          <w:color w:val="000000"/>
          <w:shd w:val="clear" w:color="auto" w:fill="FFFFFF"/>
        </w:rPr>
        <w:t>  </w:t>
      </w:r>
      <w:r w:rsidR="009527E3" w:rsidRPr="00EA3458">
        <w:rPr>
          <w:rStyle w:val="eop"/>
          <w:rFonts w:cs="Calibri"/>
          <w:color w:val="000000"/>
          <w:shd w:val="clear" w:color="auto" w:fill="FFFFFF"/>
        </w:rPr>
        <w:t> </w:t>
      </w:r>
    </w:p>
    <w:p w14:paraId="3D49922E" w14:textId="3273FEEC" w:rsidR="00DD13E9" w:rsidRPr="00EA3458" w:rsidRDefault="00E466A6" w:rsidP="007E3DC8">
      <w:pPr>
        <w:pStyle w:val="Heading4"/>
        <w:numPr>
          <w:ilvl w:val="2"/>
          <w:numId w:val="21"/>
        </w:numPr>
      </w:pPr>
      <w:r w:rsidRPr="00EA3458">
        <w:t xml:space="preserve">Overview of </w:t>
      </w:r>
      <w:r w:rsidR="00F63EFE" w:rsidRPr="00EA3458">
        <w:t xml:space="preserve">Treatment Guidelines </w:t>
      </w:r>
      <w:r w:rsidRPr="00EA3458">
        <w:t xml:space="preserve">for </w:t>
      </w:r>
      <w:r w:rsidR="00C87A53" w:rsidRPr="00EA3458">
        <w:t>ODT</w:t>
      </w:r>
    </w:p>
    <w:p w14:paraId="74E8BF0D" w14:textId="23080B1A" w:rsidR="001B5E2E" w:rsidRPr="00EA3458" w:rsidRDefault="009527E3" w:rsidP="004132AD">
      <w:pPr>
        <w:rPr>
          <w:rFonts w:cstheme="minorHAnsi"/>
        </w:rPr>
      </w:pPr>
      <w:r w:rsidRPr="00EA3458">
        <w:rPr>
          <w:rStyle w:val="normaltextrun"/>
          <w:rFonts w:cs="Calibri"/>
          <w:color w:val="000000"/>
          <w:shd w:val="clear" w:color="auto" w:fill="FFFFFF"/>
        </w:rPr>
        <w:t>O</w:t>
      </w:r>
      <w:r w:rsidR="005E4E29">
        <w:rPr>
          <w:rStyle w:val="normaltextrun"/>
          <w:rFonts w:cs="Calibri"/>
          <w:color w:val="000000"/>
          <w:shd w:val="clear" w:color="auto" w:fill="FFFFFF"/>
        </w:rPr>
        <w:t>DT medicines are</w:t>
      </w:r>
      <w:r w:rsidRPr="00EA3458">
        <w:rPr>
          <w:rStyle w:val="normaltextrun"/>
          <w:rFonts w:cs="Calibri"/>
          <w:color w:val="000000"/>
          <w:shd w:val="clear" w:color="auto" w:fill="FFFFFF"/>
        </w:rPr>
        <w:t xml:space="preserve"> one of the main treatments used for opioid dependence and involves use of a prescribed pharmacotherapy, usually a longer-lasting opioid agonist or partial agonist, to replace an individual’s opioid use.</w:t>
      </w:r>
      <w:bookmarkStart w:id="21" w:name="_Hlk118812961"/>
      <w:r w:rsidR="00DE4E48" w:rsidRPr="00EA3458">
        <w:rPr>
          <w:rFonts w:cstheme="minorHAnsi"/>
        </w:rPr>
        <w:t xml:space="preserve"> The aim of maintenance treatment is to reduce exposure to risk behaviours and stabilise health and social functioning, while also managing the physical dimension of dependence</w:t>
      </w:r>
      <w:bookmarkEnd w:id="21"/>
      <w:r w:rsidR="00DE4E48" w:rsidRPr="00EA3458">
        <w:rPr>
          <w:rFonts w:cstheme="minorHAnsi"/>
        </w:rPr>
        <w:t xml:space="preserve">. </w:t>
      </w:r>
    </w:p>
    <w:p w14:paraId="2DA39EBA" w14:textId="346FF959" w:rsidR="001B5E2E" w:rsidRPr="00EA3458" w:rsidRDefault="00DE4E48" w:rsidP="004132AD">
      <w:pPr>
        <w:rPr>
          <w:rStyle w:val="normaltextrun"/>
          <w:rFonts w:cs="Calibri"/>
          <w:color w:val="000000"/>
          <w:shd w:val="clear" w:color="auto" w:fill="FFFFFF"/>
        </w:rPr>
      </w:pPr>
      <w:r w:rsidRPr="00EA3458">
        <w:rPr>
          <w:rFonts w:cstheme="minorHAnsi"/>
        </w:rPr>
        <w:t xml:space="preserve">Many people may </w:t>
      </w:r>
      <w:r w:rsidR="001B5E2E" w:rsidRPr="00EA3458">
        <w:rPr>
          <w:rFonts w:cstheme="minorHAnsi"/>
        </w:rPr>
        <w:t>view</w:t>
      </w:r>
      <w:r w:rsidRPr="00EA3458">
        <w:rPr>
          <w:rFonts w:cstheme="minorHAnsi"/>
        </w:rPr>
        <w:t xml:space="preserve"> ODT as consisting of O</w:t>
      </w:r>
      <w:r w:rsidR="005E4E29">
        <w:rPr>
          <w:rFonts w:cstheme="minorHAnsi"/>
        </w:rPr>
        <w:t>D</w:t>
      </w:r>
      <w:r w:rsidRPr="00EA3458">
        <w:rPr>
          <w:rFonts w:cstheme="minorHAnsi"/>
        </w:rPr>
        <w:t>T</w:t>
      </w:r>
      <w:r w:rsidR="005E4E29">
        <w:rPr>
          <w:rFonts w:cstheme="minorHAnsi"/>
        </w:rPr>
        <w:t xml:space="preserve"> medicines</w:t>
      </w:r>
      <w:r w:rsidRPr="00EA3458">
        <w:rPr>
          <w:rFonts w:cstheme="minorHAnsi"/>
        </w:rPr>
        <w:t xml:space="preserve"> alone. </w:t>
      </w:r>
      <w:r w:rsidR="00853F7C">
        <w:rPr>
          <w:rFonts w:cstheme="minorHAnsi"/>
        </w:rPr>
        <w:t>ODT medicines</w:t>
      </w:r>
      <w:r w:rsidR="001B5E2E" w:rsidRPr="00EA3458">
        <w:rPr>
          <w:rFonts w:cstheme="minorHAnsi"/>
        </w:rPr>
        <w:t xml:space="preserve">, while important, </w:t>
      </w:r>
      <w:r w:rsidR="00853F7C">
        <w:rPr>
          <w:rFonts w:cstheme="minorHAnsi"/>
        </w:rPr>
        <w:t>are</w:t>
      </w:r>
      <w:r w:rsidR="001B5E2E" w:rsidRPr="00EA3458">
        <w:rPr>
          <w:rFonts w:cstheme="minorHAnsi"/>
        </w:rPr>
        <w:t xml:space="preserve"> but one element of ODT. Holistic t</w:t>
      </w:r>
      <w:r w:rsidR="001B5E2E" w:rsidRPr="00EA3458">
        <w:rPr>
          <w:rStyle w:val="normaltextrun"/>
          <w:rFonts w:cs="Calibri"/>
          <w:color w:val="000000"/>
          <w:shd w:val="clear" w:color="auto" w:fill="FFFFFF"/>
        </w:rPr>
        <w:t xml:space="preserve">reatment for opioid dependence is a combination of </w:t>
      </w:r>
      <w:r w:rsidR="000B5938">
        <w:rPr>
          <w:rStyle w:val="normaltextrun"/>
          <w:rFonts w:cs="Calibri"/>
          <w:color w:val="000000"/>
          <w:shd w:val="clear" w:color="auto" w:fill="FFFFFF"/>
        </w:rPr>
        <w:t>O</w:t>
      </w:r>
      <w:r w:rsidR="005E4E29">
        <w:rPr>
          <w:rStyle w:val="normaltextrun"/>
          <w:rFonts w:cs="Calibri"/>
          <w:color w:val="000000"/>
          <w:shd w:val="clear" w:color="auto" w:fill="FFFFFF"/>
        </w:rPr>
        <w:t>D</w:t>
      </w:r>
      <w:r w:rsidR="000B5938">
        <w:rPr>
          <w:rStyle w:val="normaltextrun"/>
          <w:rFonts w:cs="Calibri"/>
          <w:color w:val="000000"/>
          <w:shd w:val="clear" w:color="auto" w:fill="FFFFFF"/>
        </w:rPr>
        <w:t xml:space="preserve">T </w:t>
      </w:r>
      <w:r w:rsidR="001B5E2E" w:rsidRPr="00EA3458">
        <w:rPr>
          <w:rStyle w:val="normaltextrun"/>
          <w:rFonts w:cs="Calibri"/>
          <w:color w:val="000000"/>
          <w:shd w:val="clear" w:color="auto" w:fill="FFFFFF"/>
        </w:rPr>
        <w:t>medication and psychosocial support which includes addressing the often-complex components of psychological</w:t>
      </w:r>
      <w:r w:rsidR="001B6FD8" w:rsidRPr="00EA3458">
        <w:rPr>
          <w:rStyle w:val="normaltextrun"/>
          <w:rFonts w:cs="Calibri"/>
          <w:color w:val="000000"/>
          <w:shd w:val="clear" w:color="auto" w:fill="FFFFFF"/>
        </w:rPr>
        <w:t xml:space="preserve"> and physical</w:t>
      </w:r>
      <w:r w:rsidR="001B5E2E" w:rsidRPr="00EA3458">
        <w:rPr>
          <w:rStyle w:val="normaltextrun"/>
          <w:rFonts w:cs="Calibri"/>
          <w:color w:val="000000"/>
          <w:shd w:val="clear" w:color="auto" w:fill="FFFFFF"/>
        </w:rPr>
        <w:t xml:space="preserve"> health</w:t>
      </w:r>
      <w:r w:rsidR="001B6FD8" w:rsidRPr="00EA3458">
        <w:rPr>
          <w:rStyle w:val="normaltextrun"/>
          <w:rFonts w:cs="Calibri"/>
          <w:color w:val="000000"/>
          <w:shd w:val="clear" w:color="auto" w:fill="FFFFFF"/>
        </w:rPr>
        <w:t>,</w:t>
      </w:r>
      <w:r w:rsidR="001B5E2E" w:rsidRPr="00EA3458">
        <w:rPr>
          <w:rStyle w:val="normaltextrun"/>
          <w:rFonts w:cs="Calibri"/>
          <w:color w:val="000000"/>
          <w:shd w:val="clear" w:color="auto" w:fill="FFFFFF"/>
        </w:rPr>
        <w:t xml:space="preserve"> </w:t>
      </w:r>
      <w:r w:rsidR="001B6FD8" w:rsidRPr="00EA3458">
        <w:rPr>
          <w:rStyle w:val="normaltextrun"/>
          <w:rFonts w:cs="Calibri"/>
          <w:color w:val="000000"/>
          <w:shd w:val="clear" w:color="auto" w:fill="FFFFFF"/>
        </w:rPr>
        <w:t xml:space="preserve">as well as the </w:t>
      </w:r>
      <w:r w:rsidR="001B5E2E" w:rsidRPr="00EA3458">
        <w:rPr>
          <w:rStyle w:val="normaltextrun"/>
          <w:rFonts w:cs="Calibri"/>
          <w:color w:val="000000"/>
          <w:shd w:val="clear" w:color="auto" w:fill="FFFFFF"/>
        </w:rPr>
        <w:t xml:space="preserve">social environment of a person with opioid dependence. The additional support required may vary </w:t>
      </w:r>
      <w:r w:rsidR="000B5938">
        <w:rPr>
          <w:rStyle w:val="normaltextrun"/>
          <w:rFonts w:cs="Calibri"/>
          <w:color w:val="000000"/>
          <w:shd w:val="clear" w:color="auto" w:fill="FFFFFF"/>
        </w:rPr>
        <w:t xml:space="preserve">by person and </w:t>
      </w:r>
      <w:r w:rsidR="001B5E2E" w:rsidRPr="00EA3458">
        <w:rPr>
          <w:rStyle w:val="normaltextrun"/>
          <w:rFonts w:cs="Calibri"/>
          <w:color w:val="000000"/>
          <w:shd w:val="clear" w:color="auto" w:fill="FFFFFF"/>
        </w:rPr>
        <w:t xml:space="preserve">over </w:t>
      </w:r>
      <w:r w:rsidR="00317513" w:rsidRPr="00EA3458">
        <w:rPr>
          <w:rStyle w:val="normaltextrun"/>
          <w:rFonts w:cs="Calibri"/>
          <w:color w:val="000000"/>
          <w:shd w:val="clear" w:color="auto" w:fill="FFFFFF"/>
        </w:rPr>
        <w:t>time</w:t>
      </w:r>
      <w:r w:rsidR="00317513">
        <w:rPr>
          <w:rStyle w:val="normaltextrun"/>
          <w:rFonts w:cs="Calibri"/>
          <w:color w:val="000000"/>
          <w:shd w:val="clear" w:color="auto" w:fill="FFFFFF"/>
        </w:rPr>
        <w:t xml:space="preserve"> and</w:t>
      </w:r>
      <w:r w:rsidR="001B5E2E" w:rsidRPr="00EA3458">
        <w:rPr>
          <w:rStyle w:val="normaltextrun"/>
          <w:rFonts w:cs="Calibri"/>
          <w:color w:val="000000"/>
          <w:shd w:val="clear" w:color="auto" w:fill="FFFFFF"/>
        </w:rPr>
        <w:t xml:space="preserve"> should be adapted to the patient’s changing needs.</w:t>
      </w:r>
    </w:p>
    <w:p w14:paraId="4788D125" w14:textId="613D4CFC" w:rsidR="009527E3" w:rsidRPr="00EA3458" w:rsidRDefault="009527E3" w:rsidP="004132AD">
      <w:pPr>
        <w:rPr>
          <w:shd w:val="clear" w:color="auto" w:fill="FFFFFF"/>
        </w:rPr>
      </w:pPr>
      <w:r w:rsidRPr="00EA3458">
        <w:rPr>
          <w:rStyle w:val="normaltextrun"/>
          <w:rFonts w:cs="Calibri"/>
          <w:color w:val="000000"/>
          <w:shd w:val="clear" w:color="auto" w:fill="FFFFFF"/>
        </w:rPr>
        <w:t xml:space="preserve">The </w:t>
      </w:r>
      <w:r w:rsidR="003910BE">
        <w:rPr>
          <w:rStyle w:val="normaltextrun"/>
          <w:rFonts w:cs="Calibri"/>
          <w:color w:val="000000"/>
          <w:shd w:val="clear" w:color="auto" w:fill="FFFFFF"/>
        </w:rPr>
        <w:t>World Health Organi</w:t>
      </w:r>
      <w:r w:rsidR="00674A3B">
        <w:rPr>
          <w:rStyle w:val="normaltextrun"/>
          <w:rFonts w:cs="Calibri"/>
          <w:color w:val="000000"/>
          <w:shd w:val="clear" w:color="auto" w:fill="FFFFFF"/>
        </w:rPr>
        <w:t>z</w:t>
      </w:r>
      <w:r w:rsidR="003910BE">
        <w:rPr>
          <w:rStyle w:val="normaltextrun"/>
          <w:rFonts w:cs="Calibri"/>
          <w:color w:val="000000"/>
          <w:shd w:val="clear" w:color="auto" w:fill="FFFFFF"/>
        </w:rPr>
        <w:t>ation (</w:t>
      </w:r>
      <w:r w:rsidR="00317513">
        <w:rPr>
          <w:rStyle w:val="normaltextrun"/>
          <w:rFonts w:cs="Calibri"/>
          <w:color w:val="000000"/>
          <w:shd w:val="clear" w:color="auto" w:fill="FFFFFF"/>
        </w:rPr>
        <w:t>WHO</w:t>
      </w:r>
      <w:r w:rsidR="003910BE">
        <w:rPr>
          <w:rStyle w:val="normaltextrun"/>
          <w:rFonts w:cs="Calibri"/>
          <w:color w:val="000000"/>
          <w:shd w:val="clear" w:color="auto" w:fill="FFFFFF"/>
        </w:rPr>
        <w:t>)</w:t>
      </w:r>
      <w:r w:rsidR="00317513">
        <w:rPr>
          <w:rStyle w:val="normaltextrun"/>
          <w:rFonts w:cs="Calibri"/>
          <w:color w:val="000000"/>
          <w:shd w:val="clear" w:color="auto" w:fill="FFFFFF"/>
        </w:rPr>
        <w:t xml:space="preserve"> </w:t>
      </w:r>
      <w:r w:rsidRPr="00EA3458">
        <w:rPr>
          <w:rStyle w:val="normaltextrun"/>
          <w:rFonts w:cs="Calibri"/>
          <w:color w:val="000000"/>
          <w:shd w:val="clear" w:color="auto" w:fill="FFFFFF"/>
        </w:rPr>
        <w:t>international guidelines for O</w:t>
      </w:r>
      <w:r w:rsidR="005E4E29">
        <w:rPr>
          <w:rStyle w:val="normaltextrun"/>
          <w:rFonts w:cs="Calibri"/>
          <w:color w:val="000000"/>
          <w:shd w:val="clear" w:color="auto" w:fill="FFFFFF"/>
        </w:rPr>
        <w:t>D</w:t>
      </w:r>
      <w:r w:rsidRPr="00EA3458">
        <w:rPr>
          <w:rStyle w:val="normaltextrun"/>
          <w:rFonts w:cs="Calibri"/>
          <w:color w:val="000000"/>
          <w:shd w:val="clear" w:color="auto" w:fill="FFFFFF"/>
        </w:rPr>
        <w:t>T</w:t>
      </w:r>
      <w:r w:rsidR="005E4E29">
        <w:rPr>
          <w:rStyle w:val="normaltextrun"/>
          <w:rFonts w:cs="Calibri"/>
          <w:color w:val="000000"/>
          <w:shd w:val="clear" w:color="auto" w:fill="FFFFFF"/>
        </w:rPr>
        <w:t xml:space="preserve"> medicines</w:t>
      </w:r>
      <w:r w:rsidRPr="00EA3458">
        <w:rPr>
          <w:rStyle w:val="normaltextrun"/>
          <w:rFonts w:cs="Calibri"/>
          <w:color w:val="000000"/>
          <w:shd w:val="clear" w:color="auto" w:fill="FFFFFF"/>
        </w:rPr>
        <w:t xml:space="preserve"> were published in 2009</w:t>
      </w:r>
      <w:r w:rsidR="002565E6" w:rsidRPr="00A80FD6">
        <w:fldChar w:fldCharType="begin"/>
      </w:r>
      <w:r w:rsidR="002565E6">
        <w:instrText xml:space="preserve"> ADDIN EN.CITE &lt;EndNote&gt;&lt;Cite&gt;&lt;Author&gt;World Health Organization&lt;/Author&gt;&lt;Year&gt;2021&lt;/Year&gt;&lt;RecNum&gt;14&lt;/RecNum&gt;&lt;DisplayText&gt;&lt;style face="superscript"&gt;14&lt;/style&gt;&lt;/DisplayText&gt;&lt;record&gt;&lt;rec-number&gt;14&lt;/rec-number&gt;&lt;foreign-keys&gt;&lt;key app="EN" db-id="xssz590sx9vzw4ewpzdv0s5sret50aexdtd9" timestamp="1668645294"&gt;14&lt;/key&gt;&lt;/foreign-keys&gt;&lt;ref-type name="Web Page"&gt;12&lt;/ref-type&gt;&lt;contributors&gt;&lt;authors&gt;&lt;author&gt;World Health Organization,z&lt;/author&gt;&lt;/authors&gt;&lt;/contributors&gt;&lt;titles&gt;&lt;title&gt;Model List of Essential Medicines - 22nd List, 2020 &lt;/title&gt;&lt;/titles&gt;&lt;dates&gt;&lt;year&gt;2021&lt;/year&gt;&lt;/dates&gt;&lt;pub-location&gt;Geneva&lt;/pub-location&gt;&lt;publisher&gt;World Health Organizaton Press&lt;/publisher&gt;&lt;urls&gt;&lt;/urls&gt;&lt;/record&gt;&lt;/Cite&gt;&lt;/EndNote&gt;</w:instrText>
      </w:r>
      <w:r w:rsidR="002565E6" w:rsidRPr="00A80FD6">
        <w:fldChar w:fldCharType="separate"/>
      </w:r>
      <w:r w:rsidR="002565E6" w:rsidRPr="005531C9">
        <w:rPr>
          <w:noProof/>
          <w:vertAlign w:val="superscript"/>
        </w:rPr>
        <w:t>14</w:t>
      </w:r>
      <w:r w:rsidR="002565E6" w:rsidRPr="00A80FD6">
        <w:fldChar w:fldCharType="end"/>
      </w:r>
      <w:r w:rsidR="00CE01BF">
        <w:t xml:space="preserve"> and g</w:t>
      </w:r>
      <w:r w:rsidRPr="00A80FD6">
        <w:rPr>
          <w:rStyle w:val="normaltextrun"/>
          <w:rFonts w:cs="Calibri"/>
          <w:color w:val="000000"/>
          <w:shd w:val="clear" w:color="auto" w:fill="FFFFFF"/>
        </w:rPr>
        <w:t xml:space="preserve">iven developments in the field </w:t>
      </w:r>
      <w:r w:rsidR="00CE01BF">
        <w:rPr>
          <w:rStyle w:val="normaltextrun"/>
          <w:rFonts w:cs="Calibri"/>
          <w:color w:val="000000"/>
          <w:shd w:val="clear" w:color="auto" w:fill="FFFFFF"/>
        </w:rPr>
        <w:t>require</w:t>
      </w:r>
      <w:r w:rsidRPr="00A80FD6">
        <w:rPr>
          <w:rStyle w:val="normaltextrun"/>
          <w:rFonts w:cs="Calibri"/>
          <w:color w:val="000000"/>
          <w:shd w:val="clear" w:color="auto" w:fill="FFFFFF"/>
        </w:rPr>
        <w:t xml:space="preserve"> updating. </w:t>
      </w:r>
      <w:r w:rsidR="00CE01BF">
        <w:rPr>
          <w:rStyle w:val="normaltextrun"/>
          <w:rFonts w:cs="Calibri"/>
          <w:color w:val="000000"/>
          <w:shd w:val="clear" w:color="auto" w:fill="FFFFFF"/>
        </w:rPr>
        <w:t>However, t</w:t>
      </w:r>
      <w:r w:rsidRPr="00A80FD6">
        <w:rPr>
          <w:rStyle w:val="normaltextrun"/>
          <w:rFonts w:cs="Calibri"/>
          <w:color w:val="000000"/>
          <w:shd w:val="clear" w:color="auto" w:fill="FFFFFF"/>
        </w:rPr>
        <w:t>hese guidelines</w:t>
      </w:r>
      <w:r w:rsidRPr="00EA3458">
        <w:rPr>
          <w:rStyle w:val="normaltextrun"/>
          <w:rFonts w:cs="Calibri"/>
          <w:color w:val="000000"/>
          <w:shd w:val="clear" w:color="auto" w:fill="FFFFFF"/>
        </w:rPr>
        <w:t xml:space="preserve"> </w:t>
      </w:r>
      <w:r w:rsidR="00CE01BF">
        <w:rPr>
          <w:rStyle w:val="normaltextrun"/>
          <w:rFonts w:cs="Calibri"/>
          <w:color w:val="000000"/>
          <w:shd w:val="clear" w:color="auto" w:fill="FFFFFF"/>
        </w:rPr>
        <w:t>indicate</w:t>
      </w:r>
      <w:r w:rsidRPr="00EA3458">
        <w:rPr>
          <w:rStyle w:val="normaltextrun"/>
          <w:rFonts w:cs="Calibri"/>
          <w:color w:val="000000"/>
          <w:shd w:val="clear" w:color="auto" w:fill="FFFFFF"/>
        </w:rPr>
        <w:t xml:space="preserve"> that a range of other services be provided in addition to O</w:t>
      </w:r>
      <w:r w:rsidR="005E4E29">
        <w:rPr>
          <w:rStyle w:val="normaltextrun"/>
          <w:rFonts w:cs="Calibri"/>
          <w:color w:val="000000"/>
          <w:shd w:val="clear" w:color="auto" w:fill="FFFFFF"/>
        </w:rPr>
        <w:t>D</w:t>
      </w:r>
      <w:r w:rsidRPr="00EA3458">
        <w:rPr>
          <w:rStyle w:val="normaltextrun"/>
          <w:rFonts w:cs="Calibri"/>
          <w:color w:val="000000"/>
          <w:shd w:val="clear" w:color="auto" w:fill="FFFFFF"/>
        </w:rPr>
        <w:t>T</w:t>
      </w:r>
      <w:r w:rsidR="005E4E29">
        <w:rPr>
          <w:rStyle w:val="normaltextrun"/>
          <w:rFonts w:cs="Calibri"/>
          <w:color w:val="000000"/>
          <w:shd w:val="clear" w:color="auto" w:fill="FFFFFF"/>
        </w:rPr>
        <w:t xml:space="preserve"> medicines</w:t>
      </w:r>
      <w:r w:rsidRPr="00EA3458">
        <w:rPr>
          <w:rStyle w:val="normaltextrun"/>
          <w:rFonts w:cs="Calibri"/>
          <w:color w:val="000000"/>
          <w:shd w:val="clear" w:color="auto" w:fill="FFFFFF"/>
        </w:rPr>
        <w:t xml:space="preserve"> to address the psychological health and social problems that can be associated with opioid use</w:t>
      </w:r>
      <w:r w:rsidR="00CE01BF">
        <w:rPr>
          <w:rStyle w:val="normaltextrun"/>
          <w:rFonts w:cs="Calibri"/>
          <w:color w:val="000000"/>
          <w:shd w:val="clear" w:color="auto" w:fill="FFFFFF"/>
        </w:rPr>
        <w:t>.</w:t>
      </w:r>
      <w:r w:rsidRPr="00EA3458">
        <w:rPr>
          <w:rStyle w:val="normaltextrun"/>
          <w:rFonts w:cs="Calibri"/>
          <w:color w:val="000000"/>
          <w:shd w:val="clear" w:color="auto" w:fill="FFFFFF"/>
        </w:rPr>
        <w:t xml:space="preserve"> </w:t>
      </w:r>
      <w:r w:rsidR="00CE01BF">
        <w:rPr>
          <w:rStyle w:val="normaltextrun"/>
          <w:rFonts w:cs="Calibri"/>
          <w:color w:val="000000"/>
          <w:shd w:val="clear" w:color="auto" w:fill="FFFFFF"/>
        </w:rPr>
        <w:lastRenderedPageBreak/>
        <w:t>T</w:t>
      </w:r>
      <w:r w:rsidRPr="00EA3458">
        <w:rPr>
          <w:rStyle w:val="normaltextrun"/>
          <w:rFonts w:cs="Calibri"/>
          <w:color w:val="000000"/>
          <w:shd w:val="clear" w:color="auto" w:fill="FFFFFF"/>
        </w:rPr>
        <w:t>hese may include other medical care, mental health services, vocational and other assistance, and provision of naloxone.</w:t>
      </w:r>
      <w:r w:rsidRPr="00EA3458">
        <w:rPr>
          <w:rStyle w:val="eop"/>
          <w:rFonts w:cs="Calibri"/>
          <w:color w:val="000000"/>
          <w:shd w:val="clear" w:color="auto" w:fill="FFFFFF"/>
        </w:rPr>
        <w:t> </w:t>
      </w:r>
    </w:p>
    <w:p w14:paraId="1CC17C36" w14:textId="78153E40" w:rsidR="00270D98" w:rsidRDefault="009527E3" w:rsidP="004132AD">
      <w:r w:rsidRPr="00EA3458">
        <w:t xml:space="preserve">The </w:t>
      </w:r>
      <w:r w:rsidR="0034644E" w:rsidRPr="00EA3458">
        <w:rPr>
          <w:rStyle w:val="normaltextrun"/>
          <w:rFonts w:cs="Calibri"/>
          <w:color w:val="000000"/>
          <w:shd w:val="clear" w:color="auto" w:fill="FFFFFF"/>
        </w:rPr>
        <w:t>National Guidelines</w:t>
      </w:r>
      <w:r w:rsidR="00F20D93">
        <w:rPr>
          <w:rStyle w:val="normaltextrun"/>
          <w:rFonts w:cs="Calibri"/>
          <w:color w:val="000000"/>
          <w:shd w:val="clear" w:color="auto" w:fill="FFFFFF"/>
        </w:rPr>
        <w:t xml:space="preserve"> for Medication Assisted Treatment of Opioid Dependence 2014</w:t>
      </w:r>
      <w:r w:rsidR="002565E6" w:rsidRPr="00EA3458">
        <w:fldChar w:fldCharType="begin"/>
      </w:r>
      <w:r w:rsidR="002565E6">
        <w:instrText xml:space="preserve"> ADDIN EN.CITE &lt;EndNote&gt;&lt;Cite&gt;&lt;Author&gt;Gowing&lt;/Author&gt;&lt;Year&gt;2014&lt;/Year&gt;&lt;RecNum&gt;13&lt;/RecNum&gt;&lt;DisplayText&gt;&lt;style face="superscript"&gt;15&lt;/style&gt;&lt;/DisplayText&gt;&lt;record&gt;&lt;rec-number&gt;13&lt;/rec-number&gt;&lt;foreign-keys&gt;&lt;key app="EN" db-id="xssz590sx9vzw4ewpzdv0s5sret50aexdtd9" timestamp="1668645290"&gt;13&lt;/key&gt;&lt;/foreign-keys&gt;&lt;ref-type name="Report"&gt;27&lt;/ref-type&gt;&lt;contributors&gt;&lt;authors&gt;&lt;author&gt;Gowing, L.,&lt;/author&gt;&lt;author&gt;Ali, R.&lt;/author&gt;&lt;author&gt;Dunlop, A.&lt;/author&gt;&lt;author&gt;Farrell, M.&lt;/author&gt;&lt;author&gt;Lintzeris, N.&lt;/author&gt;&lt;/authors&gt;&lt;/contributors&gt;&lt;titles&gt;&lt;title&gt;National Guidelines for Medication-Assisted Treatment of Opioid Dependence&lt;/title&gt;&lt;/titles&gt;&lt;dates&gt;&lt;year&gt;2014&lt;/year&gt;&lt;/dates&gt;&lt;pub-location&gt;Canberra&lt;/pub-location&gt;&lt;publisher&gt;Australian Government Department of Health&lt;/publisher&gt;&lt;urls&gt;&lt;/urls&gt;&lt;/record&gt;&lt;/Cite&gt;&lt;/EndNote&gt;</w:instrText>
      </w:r>
      <w:r w:rsidR="002565E6" w:rsidRPr="00EA3458">
        <w:fldChar w:fldCharType="separate"/>
      </w:r>
      <w:r w:rsidR="002565E6" w:rsidRPr="005531C9">
        <w:rPr>
          <w:noProof/>
          <w:vertAlign w:val="superscript"/>
        </w:rPr>
        <w:t>15</w:t>
      </w:r>
      <w:r w:rsidR="002565E6" w:rsidRPr="00EA3458">
        <w:fldChar w:fldCharType="end"/>
      </w:r>
      <w:r w:rsidR="00F20D93">
        <w:t xml:space="preserve"> (National Guidelines)</w:t>
      </w:r>
      <w:r w:rsidRPr="00EA3458">
        <w:t xml:space="preserve"> provide a broad policy context and framework for Australian state and territory policies and guidelines concerned with delivering O</w:t>
      </w:r>
      <w:r w:rsidR="005E4E29">
        <w:t>D</w:t>
      </w:r>
      <w:r w:rsidRPr="00EA3458">
        <w:t>T</w:t>
      </w:r>
      <w:r w:rsidR="005E4E29">
        <w:t xml:space="preserve"> medicines</w:t>
      </w:r>
      <w:r w:rsidRPr="00EA3458">
        <w:t xml:space="preserve"> </w:t>
      </w:r>
      <w:r w:rsidRPr="00DA49F8">
        <w:t xml:space="preserve">(Table </w:t>
      </w:r>
      <w:r w:rsidR="00DA49F8" w:rsidRPr="00DA49F8">
        <w:t>4</w:t>
      </w:r>
      <w:r w:rsidRPr="00EA3458">
        <w:t>). However, jurisdictions vary in their requirements for O</w:t>
      </w:r>
      <w:r w:rsidR="005E4E29">
        <w:t>D</w:t>
      </w:r>
      <w:r w:rsidRPr="00EA3458">
        <w:t>T</w:t>
      </w:r>
      <w:r w:rsidR="005E4E29">
        <w:t xml:space="preserve"> medicine</w:t>
      </w:r>
      <w:r w:rsidRPr="00EA3458">
        <w:t xml:space="preserve"> services, prescribers, and </w:t>
      </w:r>
      <w:r w:rsidR="00441126" w:rsidRPr="00EA3458">
        <w:t>consumer</w:t>
      </w:r>
      <w:r w:rsidRPr="00EA3458">
        <w:t xml:space="preserve">s. There is also variation between jurisdictions in the funding models, subsidy schemes for associated costs to service providers, and dispensing fees for </w:t>
      </w:r>
      <w:r w:rsidR="00441126" w:rsidRPr="00EA3458">
        <w:t>consumer</w:t>
      </w:r>
      <w:r w:rsidRPr="00EA3458">
        <w:t xml:space="preserve">s. The </w:t>
      </w:r>
      <w:r w:rsidR="007625E6" w:rsidRPr="00EA3458">
        <w:t xml:space="preserve">National </w:t>
      </w:r>
      <w:r w:rsidRPr="00EA3458">
        <w:t xml:space="preserve">Guidelines have not been updated to incorporate the use of </w:t>
      </w:r>
      <w:r w:rsidR="00201914" w:rsidRPr="00EA3458">
        <w:t>LAIB</w:t>
      </w:r>
      <w:r w:rsidRPr="00EA3458">
        <w:t xml:space="preserve"> to date. </w:t>
      </w:r>
    </w:p>
    <w:p w14:paraId="56B70A07" w14:textId="46BD9570" w:rsidR="009527E3" w:rsidRPr="00EA3458" w:rsidRDefault="009527E3" w:rsidP="004132AD">
      <w:r w:rsidRPr="00EA3458">
        <w:t>In Australia, medicines registered for use as O</w:t>
      </w:r>
      <w:r w:rsidR="005E4E29">
        <w:t>D</w:t>
      </w:r>
      <w:r w:rsidRPr="00EA3458">
        <w:t xml:space="preserve">T include methadone and buprenorphine (with or without naloxone), both of which are listed by the </w:t>
      </w:r>
      <w:r w:rsidR="003910BE">
        <w:t>WHO</w:t>
      </w:r>
      <w:r w:rsidRPr="00EA3458">
        <w:t xml:space="preserve"> as essential medicines for opioid dependence</w:t>
      </w:r>
      <w:r w:rsidR="002565E6" w:rsidRPr="00EA3458">
        <w:fldChar w:fldCharType="begin"/>
      </w:r>
      <w:r w:rsidR="002565E6">
        <w:instrText xml:space="preserve"> ADDIN EN.CITE &lt;EndNote&gt;&lt;Cite&gt;&lt;Author&gt;World Health Organization&lt;/Author&gt;&lt;Year&gt;2021&lt;/Year&gt;&lt;RecNum&gt;14&lt;/RecNum&gt;&lt;DisplayText&gt;&lt;style face="superscript"&gt;14&lt;/style&gt;&lt;/DisplayText&gt;&lt;record&gt;&lt;rec-number&gt;14&lt;/rec-number&gt;&lt;foreign-keys&gt;&lt;key app="EN" db-id="xssz590sx9vzw4ewpzdv0s5sret50aexdtd9" timestamp="1668645294"&gt;14&lt;/key&gt;&lt;/foreign-keys&gt;&lt;ref-type name="Web Page"&gt;12&lt;/ref-type&gt;&lt;contributors&gt;&lt;authors&gt;&lt;author&gt;World Health Organization,z&lt;/author&gt;&lt;/authors&gt;&lt;/contributors&gt;&lt;titles&gt;&lt;title&gt;Model List of Essential Medicines - 22nd List, 2020 &lt;/title&gt;&lt;/titles&gt;&lt;dates&gt;&lt;year&gt;2021&lt;/year&gt;&lt;/dates&gt;&lt;pub-location&gt;Geneva&lt;/pub-location&gt;&lt;publisher&gt;World Health Organizaton Press&lt;/publisher&gt;&lt;urls&gt;&lt;/urls&gt;&lt;/record&gt;&lt;/Cite&gt;&lt;/EndNote&gt;</w:instrText>
      </w:r>
      <w:r w:rsidR="002565E6" w:rsidRPr="00EA3458">
        <w:fldChar w:fldCharType="separate"/>
      </w:r>
      <w:r w:rsidR="002565E6" w:rsidRPr="005531C9">
        <w:rPr>
          <w:noProof/>
          <w:vertAlign w:val="superscript"/>
        </w:rPr>
        <w:t>14</w:t>
      </w:r>
      <w:r w:rsidR="002565E6" w:rsidRPr="00EA3458">
        <w:fldChar w:fldCharType="end"/>
      </w:r>
      <w:r w:rsidRPr="00EA3458">
        <w:t>. These medicines can help to reduce drug cravings and withdrawal symptoms; improve health, social functioning and economic participation; and reduce crime</w:t>
      </w:r>
      <w:r w:rsidRPr="00EA3458">
        <w:fldChar w:fldCharType="begin">
          <w:fldData xml:space="preserve">PEVuZE5vdGU+PENpdGU+PEF1dGhvcj5EZWdlbmhhcmR0PC9BdXRob3I+PFllYXI+MjAxOTwvWWVh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</w:fldData>
        </w:fldChar>
      </w:r>
      <w:r w:rsidR="00646D54">
        <w:instrText xml:space="preserve"> ADDIN EN.CITE </w:instrText>
      </w:r>
      <w:r w:rsidR="00646D54">
        <w:fldChar w:fldCharType="begin">
          <w:fldData xml:space="preserve">PEVuZE5vdGU+PENpdGU+PEF1dGhvcj5EZWdlbmhhcmR0PC9BdXRob3I+PFllYXI+MjAxOTwvWWVh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</w:fldData>
        </w:fldChar>
      </w:r>
      <w:r w:rsidR="00646D54">
        <w:instrText xml:space="preserve"> ADDIN EN.CITE.DATA </w:instrText>
      </w:r>
      <w:r w:rsidR="00646D54">
        <w:fldChar w:fldCharType="end"/>
      </w:r>
      <w:r w:rsidRPr="00EA3458">
        <w:fldChar w:fldCharType="separate"/>
      </w:r>
      <w:r w:rsidR="002565E6" w:rsidRPr="005531C9">
        <w:rPr>
          <w:noProof/>
          <w:vertAlign w:val="superscript"/>
        </w:rPr>
        <w:t>13</w:t>
      </w:r>
      <w:r w:rsidR="005531C9" w:rsidRPr="005531C9">
        <w:rPr>
          <w:noProof/>
          <w:vertAlign w:val="superscript"/>
        </w:rPr>
        <w:t xml:space="preserve">, </w:t>
      </w:r>
      <w:r w:rsidR="002565E6" w:rsidRPr="005531C9">
        <w:rPr>
          <w:noProof/>
          <w:vertAlign w:val="superscript"/>
        </w:rPr>
        <w:t>16</w:t>
      </w:r>
      <w:r w:rsidR="005531C9" w:rsidRPr="005531C9">
        <w:rPr>
          <w:noProof/>
          <w:vertAlign w:val="superscript"/>
        </w:rPr>
        <w:t xml:space="preserve">, </w:t>
      </w:r>
      <w:r w:rsidR="002565E6" w:rsidRPr="005531C9">
        <w:rPr>
          <w:noProof/>
          <w:vertAlign w:val="superscript"/>
        </w:rPr>
        <w:t>17</w:t>
      </w:r>
      <w:r w:rsidRPr="00EA3458">
        <w:fldChar w:fldCharType="end"/>
      </w:r>
      <w:r w:rsidRPr="00EA3458">
        <w:t xml:space="preserve">. </w:t>
      </w:r>
    </w:p>
    <w:p w14:paraId="162B995A" w14:textId="719EAF4C" w:rsidR="00331750" w:rsidRPr="00EA3458" w:rsidRDefault="00662F3E" w:rsidP="004132AD">
      <w:r>
        <w:t>Treatment</w:t>
      </w:r>
      <w:r w:rsidR="00331750" w:rsidRPr="00EA3458">
        <w:t xml:space="preserve"> guidelines</w:t>
      </w:r>
      <w:r w:rsidR="00C250A2">
        <w:t xml:space="preserve"> including a</w:t>
      </w:r>
      <w:r w:rsidR="00C250A2" w:rsidRPr="00EA3458">
        <w:t>n overview of key O</w:t>
      </w:r>
      <w:r w:rsidR="005E4E29">
        <w:t>D</w:t>
      </w:r>
      <w:r w:rsidR="00C250A2" w:rsidRPr="00EA3458">
        <w:t>T</w:t>
      </w:r>
      <w:r w:rsidR="005E4E29">
        <w:t xml:space="preserve"> medicine</w:t>
      </w:r>
      <w:r w:rsidR="00C250A2" w:rsidRPr="00EA3458">
        <w:t xml:space="preserve"> characteristics in each jurisdiction</w:t>
      </w:r>
      <w:r w:rsidR="00331750" w:rsidRPr="00EA3458">
        <w:t xml:space="preserve"> </w:t>
      </w:r>
      <w:r w:rsidR="00C250A2">
        <w:t>as well as</w:t>
      </w:r>
      <w:r>
        <w:t xml:space="preserve"> comparisons between methadone and buprenorphine </w:t>
      </w:r>
      <w:r w:rsidR="00331750" w:rsidRPr="00EA3458">
        <w:t xml:space="preserve">are discussed in further detail </w:t>
      </w:r>
      <w:r w:rsidRPr="00C73F48">
        <w:t xml:space="preserve">in </w:t>
      </w:r>
      <w:r w:rsidR="00C73F48" w:rsidRPr="00C73F48">
        <w:t xml:space="preserve">TOR 1 </w:t>
      </w:r>
      <w:r w:rsidRPr="00C73F48">
        <w:t>(</w:t>
      </w:r>
      <w:r w:rsidR="00C73F48" w:rsidRPr="00C73F48">
        <w:t>Part 2</w:t>
      </w:r>
      <w:r w:rsidRPr="00C73F48">
        <w:t>).</w:t>
      </w:r>
      <w:r w:rsidR="006A366A">
        <w:t xml:space="preserve"> M</w:t>
      </w:r>
      <w:r w:rsidR="006A366A">
        <w:rPr>
          <w:rFonts w:cstheme="minorHAnsi"/>
        </w:rPr>
        <w:t>ethadone and buprenorphine +/- naloxone both are considered effective in the treatment of opioid dependence and are considered first-line treatment options.</w:t>
      </w:r>
    </w:p>
    <w:p w14:paraId="134E7B23" w14:textId="77777777" w:rsidR="007E4412" w:rsidRPr="00EA3458" w:rsidRDefault="007E4412" w:rsidP="004132AD">
      <w:pPr>
        <w:pStyle w:val="Heading5"/>
      </w:pPr>
      <w:r w:rsidRPr="00EA3458">
        <w:t xml:space="preserve">Methadone </w:t>
      </w:r>
    </w:p>
    <w:p w14:paraId="44D6AF6D" w14:textId="721AB5D0" w:rsidR="007E4412" w:rsidRPr="00EA3458" w:rsidRDefault="00E405A0" w:rsidP="004132AD">
      <w:pPr>
        <w:spacing w:line="276" w:lineRule="auto"/>
        <w:rPr>
          <w:rFonts w:cs="Calibri"/>
          <w:color w:val="000000"/>
          <w:shd w:val="clear" w:color="auto" w:fill="FFFFFF"/>
        </w:rPr>
      </w:pPr>
      <w:r>
        <w:t>M</w:t>
      </w:r>
      <w:r w:rsidR="007E4412" w:rsidRPr="00EA3458">
        <w:t>ethadone is the most established medicine used as O</w:t>
      </w:r>
      <w:r w:rsidR="005E4E29">
        <w:t>D</w:t>
      </w:r>
      <w:r w:rsidR="007E4412" w:rsidRPr="00EA3458">
        <w:t xml:space="preserve">T. Being a synthetic opioid agonist, methadone is cross-tolerant with other opioid drugs and is administered orally. </w:t>
      </w:r>
      <w:r w:rsidR="007E4412" w:rsidRPr="00EA3458">
        <w:rPr>
          <w:rStyle w:val="normaltextrun"/>
          <w:rFonts w:cs="Calibri"/>
          <w:color w:val="000000"/>
          <w:shd w:val="clear" w:color="auto" w:fill="FFFFFF"/>
        </w:rPr>
        <w:t xml:space="preserve">As </w:t>
      </w:r>
      <w:r w:rsidR="005E4E29">
        <w:rPr>
          <w:rStyle w:val="normaltextrun"/>
          <w:rFonts w:cs="Calibri"/>
          <w:color w:val="000000"/>
          <w:shd w:val="clear" w:color="auto" w:fill="FFFFFF"/>
        </w:rPr>
        <w:t xml:space="preserve">a medicine for use as </w:t>
      </w:r>
      <w:r w:rsidR="007E4412" w:rsidRPr="00EA3458">
        <w:rPr>
          <w:rStyle w:val="normaltextrun"/>
          <w:rFonts w:cs="Calibri"/>
          <w:color w:val="000000"/>
          <w:shd w:val="clear" w:color="auto" w:fill="FFFFFF"/>
        </w:rPr>
        <w:t>O</w:t>
      </w:r>
      <w:r w:rsidR="005E4E29">
        <w:rPr>
          <w:rStyle w:val="normaltextrun"/>
          <w:rFonts w:cs="Calibri"/>
          <w:color w:val="000000"/>
          <w:shd w:val="clear" w:color="auto" w:fill="FFFFFF"/>
        </w:rPr>
        <w:t>D</w:t>
      </w:r>
      <w:r w:rsidR="007E4412" w:rsidRPr="00EA3458">
        <w:rPr>
          <w:rStyle w:val="normaltextrun"/>
          <w:rFonts w:cs="Calibri"/>
          <w:color w:val="000000"/>
          <w:shd w:val="clear" w:color="auto" w:fill="FFFFFF"/>
        </w:rPr>
        <w:t>T, methadone is available as an oral liquid and has a half-life of around 24-48 hours. </w:t>
      </w:r>
      <w:r w:rsidR="00623E25" w:rsidRPr="00EA3458">
        <w:t xml:space="preserve">As a full mu opioid receptor agonist, methadone is considered to have a stronger opioid effect, but has more side effects, </w:t>
      </w:r>
      <w:r w:rsidR="00CE01BF" w:rsidRPr="00EA3458">
        <w:t>risks,</w:t>
      </w:r>
      <w:r w:rsidR="00623E25" w:rsidRPr="00EA3458">
        <w:t xml:space="preserve"> and drug-drug interactions.</w:t>
      </w:r>
    </w:p>
    <w:p w14:paraId="7B14CDE6" w14:textId="77777777" w:rsidR="007E4412" w:rsidRPr="00EA3458" w:rsidRDefault="007E4412" w:rsidP="004132AD">
      <w:pPr>
        <w:pStyle w:val="Heading5"/>
      </w:pPr>
      <w:r w:rsidRPr="00EA3458">
        <w:t xml:space="preserve">Buprenorphine </w:t>
      </w:r>
    </w:p>
    <w:p w14:paraId="682BE092" w14:textId="504F6948" w:rsidR="007E4412" w:rsidRPr="00EA3458" w:rsidRDefault="007E4412" w:rsidP="004132AD">
      <w:pPr>
        <w:spacing w:line="276" w:lineRule="auto"/>
      </w:pPr>
      <w:r w:rsidRPr="004834C8">
        <w:t xml:space="preserve">Buprenorphine is considered </w:t>
      </w:r>
      <w:r w:rsidR="00E8696B" w:rsidRPr="004834C8">
        <w:t xml:space="preserve">to have </w:t>
      </w:r>
      <w:r w:rsidRPr="004834C8">
        <w:t xml:space="preserve">a reduced risk of over-sedation, respiratory </w:t>
      </w:r>
      <w:r w:rsidR="00CE01BF" w:rsidRPr="004834C8">
        <w:t>depression,</w:t>
      </w:r>
      <w:r w:rsidRPr="004834C8">
        <w:t xml:space="preserve"> and overdose.</w:t>
      </w:r>
      <w:r w:rsidRPr="00EA3458">
        <w:t xml:space="preserve"> Unlike methadone and heroin, buprenorphine is a synthetic partial opioid agonist with high receptor affinity and slow receptor dissociation. When combined with naloxone, buprenorphine may also block euphoric effect</w:t>
      </w:r>
      <w:r w:rsidR="008F3B08">
        <w:t>s</w:t>
      </w:r>
      <w:r w:rsidRPr="00EA3458">
        <w:t xml:space="preserve"> </w:t>
      </w:r>
      <w:r w:rsidR="008F3B08" w:rsidRPr="006A366A">
        <w:t>if the medication is injected rather than taken as intended as a sublingual dose</w:t>
      </w:r>
      <w:r w:rsidR="002565E6" w:rsidRPr="00EA3458">
        <w:fldChar w:fldCharType="begin"/>
      </w:r>
      <w:r w:rsidR="002565E6">
        <w:instrText xml:space="preserve"> ADDIN EN.CITE &lt;EndNote&gt;&lt;Cite&gt;&lt;Author&gt;Gowing&lt;/Author&gt;&lt;Year&gt;2014&lt;/Year&gt;&lt;RecNum&gt;13&lt;/RecNum&gt;&lt;DisplayText&gt;&lt;style face="superscript"&gt;15&lt;/style&gt;&lt;/DisplayText&gt;&lt;record&gt;&lt;rec-number&gt;13&lt;/rec-number&gt;&lt;foreign-keys&gt;&lt;key app="EN" db-id="xssz590sx9vzw4ewpzdv0s5sret50aexdtd9" timestamp="1668645290"&gt;13&lt;/key&gt;&lt;/foreign-keys&gt;&lt;ref-type name="Report"&gt;27&lt;/ref-type&gt;&lt;contributors&gt;&lt;authors&gt;&lt;author&gt;Gowing, L.,&lt;/author&gt;&lt;author&gt;Ali, R.&lt;/author&gt;&lt;author&gt;Dunlop, A.&lt;/author&gt;&lt;author&gt;Farrell, M.&lt;/author&gt;&lt;author&gt;Lintzeris, N.&lt;/author&gt;&lt;/authors&gt;&lt;/contributors&gt;&lt;titles&gt;&lt;title&gt;National Guidelines for Medication-Assisted Treatment of Opioid Dependence&lt;/title&gt;&lt;/titles&gt;&lt;dates&gt;&lt;year&gt;2014&lt;/year&gt;&lt;/dates&gt;&lt;pub-location&gt;Canberra&lt;/pub-location&gt;&lt;publisher&gt;Australian Government Department of Health&lt;/publisher&gt;&lt;urls&gt;&lt;/urls&gt;&lt;/record&gt;&lt;/Cite&gt;&lt;/EndNote&gt;</w:instrText>
      </w:r>
      <w:r w:rsidR="002565E6" w:rsidRPr="00EA3458">
        <w:fldChar w:fldCharType="separate"/>
      </w:r>
      <w:r w:rsidR="002565E6" w:rsidRPr="005531C9">
        <w:rPr>
          <w:noProof/>
          <w:vertAlign w:val="superscript"/>
        </w:rPr>
        <w:t>15</w:t>
      </w:r>
      <w:r w:rsidR="002565E6" w:rsidRPr="00EA3458">
        <w:fldChar w:fldCharType="end"/>
      </w:r>
      <w:r w:rsidR="008F3B08">
        <w:t xml:space="preserve">. </w:t>
      </w:r>
      <w:r w:rsidR="00E8696B" w:rsidRPr="006A366A">
        <w:t>Additionally,</w:t>
      </w:r>
      <w:r w:rsidR="008F3B08" w:rsidRPr="006A366A">
        <w:t xml:space="preserve"> maintenance </w:t>
      </w:r>
      <w:r w:rsidR="006A366A">
        <w:t>b</w:t>
      </w:r>
      <w:r w:rsidR="008F3B08" w:rsidRPr="006A366A">
        <w:t xml:space="preserve">uprenorphine </w:t>
      </w:r>
      <w:r w:rsidR="000C4B1E">
        <w:t>reduces</w:t>
      </w:r>
      <w:r w:rsidR="006A366A" w:rsidRPr="006A366A">
        <w:t xml:space="preserve"> </w:t>
      </w:r>
      <w:r w:rsidR="008F3B08" w:rsidRPr="006A366A">
        <w:t>the effects of co-administered opioids</w:t>
      </w:r>
      <w:r w:rsidRPr="00EA3458">
        <w:t>. Buprenorphine is available as a sublingual tablet (buprenorphine without naloxone), in a film preparation (</w:t>
      </w:r>
      <w:r w:rsidR="00270D98">
        <w:t>buprenorphine + naloxone</w:t>
      </w:r>
      <w:r w:rsidRPr="00EA3458">
        <w:t xml:space="preserve"> combination), or as a subcutaneous injection (long-acting buprenorphine without naloxone)</w:t>
      </w:r>
      <w:r w:rsidR="00BC75D8" w:rsidRPr="00EA3458">
        <w:t xml:space="preserve">. </w:t>
      </w:r>
      <w:r w:rsidRPr="00EA3458">
        <w:rPr>
          <w:shd w:val="clear" w:color="auto" w:fill="FFFF00"/>
        </w:rPr>
        <w:fldChar w:fldCharType="begin"/>
      </w:r>
      <w:r w:rsidR="00000000">
        <w:rPr>
          <w:shd w:val="clear" w:color="auto" w:fill="FFFF00"/>
        </w:rPr>
        <w:fldChar w:fldCharType="separate"/>
      </w:r>
      <w:r w:rsidRPr="00EA3458">
        <w:rPr>
          <w:shd w:val="clear" w:color="auto" w:fill="FFFF00"/>
        </w:rPr>
        <w:fldChar w:fldCharType="end"/>
      </w:r>
      <w:r w:rsidR="005F7787" w:rsidRPr="00EA3458">
        <w:t xml:space="preserve">LAIB </w:t>
      </w:r>
      <w:r w:rsidRPr="00EA3458">
        <w:t xml:space="preserve">are administered subcutaneously by a healthcare provider and release buprenorphine at a controlled rate over the dosing interval (weekly or monthly). </w:t>
      </w:r>
    </w:p>
    <w:p w14:paraId="7AAF160E" w14:textId="0474669D" w:rsidR="00BB063D" w:rsidRPr="00EA3458" w:rsidRDefault="00BB063D" w:rsidP="007E3DC8">
      <w:pPr>
        <w:pStyle w:val="Heading4"/>
        <w:numPr>
          <w:ilvl w:val="2"/>
          <w:numId w:val="21"/>
        </w:numPr>
      </w:pPr>
      <w:bookmarkStart w:id="22" w:name="_Hlk118813643"/>
      <w:r w:rsidRPr="00EA3458">
        <w:t>Current PBS listing of medicines</w:t>
      </w:r>
      <w:r w:rsidR="002F0AE3" w:rsidRPr="00EA3458">
        <w:t xml:space="preserve"> for</w:t>
      </w:r>
      <w:r w:rsidR="00FA193F" w:rsidRPr="00EA3458">
        <w:t xml:space="preserve"> the treatment of</w:t>
      </w:r>
      <w:r w:rsidR="002F0AE3" w:rsidRPr="00EA3458">
        <w:t xml:space="preserve"> opioid dependence </w:t>
      </w:r>
    </w:p>
    <w:p w14:paraId="6FCF6C75" w14:textId="0380CA08" w:rsidR="00FA193F" w:rsidRPr="00EA3458" w:rsidRDefault="002F0AE3" w:rsidP="004132AD">
      <w:pPr>
        <w:rPr>
          <w:rFonts w:cstheme="minorHAnsi"/>
        </w:rPr>
      </w:pPr>
      <w:r w:rsidRPr="00EA3458">
        <w:t>The PMR focus</w:t>
      </w:r>
      <w:r w:rsidR="005F7787" w:rsidRPr="00EA3458">
        <w:t>ses</w:t>
      </w:r>
      <w:r w:rsidRPr="00EA3458">
        <w:t xml:space="preserve"> on medicines recommended for agonist maintenance that are listed on the PBS (Table 1). </w:t>
      </w:r>
      <w:r w:rsidRPr="00EA3458">
        <w:rPr>
          <w:rFonts w:cstheme="minorHAnsi"/>
        </w:rPr>
        <w:t xml:space="preserve">Although methadone and buprenorphine +/- naloxone have different pharmacological profiles, both are considered safe and effective in the treatment of opioid dependence and the choice of medicine should be based on the individual needs of the </w:t>
      </w:r>
      <w:r w:rsidRPr="00EA3458">
        <w:rPr>
          <w:rFonts w:cstheme="minorHAnsi"/>
        </w:rPr>
        <w:lastRenderedPageBreak/>
        <w:t xml:space="preserve">consumer. Both methadone and buprenorphine +/- naloxone are considered first-line treatment options. </w:t>
      </w:r>
    </w:p>
    <w:p w14:paraId="7ED33C64" w14:textId="4D5967A6" w:rsidR="00FA193F" w:rsidRPr="00EA3458" w:rsidRDefault="00FA193F" w:rsidP="004132AD">
      <w:pPr>
        <w:rPr>
          <w:rFonts w:cstheme="minorHAnsi"/>
        </w:rPr>
      </w:pPr>
      <w:r w:rsidRPr="00EA3458">
        <w:rPr>
          <w:rFonts w:cstheme="minorHAnsi"/>
        </w:rPr>
        <w:t xml:space="preserve">Other medicines that could be used for the treatment of opioid dependence </w:t>
      </w:r>
      <w:r w:rsidR="002057DA" w:rsidRPr="00EA3458">
        <w:rPr>
          <w:rFonts w:cstheme="minorHAnsi"/>
        </w:rPr>
        <w:t xml:space="preserve">that are not currently listed on the PBS </w:t>
      </w:r>
      <w:r w:rsidRPr="00EA3458">
        <w:rPr>
          <w:rFonts w:cstheme="minorHAnsi"/>
        </w:rPr>
        <w:t xml:space="preserve">have been raised through the consultation process however </w:t>
      </w:r>
      <w:r w:rsidR="000C4B1E">
        <w:rPr>
          <w:rFonts w:cstheme="minorHAnsi"/>
        </w:rPr>
        <w:t>only ODT medicines currently listed on the PBS</w:t>
      </w:r>
      <w:r w:rsidR="000C4B1E" w:rsidRPr="00EA3458">
        <w:rPr>
          <w:rFonts w:cstheme="minorHAnsi"/>
        </w:rPr>
        <w:t xml:space="preserve"> </w:t>
      </w:r>
      <w:r w:rsidR="000C4B1E">
        <w:rPr>
          <w:rFonts w:cstheme="minorHAnsi"/>
        </w:rPr>
        <w:t xml:space="preserve">were included in the </w:t>
      </w:r>
      <w:r w:rsidRPr="00EA3458">
        <w:rPr>
          <w:rFonts w:cstheme="minorHAnsi"/>
        </w:rPr>
        <w:t xml:space="preserve">Review. </w:t>
      </w:r>
      <w:r w:rsidR="000058B6" w:rsidRPr="003E5C83">
        <w:rPr>
          <w:rFonts w:cstheme="minorHAnsi"/>
          <w:bCs/>
        </w:rPr>
        <w:t xml:space="preserve">Consideration of emerging pharmacotherapies that are not currently subsidised under the </w:t>
      </w:r>
      <w:r w:rsidR="000058B6">
        <w:rPr>
          <w:rFonts w:cstheme="minorHAnsi"/>
          <w:bCs/>
        </w:rPr>
        <w:t>PBS</w:t>
      </w:r>
      <w:r w:rsidR="000058B6" w:rsidRPr="003E5C83">
        <w:rPr>
          <w:rFonts w:cstheme="minorHAnsi"/>
          <w:bCs/>
        </w:rPr>
        <w:t xml:space="preserve"> or registered on the Australian Register of Therapeutic Goods for treatment of opioid dependence should follow the standard procedure guidance for listing medicines on the PBS.</w:t>
      </w:r>
    </w:p>
    <w:p w14:paraId="784E7150" w14:textId="0212DEC5" w:rsidR="002F0AE3" w:rsidRPr="00EA3458" w:rsidRDefault="002F0AE3" w:rsidP="004132AD">
      <w:pPr>
        <w:rPr>
          <w:rFonts w:cstheme="minorHAnsi"/>
        </w:rPr>
      </w:pPr>
      <w:r w:rsidRPr="00EA3458">
        <w:rPr>
          <w:rFonts w:cstheme="minorHAnsi"/>
        </w:rPr>
        <w:t xml:space="preserve">Access to these PBS subsidised medicines through state and territory </w:t>
      </w:r>
      <w:r w:rsidR="002057DA" w:rsidRPr="00EA3458">
        <w:rPr>
          <w:rFonts w:cstheme="minorHAnsi"/>
        </w:rPr>
        <w:t xml:space="preserve">ODT </w:t>
      </w:r>
      <w:r w:rsidRPr="00EA3458">
        <w:rPr>
          <w:rFonts w:cstheme="minorHAnsi"/>
        </w:rPr>
        <w:t xml:space="preserve">programs is described below </w:t>
      </w:r>
      <w:r w:rsidR="002057DA" w:rsidRPr="0015619D">
        <w:rPr>
          <w:rFonts w:cstheme="minorHAnsi"/>
        </w:rPr>
        <w:t xml:space="preserve">in </w:t>
      </w:r>
      <w:r w:rsidR="006D1683">
        <w:rPr>
          <w:rFonts w:cstheme="minorHAnsi"/>
        </w:rPr>
        <w:t>S</w:t>
      </w:r>
      <w:r w:rsidR="002057DA" w:rsidRPr="0015619D">
        <w:rPr>
          <w:rFonts w:cstheme="minorHAnsi"/>
        </w:rPr>
        <w:t xml:space="preserve">ection </w:t>
      </w:r>
      <w:r w:rsidR="0015619D" w:rsidRPr="0015619D">
        <w:rPr>
          <w:rFonts w:cstheme="minorHAnsi"/>
        </w:rPr>
        <w:t>1</w:t>
      </w:r>
      <w:r w:rsidR="002057DA" w:rsidRPr="0015619D">
        <w:rPr>
          <w:rFonts w:cstheme="minorHAnsi"/>
        </w:rPr>
        <w:t>.</w:t>
      </w:r>
      <w:r w:rsidR="006D1683">
        <w:rPr>
          <w:rFonts w:cstheme="minorHAnsi"/>
        </w:rPr>
        <w:t>7</w:t>
      </w:r>
      <w:r w:rsidRPr="0015619D">
        <w:rPr>
          <w:rFonts w:cstheme="minorHAnsi"/>
        </w:rPr>
        <w:t>.</w:t>
      </w:r>
      <w:r w:rsidRPr="00EA3458">
        <w:rPr>
          <w:rFonts w:cstheme="minorHAnsi"/>
        </w:rPr>
        <w:t xml:space="preserve">  </w:t>
      </w:r>
    </w:p>
    <w:bookmarkEnd w:id="22"/>
    <w:p w14:paraId="212D83DE" w14:textId="76A75F4A" w:rsidR="00C90937" w:rsidRPr="00EA3458" w:rsidRDefault="00BB063D" w:rsidP="004132AD">
      <w:r w:rsidRPr="00EA3458">
        <w:t>The O</w:t>
      </w:r>
      <w:r w:rsidR="005E4E29">
        <w:t>D</w:t>
      </w:r>
      <w:r w:rsidRPr="00EA3458">
        <w:t xml:space="preserve">T medicines currently listed on the PBS and their corresponding criteria for availability are shown in Table </w:t>
      </w:r>
      <w:r w:rsidR="005756A2" w:rsidRPr="00EA3458">
        <w:t>1</w:t>
      </w:r>
      <w:r w:rsidRPr="00EA3458">
        <w:t>.</w:t>
      </w:r>
    </w:p>
    <w:p w14:paraId="1651E074" w14:textId="05BDDB63" w:rsidR="00BB063D" w:rsidRPr="00EA3458" w:rsidRDefault="00BB063D" w:rsidP="00C571F0">
      <w:pPr>
        <w:pStyle w:val="Tables"/>
      </w:pPr>
      <w:bookmarkStart w:id="23" w:name="_Toc99542090"/>
      <w:bookmarkStart w:id="24" w:name="_Toc120183433"/>
      <w:bookmarkStart w:id="25" w:name="_Toc132823421"/>
      <w:r w:rsidRPr="00EA3458">
        <w:t xml:space="preserve">Table </w:t>
      </w:r>
      <w:r w:rsidR="005756A2" w:rsidRPr="00EA3458">
        <w:t>1</w:t>
      </w:r>
      <w:r w:rsidRPr="00EA3458">
        <w:t>. PBS O</w:t>
      </w:r>
      <w:r w:rsidR="005E4E29">
        <w:t>D</w:t>
      </w:r>
      <w:r w:rsidRPr="00EA3458">
        <w:t>T medicine listings and criteria for availabil</w:t>
      </w:r>
      <w:r w:rsidRPr="00DA49F8">
        <w:t>ity</w:t>
      </w:r>
      <w:bookmarkEnd w:id="23"/>
      <w:r w:rsidR="006704B3">
        <w:rPr>
          <w:vertAlign w:val="superscript"/>
        </w:rPr>
        <w:t>*</w:t>
      </w:r>
      <w:bookmarkEnd w:id="24"/>
      <w:bookmarkEnd w:id="25"/>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PBS OAT medicine listings and criteria for availability"/>
        <w:tblDescription w:val="A table listing the four available OAT medicines and their criteria for availability. These medicines are Buprenorphine sublingual tablets, buprenorphine injection, buprenorphine + naloxone sublingual films, and methadone liquid."/>
      </w:tblPr>
      <w:tblGrid>
        <w:gridCol w:w="2263"/>
        <w:gridCol w:w="1276"/>
        <w:gridCol w:w="5477"/>
      </w:tblGrid>
      <w:tr w:rsidR="00BB063D" w:rsidRPr="00EA3458" w14:paraId="5437306C" w14:textId="77777777" w:rsidTr="000837D6">
        <w:tc>
          <w:tcPr>
            <w:tcW w:w="226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5E1C7EC2" w14:textId="6FDC6038" w:rsidR="00BB063D" w:rsidRPr="00677219" w:rsidRDefault="00BB063D" w:rsidP="00780238">
            <w:pPr>
              <w:jc w:val="left"/>
              <w:rPr>
                <w:b/>
                <w:sz w:val="20"/>
                <w:szCs w:val="20"/>
              </w:rPr>
            </w:pPr>
            <w:r w:rsidRPr="00677219">
              <w:rPr>
                <w:b/>
                <w:sz w:val="20"/>
                <w:szCs w:val="20"/>
              </w:rPr>
              <w:t>O</w:t>
            </w:r>
            <w:r w:rsidR="005E4E29">
              <w:rPr>
                <w:b/>
                <w:sz w:val="20"/>
                <w:szCs w:val="20"/>
              </w:rPr>
              <w:t>D</w:t>
            </w:r>
            <w:r w:rsidRPr="00677219">
              <w:rPr>
                <w:b/>
                <w:sz w:val="20"/>
                <w:szCs w:val="20"/>
              </w:rPr>
              <w:t>T medicine</w:t>
            </w:r>
          </w:p>
        </w:tc>
        <w:tc>
          <w:tcPr>
            <w:tcW w:w="12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0637B04C" w14:textId="77777777" w:rsidR="00BB063D" w:rsidRPr="00677219" w:rsidRDefault="00BB063D" w:rsidP="00780238">
            <w:pPr>
              <w:jc w:val="left"/>
              <w:rPr>
                <w:b/>
                <w:sz w:val="20"/>
                <w:szCs w:val="20"/>
              </w:rPr>
            </w:pPr>
            <w:r w:rsidRPr="00677219">
              <w:rPr>
                <w:b/>
                <w:sz w:val="20"/>
                <w:szCs w:val="20"/>
              </w:rPr>
              <w:t>PBS item codes</w:t>
            </w:r>
          </w:p>
        </w:tc>
        <w:tc>
          <w:tcPr>
            <w:tcW w:w="547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21730297" w14:textId="5F960AF4" w:rsidR="00BB063D" w:rsidRPr="00677219" w:rsidRDefault="00BB063D" w:rsidP="00780238">
            <w:pPr>
              <w:jc w:val="left"/>
              <w:rPr>
                <w:b/>
                <w:sz w:val="20"/>
                <w:szCs w:val="20"/>
              </w:rPr>
            </w:pPr>
            <w:r w:rsidRPr="00677219">
              <w:rPr>
                <w:b/>
                <w:sz w:val="20"/>
                <w:szCs w:val="20"/>
              </w:rPr>
              <w:t>PBS criteria for availability</w:t>
            </w:r>
            <w:r w:rsidR="001353F7" w:rsidRPr="001353F7">
              <w:rPr>
                <w:b/>
                <w:sz w:val="20"/>
                <w:szCs w:val="20"/>
                <w:vertAlign w:val="superscript"/>
              </w:rPr>
              <w:t>†</w:t>
            </w:r>
          </w:p>
        </w:tc>
      </w:tr>
      <w:tr w:rsidR="00BB063D" w:rsidRPr="00EA3458" w14:paraId="16A5AC99" w14:textId="77777777" w:rsidTr="000837D6">
        <w:tc>
          <w:tcPr>
            <w:tcW w:w="2263" w:type="dxa"/>
            <w:tcBorders>
              <w:top w:val="single" w:sz="4" w:space="0" w:color="7F7F7F" w:themeColor="text1" w:themeTint="80"/>
              <w:left w:val="single" w:sz="4" w:space="0" w:color="7F7F7F" w:themeColor="text1" w:themeTint="80"/>
              <w:bottom w:val="dotted" w:sz="4" w:space="0" w:color="auto"/>
              <w:right w:val="single" w:sz="4" w:space="0" w:color="7F7F7F" w:themeColor="text1" w:themeTint="80"/>
            </w:tcBorders>
          </w:tcPr>
          <w:p w14:paraId="644989B5" w14:textId="77777777" w:rsidR="00BB063D" w:rsidRPr="00677219" w:rsidRDefault="00BB063D" w:rsidP="00780238">
            <w:pPr>
              <w:jc w:val="left"/>
              <w:rPr>
                <w:sz w:val="20"/>
                <w:szCs w:val="20"/>
              </w:rPr>
            </w:pPr>
            <w:r w:rsidRPr="00677219">
              <w:rPr>
                <w:sz w:val="20"/>
                <w:szCs w:val="20"/>
              </w:rPr>
              <w:t xml:space="preserve">Buprenorphine sublingual tablets </w:t>
            </w:r>
          </w:p>
          <w:p w14:paraId="7434C2DC" w14:textId="77777777" w:rsidR="00BB063D" w:rsidRPr="00677219" w:rsidRDefault="00BB063D" w:rsidP="00780238">
            <w:pPr>
              <w:jc w:val="left"/>
              <w:rPr>
                <w:sz w:val="20"/>
                <w:szCs w:val="20"/>
              </w:rPr>
            </w:pPr>
            <w:r w:rsidRPr="00677219">
              <w:rPr>
                <w:sz w:val="20"/>
                <w:szCs w:val="20"/>
              </w:rPr>
              <w:t>(Subutex®)</w:t>
            </w:r>
          </w:p>
        </w:tc>
        <w:tc>
          <w:tcPr>
            <w:tcW w:w="1276" w:type="dxa"/>
            <w:tcBorders>
              <w:top w:val="single" w:sz="4" w:space="0" w:color="7F7F7F" w:themeColor="text1" w:themeTint="80"/>
              <w:left w:val="single" w:sz="4" w:space="0" w:color="7F7F7F" w:themeColor="text1" w:themeTint="80"/>
              <w:bottom w:val="dotted" w:sz="4" w:space="0" w:color="auto"/>
              <w:right w:val="single" w:sz="4" w:space="0" w:color="7F7F7F" w:themeColor="text1" w:themeTint="80"/>
            </w:tcBorders>
          </w:tcPr>
          <w:p w14:paraId="27247785" w14:textId="77777777" w:rsidR="00BB063D" w:rsidRPr="00677219" w:rsidRDefault="00BB063D" w:rsidP="00780238">
            <w:pPr>
              <w:jc w:val="left"/>
              <w:rPr>
                <w:sz w:val="20"/>
                <w:szCs w:val="20"/>
              </w:rPr>
            </w:pPr>
            <w:r w:rsidRPr="00677219">
              <w:rPr>
                <w:sz w:val="20"/>
                <w:szCs w:val="20"/>
              </w:rPr>
              <w:t>6307Y</w:t>
            </w:r>
          </w:p>
          <w:p w14:paraId="3D09FE10" w14:textId="77777777" w:rsidR="00BB063D" w:rsidRPr="00677219" w:rsidRDefault="00BB063D" w:rsidP="00780238">
            <w:pPr>
              <w:jc w:val="left"/>
              <w:rPr>
                <w:sz w:val="20"/>
                <w:szCs w:val="20"/>
              </w:rPr>
            </w:pPr>
            <w:r w:rsidRPr="00677219">
              <w:rPr>
                <w:sz w:val="20"/>
                <w:szCs w:val="20"/>
              </w:rPr>
              <w:t>6308B</w:t>
            </w:r>
          </w:p>
          <w:p w14:paraId="43646FFF" w14:textId="77777777" w:rsidR="00BB063D" w:rsidRPr="00677219" w:rsidRDefault="00BB063D" w:rsidP="00780238">
            <w:pPr>
              <w:jc w:val="left"/>
              <w:rPr>
                <w:sz w:val="20"/>
                <w:szCs w:val="20"/>
              </w:rPr>
            </w:pPr>
            <w:r w:rsidRPr="00677219">
              <w:rPr>
                <w:sz w:val="20"/>
                <w:szCs w:val="20"/>
              </w:rPr>
              <w:t xml:space="preserve">6309C </w:t>
            </w:r>
          </w:p>
        </w:tc>
        <w:tc>
          <w:tcPr>
            <w:tcW w:w="5477" w:type="dxa"/>
            <w:tcBorders>
              <w:top w:val="single" w:sz="4" w:space="0" w:color="7F7F7F" w:themeColor="text1" w:themeTint="80"/>
              <w:left w:val="single" w:sz="4" w:space="0" w:color="7F7F7F" w:themeColor="text1" w:themeTint="80"/>
              <w:bottom w:val="dotted" w:sz="4" w:space="0" w:color="auto"/>
              <w:right w:val="single" w:sz="4" w:space="0" w:color="7F7F7F" w:themeColor="text1" w:themeTint="80"/>
            </w:tcBorders>
          </w:tcPr>
          <w:p w14:paraId="7F296EB6" w14:textId="77777777" w:rsidR="00BB063D" w:rsidRPr="00677219" w:rsidRDefault="00BB063D" w:rsidP="007E3DC8">
            <w:pPr>
              <w:pStyle w:val="ListParagraph"/>
              <w:numPr>
                <w:ilvl w:val="0"/>
                <w:numId w:val="7"/>
              </w:numPr>
              <w:spacing w:after="0" w:line="240" w:lineRule="auto"/>
              <w:ind w:left="313" w:hanging="283"/>
              <w:jc w:val="left"/>
              <w:rPr>
                <w:sz w:val="20"/>
                <w:szCs w:val="20"/>
              </w:rPr>
            </w:pPr>
            <w:r w:rsidRPr="00677219">
              <w:rPr>
                <w:sz w:val="20"/>
                <w:szCs w:val="20"/>
              </w:rPr>
              <w:t>Opiate dependence</w:t>
            </w:r>
          </w:p>
          <w:p w14:paraId="73893D97" w14:textId="77777777" w:rsidR="00BB063D" w:rsidRPr="00677219" w:rsidRDefault="00BB063D" w:rsidP="007E3DC8">
            <w:pPr>
              <w:pStyle w:val="ListParagraph"/>
              <w:numPr>
                <w:ilvl w:val="0"/>
                <w:numId w:val="7"/>
              </w:numPr>
              <w:spacing w:after="0" w:line="240" w:lineRule="auto"/>
              <w:ind w:left="313" w:hanging="283"/>
              <w:jc w:val="left"/>
              <w:rPr>
                <w:sz w:val="20"/>
                <w:szCs w:val="20"/>
              </w:rPr>
            </w:pPr>
            <w:r w:rsidRPr="00677219">
              <w:rPr>
                <w:sz w:val="20"/>
                <w:szCs w:val="20"/>
              </w:rPr>
              <w:t>Treatment Phase: Maintenance and detoxification (withdrawal)</w:t>
            </w:r>
          </w:p>
          <w:p w14:paraId="730CC542" w14:textId="0A1926A6" w:rsidR="00BB063D" w:rsidRPr="00677219" w:rsidRDefault="00BB063D" w:rsidP="007E3DC8">
            <w:pPr>
              <w:pStyle w:val="ListParagraph"/>
              <w:numPr>
                <w:ilvl w:val="0"/>
                <w:numId w:val="7"/>
              </w:numPr>
              <w:spacing w:after="0" w:line="240" w:lineRule="auto"/>
              <w:ind w:left="313" w:hanging="283"/>
              <w:jc w:val="left"/>
              <w:rPr>
                <w:sz w:val="20"/>
                <w:szCs w:val="20"/>
              </w:rPr>
            </w:pPr>
            <w:r w:rsidRPr="00677219">
              <w:rPr>
                <w:sz w:val="20"/>
                <w:szCs w:val="20"/>
              </w:rPr>
              <w:t>The treatment must be within a framework of medical, social, and psychological treatment</w:t>
            </w:r>
          </w:p>
          <w:p w14:paraId="4BF87B79" w14:textId="77777777" w:rsidR="00BB063D" w:rsidRPr="00677219" w:rsidRDefault="00BB063D" w:rsidP="00780238">
            <w:pPr>
              <w:jc w:val="left"/>
              <w:rPr>
                <w:sz w:val="20"/>
                <w:szCs w:val="20"/>
              </w:rPr>
            </w:pPr>
          </w:p>
        </w:tc>
      </w:tr>
      <w:tr w:rsidR="00BB063D" w:rsidRPr="00EA3458" w14:paraId="4F755B23" w14:textId="77777777" w:rsidTr="000837D6">
        <w:tc>
          <w:tcPr>
            <w:tcW w:w="2263" w:type="dxa"/>
            <w:tcBorders>
              <w:top w:val="dotted" w:sz="4" w:space="0" w:color="auto"/>
              <w:left w:val="single" w:sz="4" w:space="0" w:color="7F7F7F" w:themeColor="text1" w:themeTint="80"/>
              <w:bottom w:val="dotted" w:sz="4" w:space="0" w:color="auto"/>
              <w:right w:val="single" w:sz="4" w:space="0" w:color="7F7F7F" w:themeColor="text1" w:themeTint="80"/>
            </w:tcBorders>
          </w:tcPr>
          <w:p w14:paraId="6CDB22AD" w14:textId="77777777" w:rsidR="00BB063D" w:rsidRPr="00677219" w:rsidRDefault="00BB063D" w:rsidP="00780238">
            <w:pPr>
              <w:jc w:val="left"/>
              <w:rPr>
                <w:sz w:val="20"/>
                <w:szCs w:val="20"/>
              </w:rPr>
            </w:pPr>
            <w:r w:rsidRPr="00677219">
              <w:rPr>
                <w:sz w:val="20"/>
                <w:szCs w:val="20"/>
              </w:rPr>
              <w:t>Buprenorphine injection</w:t>
            </w:r>
          </w:p>
          <w:p w14:paraId="2DCE306C" w14:textId="77777777" w:rsidR="00BB063D" w:rsidRPr="00677219" w:rsidRDefault="00BB063D" w:rsidP="00780238">
            <w:pPr>
              <w:jc w:val="left"/>
              <w:rPr>
                <w:sz w:val="20"/>
                <w:szCs w:val="20"/>
              </w:rPr>
            </w:pPr>
            <w:r w:rsidRPr="00677219">
              <w:rPr>
                <w:sz w:val="20"/>
                <w:szCs w:val="20"/>
              </w:rPr>
              <w:t>(Buvidal® and Sublocade®)</w:t>
            </w:r>
          </w:p>
        </w:tc>
        <w:tc>
          <w:tcPr>
            <w:tcW w:w="1276" w:type="dxa"/>
            <w:tcBorders>
              <w:top w:val="dotted" w:sz="4" w:space="0" w:color="auto"/>
              <w:left w:val="single" w:sz="4" w:space="0" w:color="7F7F7F" w:themeColor="text1" w:themeTint="80"/>
              <w:bottom w:val="dotted" w:sz="4" w:space="0" w:color="auto"/>
              <w:right w:val="single" w:sz="4" w:space="0" w:color="7F7F7F" w:themeColor="text1" w:themeTint="80"/>
            </w:tcBorders>
          </w:tcPr>
          <w:p w14:paraId="5A247686" w14:textId="77777777" w:rsidR="00BB063D" w:rsidRPr="00677219" w:rsidRDefault="00BB063D" w:rsidP="00780238">
            <w:pPr>
              <w:jc w:val="left"/>
              <w:rPr>
                <w:sz w:val="20"/>
                <w:szCs w:val="20"/>
              </w:rPr>
            </w:pPr>
            <w:r w:rsidRPr="00677219">
              <w:rPr>
                <w:sz w:val="20"/>
                <w:szCs w:val="20"/>
              </w:rPr>
              <w:t>11754P</w:t>
            </w:r>
          </w:p>
          <w:p w14:paraId="43E3E3F9" w14:textId="77777777" w:rsidR="00BB063D" w:rsidRPr="00677219" w:rsidRDefault="00BB063D" w:rsidP="00780238">
            <w:pPr>
              <w:jc w:val="left"/>
              <w:rPr>
                <w:sz w:val="20"/>
                <w:szCs w:val="20"/>
              </w:rPr>
            </w:pPr>
            <w:r w:rsidRPr="00677219">
              <w:rPr>
                <w:sz w:val="20"/>
                <w:szCs w:val="20"/>
              </w:rPr>
              <w:t xml:space="preserve">11759X </w:t>
            </w:r>
          </w:p>
          <w:p w14:paraId="18AD9383" w14:textId="77777777" w:rsidR="00BB063D" w:rsidRPr="00677219" w:rsidRDefault="00BB063D" w:rsidP="00780238">
            <w:pPr>
              <w:jc w:val="left"/>
              <w:rPr>
                <w:sz w:val="20"/>
                <w:szCs w:val="20"/>
              </w:rPr>
            </w:pPr>
            <w:r w:rsidRPr="00677219">
              <w:rPr>
                <w:sz w:val="20"/>
                <w:szCs w:val="20"/>
              </w:rPr>
              <w:t>11766G</w:t>
            </w:r>
          </w:p>
          <w:p w14:paraId="5600CA13" w14:textId="77777777" w:rsidR="00BB063D" w:rsidRPr="00677219" w:rsidRDefault="00BB063D" w:rsidP="00780238">
            <w:pPr>
              <w:jc w:val="left"/>
              <w:rPr>
                <w:sz w:val="20"/>
                <w:szCs w:val="20"/>
              </w:rPr>
            </w:pPr>
            <w:r w:rsidRPr="00677219">
              <w:rPr>
                <w:sz w:val="20"/>
                <w:szCs w:val="20"/>
              </w:rPr>
              <w:t>11767H</w:t>
            </w:r>
          </w:p>
          <w:p w14:paraId="775531A9" w14:textId="77777777" w:rsidR="00BB063D" w:rsidRPr="00677219" w:rsidRDefault="00BB063D" w:rsidP="00780238">
            <w:pPr>
              <w:jc w:val="left"/>
              <w:rPr>
                <w:sz w:val="20"/>
                <w:szCs w:val="20"/>
              </w:rPr>
            </w:pPr>
            <w:r w:rsidRPr="00677219">
              <w:rPr>
                <w:sz w:val="20"/>
                <w:szCs w:val="20"/>
              </w:rPr>
              <w:t>11768J</w:t>
            </w:r>
          </w:p>
          <w:p w14:paraId="1A5F1CC7" w14:textId="77777777" w:rsidR="00BB063D" w:rsidRPr="00677219" w:rsidRDefault="00BB063D" w:rsidP="00780238">
            <w:pPr>
              <w:jc w:val="left"/>
              <w:rPr>
                <w:sz w:val="20"/>
                <w:szCs w:val="20"/>
              </w:rPr>
            </w:pPr>
            <w:r w:rsidRPr="00677219">
              <w:rPr>
                <w:sz w:val="20"/>
                <w:szCs w:val="20"/>
              </w:rPr>
              <w:t>11773P</w:t>
            </w:r>
          </w:p>
          <w:p w14:paraId="4DDFC5D9" w14:textId="77777777" w:rsidR="00BB063D" w:rsidRPr="00677219" w:rsidRDefault="00BB063D" w:rsidP="00780238">
            <w:pPr>
              <w:jc w:val="left"/>
              <w:rPr>
                <w:sz w:val="20"/>
                <w:szCs w:val="20"/>
              </w:rPr>
            </w:pPr>
            <w:r w:rsidRPr="00677219">
              <w:rPr>
                <w:sz w:val="20"/>
                <w:szCs w:val="20"/>
              </w:rPr>
              <w:t xml:space="preserve">11774Q </w:t>
            </w:r>
          </w:p>
          <w:p w14:paraId="1CB60195" w14:textId="77777777" w:rsidR="00BB063D" w:rsidRPr="00677219" w:rsidRDefault="00BB063D" w:rsidP="00780238">
            <w:pPr>
              <w:jc w:val="left"/>
              <w:rPr>
                <w:sz w:val="20"/>
                <w:szCs w:val="20"/>
              </w:rPr>
            </w:pPr>
            <w:r w:rsidRPr="00677219">
              <w:rPr>
                <w:sz w:val="20"/>
                <w:szCs w:val="20"/>
              </w:rPr>
              <w:t>11987X</w:t>
            </w:r>
          </w:p>
          <w:p w14:paraId="0D676C40" w14:textId="77777777" w:rsidR="00BB063D" w:rsidRPr="00677219" w:rsidRDefault="00BB063D" w:rsidP="00780238">
            <w:pPr>
              <w:jc w:val="left"/>
              <w:rPr>
                <w:sz w:val="20"/>
                <w:szCs w:val="20"/>
              </w:rPr>
            </w:pPr>
            <w:r w:rsidRPr="00677219">
              <w:rPr>
                <w:sz w:val="20"/>
                <w:szCs w:val="20"/>
              </w:rPr>
              <w:t>11990C</w:t>
            </w:r>
          </w:p>
          <w:p w14:paraId="53B092CA" w14:textId="77777777" w:rsidR="00BB063D" w:rsidRPr="00677219" w:rsidRDefault="00BB063D" w:rsidP="00780238">
            <w:pPr>
              <w:jc w:val="left"/>
              <w:rPr>
                <w:sz w:val="20"/>
                <w:szCs w:val="20"/>
              </w:rPr>
            </w:pPr>
            <w:r w:rsidRPr="00677219">
              <w:rPr>
                <w:sz w:val="20"/>
                <w:szCs w:val="20"/>
              </w:rPr>
              <w:t xml:space="preserve">12981F </w:t>
            </w:r>
          </w:p>
        </w:tc>
        <w:tc>
          <w:tcPr>
            <w:tcW w:w="5477" w:type="dxa"/>
            <w:tcBorders>
              <w:top w:val="dotted" w:sz="4" w:space="0" w:color="auto"/>
              <w:left w:val="single" w:sz="4" w:space="0" w:color="7F7F7F" w:themeColor="text1" w:themeTint="80"/>
              <w:bottom w:val="dotted" w:sz="4" w:space="0" w:color="auto"/>
              <w:right w:val="single" w:sz="4" w:space="0" w:color="7F7F7F" w:themeColor="text1" w:themeTint="80"/>
            </w:tcBorders>
          </w:tcPr>
          <w:p w14:paraId="37FC2A6C" w14:textId="77777777" w:rsidR="00BB063D" w:rsidRPr="00677219" w:rsidRDefault="00BB063D" w:rsidP="007E3DC8">
            <w:pPr>
              <w:pStyle w:val="ListParagraph"/>
              <w:numPr>
                <w:ilvl w:val="0"/>
                <w:numId w:val="6"/>
              </w:numPr>
              <w:spacing w:after="0" w:line="240" w:lineRule="auto"/>
              <w:ind w:left="313" w:hanging="283"/>
              <w:jc w:val="left"/>
              <w:rPr>
                <w:sz w:val="20"/>
                <w:szCs w:val="20"/>
              </w:rPr>
            </w:pPr>
            <w:r w:rsidRPr="00677219">
              <w:rPr>
                <w:sz w:val="20"/>
                <w:szCs w:val="20"/>
              </w:rPr>
              <w:t>Opiate dependence</w:t>
            </w:r>
          </w:p>
          <w:p w14:paraId="5FF43F4F" w14:textId="77777777" w:rsidR="00BB063D" w:rsidRPr="00677219" w:rsidRDefault="00BB063D" w:rsidP="007E3DC8">
            <w:pPr>
              <w:pStyle w:val="ListParagraph"/>
              <w:numPr>
                <w:ilvl w:val="0"/>
                <w:numId w:val="6"/>
              </w:numPr>
              <w:spacing w:after="0" w:line="240" w:lineRule="auto"/>
              <w:ind w:left="313" w:hanging="283"/>
              <w:jc w:val="left"/>
              <w:rPr>
                <w:sz w:val="20"/>
                <w:szCs w:val="20"/>
              </w:rPr>
            </w:pPr>
            <w:r w:rsidRPr="00677219">
              <w:rPr>
                <w:sz w:val="20"/>
                <w:szCs w:val="20"/>
              </w:rPr>
              <w:t>Must be treated by a health care professional</w:t>
            </w:r>
          </w:p>
          <w:p w14:paraId="382D9DE1" w14:textId="6A0E1124" w:rsidR="00BB063D" w:rsidRDefault="00BB063D" w:rsidP="007E3DC8">
            <w:pPr>
              <w:pStyle w:val="ListParagraph"/>
              <w:numPr>
                <w:ilvl w:val="0"/>
                <w:numId w:val="6"/>
              </w:numPr>
              <w:spacing w:after="0" w:line="240" w:lineRule="auto"/>
              <w:ind w:left="313" w:hanging="283"/>
              <w:jc w:val="left"/>
              <w:rPr>
                <w:sz w:val="20"/>
                <w:szCs w:val="20"/>
              </w:rPr>
            </w:pPr>
            <w:r w:rsidRPr="00677219">
              <w:rPr>
                <w:sz w:val="20"/>
                <w:szCs w:val="20"/>
              </w:rPr>
              <w:t xml:space="preserve">The treatment must be within a framework of medical, </w:t>
            </w:r>
            <w:r w:rsidR="00CE01BF" w:rsidRPr="00677219">
              <w:rPr>
                <w:sz w:val="20"/>
                <w:szCs w:val="20"/>
              </w:rPr>
              <w:t>social,</w:t>
            </w:r>
            <w:r w:rsidRPr="00677219">
              <w:rPr>
                <w:sz w:val="20"/>
                <w:szCs w:val="20"/>
              </w:rPr>
              <w:t xml:space="preserve"> and psychological treatment</w:t>
            </w:r>
          </w:p>
          <w:p w14:paraId="49F86243" w14:textId="77777777" w:rsidR="003873F0" w:rsidRPr="00677219" w:rsidRDefault="003873F0" w:rsidP="003873F0">
            <w:pPr>
              <w:pStyle w:val="ListParagraph"/>
              <w:spacing w:after="0" w:line="240" w:lineRule="auto"/>
              <w:ind w:left="313"/>
              <w:jc w:val="left"/>
              <w:rPr>
                <w:sz w:val="20"/>
                <w:szCs w:val="20"/>
              </w:rPr>
            </w:pPr>
          </w:p>
          <w:p w14:paraId="490E94F5" w14:textId="245A70C8" w:rsidR="00BB063D" w:rsidRPr="00677219" w:rsidRDefault="0015619D" w:rsidP="007E3DC8">
            <w:pPr>
              <w:pStyle w:val="ListParagraph"/>
              <w:numPr>
                <w:ilvl w:val="0"/>
                <w:numId w:val="6"/>
              </w:numPr>
              <w:spacing w:after="0" w:line="240" w:lineRule="auto"/>
              <w:ind w:left="313" w:hanging="283"/>
              <w:jc w:val="left"/>
              <w:rPr>
                <w:sz w:val="20"/>
                <w:szCs w:val="20"/>
              </w:rPr>
            </w:pPr>
            <w:r w:rsidRPr="00677219">
              <w:rPr>
                <w:sz w:val="20"/>
                <w:szCs w:val="20"/>
              </w:rPr>
              <w:t xml:space="preserve">For monthly injections: </w:t>
            </w:r>
            <w:r w:rsidR="00BB063D" w:rsidRPr="00677219">
              <w:rPr>
                <w:sz w:val="20"/>
                <w:szCs w:val="20"/>
              </w:rPr>
              <w:t xml:space="preserve">Patient must be stabilised on one of the following prior to commencing treatment with this drug for this condition: (i) weekly prolonged release buprenorphine (Buvidal Weekly) (ii) sublingual buprenorphine (iii) buprenorphine/naloxone </w:t>
            </w:r>
          </w:p>
        </w:tc>
      </w:tr>
      <w:tr w:rsidR="00BB063D" w:rsidRPr="00EA3458" w14:paraId="0BFEC74A" w14:textId="77777777" w:rsidTr="000837D6">
        <w:tc>
          <w:tcPr>
            <w:tcW w:w="2263" w:type="dxa"/>
            <w:tcBorders>
              <w:top w:val="dotted" w:sz="4" w:space="0" w:color="auto"/>
              <w:left w:val="single" w:sz="4" w:space="0" w:color="7F7F7F" w:themeColor="text1" w:themeTint="80"/>
              <w:bottom w:val="dotted" w:sz="4" w:space="0" w:color="auto"/>
              <w:right w:val="single" w:sz="4" w:space="0" w:color="7F7F7F" w:themeColor="text1" w:themeTint="80"/>
            </w:tcBorders>
          </w:tcPr>
          <w:p w14:paraId="64362946" w14:textId="77777777" w:rsidR="00BB063D" w:rsidRPr="00677219" w:rsidRDefault="00BB063D" w:rsidP="00780238">
            <w:pPr>
              <w:jc w:val="left"/>
              <w:rPr>
                <w:sz w:val="20"/>
                <w:szCs w:val="20"/>
              </w:rPr>
            </w:pPr>
            <w:r w:rsidRPr="00677219">
              <w:rPr>
                <w:sz w:val="20"/>
                <w:szCs w:val="20"/>
              </w:rPr>
              <w:t>Buprenorphine + naloxone sublingual film</w:t>
            </w:r>
          </w:p>
          <w:p w14:paraId="0CDA6149" w14:textId="096D9264" w:rsidR="00BB063D" w:rsidRPr="00677219" w:rsidRDefault="00BB063D" w:rsidP="00780238">
            <w:pPr>
              <w:jc w:val="left"/>
              <w:rPr>
                <w:sz w:val="20"/>
                <w:szCs w:val="20"/>
              </w:rPr>
            </w:pPr>
            <w:r w:rsidRPr="00677219">
              <w:rPr>
                <w:sz w:val="20"/>
                <w:szCs w:val="20"/>
              </w:rPr>
              <w:t>(</w:t>
            </w:r>
            <w:r w:rsidR="00A034B0">
              <w:rPr>
                <w:sz w:val="20"/>
                <w:szCs w:val="20"/>
              </w:rPr>
              <w:t>Suboxone</w:t>
            </w:r>
            <w:r w:rsidRPr="00677219">
              <w:rPr>
                <w:sz w:val="20"/>
                <w:szCs w:val="20"/>
              </w:rPr>
              <w:t xml:space="preserve">®) </w:t>
            </w:r>
          </w:p>
        </w:tc>
        <w:tc>
          <w:tcPr>
            <w:tcW w:w="1276" w:type="dxa"/>
            <w:tcBorders>
              <w:top w:val="dotted" w:sz="4" w:space="0" w:color="auto"/>
              <w:left w:val="single" w:sz="4" w:space="0" w:color="7F7F7F" w:themeColor="text1" w:themeTint="80"/>
              <w:bottom w:val="dotted" w:sz="4" w:space="0" w:color="auto"/>
              <w:right w:val="single" w:sz="4" w:space="0" w:color="7F7F7F" w:themeColor="text1" w:themeTint="80"/>
            </w:tcBorders>
          </w:tcPr>
          <w:p w14:paraId="30D2F4DA" w14:textId="77777777" w:rsidR="00BB063D" w:rsidRPr="00677219" w:rsidRDefault="00BB063D" w:rsidP="00780238">
            <w:pPr>
              <w:jc w:val="left"/>
              <w:rPr>
                <w:sz w:val="20"/>
                <w:szCs w:val="20"/>
              </w:rPr>
            </w:pPr>
            <w:r w:rsidRPr="00677219">
              <w:rPr>
                <w:sz w:val="20"/>
                <w:szCs w:val="20"/>
              </w:rPr>
              <w:t>9749D</w:t>
            </w:r>
          </w:p>
          <w:p w14:paraId="2808260A" w14:textId="77777777" w:rsidR="00BB063D" w:rsidRPr="00677219" w:rsidRDefault="00BB063D" w:rsidP="00780238">
            <w:pPr>
              <w:jc w:val="left"/>
              <w:rPr>
                <w:sz w:val="20"/>
                <w:szCs w:val="20"/>
              </w:rPr>
            </w:pPr>
            <w:r w:rsidRPr="00677219">
              <w:rPr>
                <w:sz w:val="20"/>
                <w:szCs w:val="20"/>
              </w:rPr>
              <w:t xml:space="preserve"> 9750E</w:t>
            </w:r>
          </w:p>
        </w:tc>
        <w:tc>
          <w:tcPr>
            <w:tcW w:w="5477" w:type="dxa"/>
            <w:tcBorders>
              <w:top w:val="dotted" w:sz="4" w:space="0" w:color="auto"/>
              <w:left w:val="single" w:sz="4" w:space="0" w:color="7F7F7F" w:themeColor="text1" w:themeTint="80"/>
              <w:bottom w:val="dotted" w:sz="4" w:space="0" w:color="auto"/>
              <w:right w:val="single" w:sz="4" w:space="0" w:color="7F7F7F" w:themeColor="text1" w:themeTint="80"/>
            </w:tcBorders>
          </w:tcPr>
          <w:p w14:paraId="5BA8151D" w14:textId="77777777" w:rsidR="00BB063D" w:rsidRPr="00677219" w:rsidRDefault="00BB063D" w:rsidP="007E3DC8">
            <w:pPr>
              <w:pStyle w:val="ListParagraph"/>
              <w:numPr>
                <w:ilvl w:val="0"/>
                <w:numId w:val="5"/>
              </w:numPr>
              <w:spacing w:after="0" w:line="240" w:lineRule="auto"/>
              <w:ind w:left="313" w:hanging="313"/>
              <w:jc w:val="left"/>
              <w:rPr>
                <w:sz w:val="20"/>
                <w:szCs w:val="20"/>
              </w:rPr>
            </w:pPr>
            <w:r w:rsidRPr="00677219">
              <w:rPr>
                <w:sz w:val="20"/>
                <w:szCs w:val="20"/>
              </w:rPr>
              <w:t>Opiate dependence</w:t>
            </w:r>
          </w:p>
          <w:p w14:paraId="5A3EDE50" w14:textId="01EC7544" w:rsidR="00BB063D" w:rsidRPr="00677219" w:rsidRDefault="00BB063D" w:rsidP="007E3DC8">
            <w:pPr>
              <w:pStyle w:val="ListParagraph"/>
              <w:numPr>
                <w:ilvl w:val="0"/>
                <w:numId w:val="5"/>
              </w:numPr>
              <w:spacing w:after="0" w:line="240" w:lineRule="auto"/>
              <w:ind w:left="313" w:hanging="313"/>
              <w:jc w:val="left"/>
              <w:rPr>
                <w:sz w:val="20"/>
                <w:szCs w:val="20"/>
              </w:rPr>
            </w:pPr>
            <w:r w:rsidRPr="00677219">
              <w:rPr>
                <w:sz w:val="20"/>
                <w:szCs w:val="20"/>
              </w:rPr>
              <w:t xml:space="preserve">The treatment must be within a framework of medical, </w:t>
            </w:r>
            <w:r w:rsidR="00CE01BF" w:rsidRPr="00677219">
              <w:rPr>
                <w:sz w:val="20"/>
                <w:szCs w:val="20"/>
              </w:rPr>
              <w:t>social,</w:t>
            </w:r>
            <w:r w:rsidRPr="00677219">
              <w:rPr>
                <w:sz w:val="20"/>
                <w:szCs w:val="20"/>
              </w:rPr>
              <w:t xml:space="preserve"> and psychological treatment</w:t>
            </w:r>
          </w:p>
          <w:p w14:paraId="38E388AB" w14:textId="77777777" w:rsidR="00BB063D" w:rsidRPr="00677219" w:rsidRDefault="00BB063D" w:rsidP="00780238">
            <w:pPr>
              <w:pStyle w:val="ListParagraph"/>
              <w:ind w:left="313"/>
              <w:jc w:val="left"/>
              <w:rPr>
                <w:sz w:val="20"/>
                <w:szCs w:val="20"/>
              </w:rPr>
            </w:pPr>
          </w:p>
        </w:tc>
      </w:tr>
      <w:tr w:rsidR="00BB063D" w:rsidRPr="00EA3458" w14:paraId="7CC727F6" w14:textId="77777777" w:rsidTr="000837D6">
        <w:tc>
          <w:tcPr>
            <w:tcW w:w="2263" w:type="dxa"/>
            <w:tcBorders>
              <w:top w:val="dotted" w:sz="4" w:space="0" w:color="auto"/>
              <w:left w:val="single" w:sz="4" w:space="0" w:color="7F7F7F" w:themeColor="text1" w:themeTint="80"/>
              <w:bottom w:val="single" w:sz="4" w:space="0" w:color="7F7F7F" w:themeColor="text1" w:themeTint="80"/>
              <w:right w:val="single" w:sz="4" w:space="0" w:color="7F7F7F" w:themeColor="text1" w:themeTint="80"/>
            </w:tcBorders>
          </w:tcPr>
          <w:p w14:paraId="48301A14" w14:textId="77777777" w:rsidR="00BB063D" w:rsidRPr="00677219" w:rsidRDefault="00BB063D" w:rsidP="00780238">
            <w:pPr>
              <w:jc w:val="left"/>
              <w:rPr>
                <w:sz w:val="20"/>
                <w:szCs w:val="20"/>
              </w:rPr>
            </w:pPr>
            <w:r w:rsidRPr="00677219">
              <w:rPr>
                <w:sz w:val="20"/>
                <w:szCs w:val="20"/>
              </w:rPr>
              <w:t>Methadone liquid</w:t>
            </w:r>
          </w:p>
          <w:p w14:paraId="786553F1" w14:textId="77777777" w:rsidR="00BB063D" w:rsidRPr="00677219" w:rsidRDefault="00BB063D" w:rsidP="00780238">
            <w:pPr>
              <w:jc w:val="left"/>
              <w:rPr>
                <w:sz w:val="20"/>
                <w:szCs w:val="20"/>
              </w:rPr>
            </w:pPr>
            <w:r w:rsidRPr="00677219">
              <w:rPr>
                <w:sz w:val="20"/>
                <w:szCs w:val="20"/>
              </w:rPr>
              <w:t>(Aspen Methadone Syrup ® and Biodone Forte®)</w:t>
            </w:r>
          </w:p>
        </w:tc>
        <w:tc>
          <w:tcPr>
            <w:tcW w:w="1276" w:type="dxa"/>
            <w:tcBorders>
              <w:top w:val="dotted" w:sz="4" w:space="0" w:color="auto"/>
              <w:left w:val="single" w:sz="4" w:space="0" w:color="7F7F7F" w:themeColor="text1" w:themeTint="80"/>
              <w:bottom w:val="single" w:sz="4" w:space="0" w:color="7F7F7F" w:themeColor="text1" w:themeTint="80"/>
              <w:right w:val="single" w:sz="4" w:space="0" w:color="7F7F7F" w:themeColor="text1" w:themeTint="80"/>
            </w:tcBorders>
          </w:tcPr>
          <w:p w14:paraId="62524D38" w14:textId="2DD154BE" w:rsidR="00BB063D" w:rsidRPr="00677219" w:rsidRDefault="00BB063D" w:rsidP="00780238">
            <w:pPr>
              <w:jc w:val="left"/>
              <w:rPr>
                <w:sz w:val="20"/>
                <w:szCs w:val="20"/>
              </w:rPr>
            </w:pPr>
            <w:r w:rsidRPr="00677219">
              <w:rPr>
                <w:sz w:val="20"/>
                <w:szCs w:val="20"/>
              </w:rPr>
              <w:t>6171T</w:t>
            </w:r>
          </w:p>
          <w:p w14:paraId="0A69432D" w14:textId="77777777" w:rsidR="00BB063D" w:rsidRPr="00677219" w:rsidRDefault="00BB063D" w:rsidP="00780238">
            <w:pPr>
              <w:jc w:val="left"/>
              <w:rPr>
                <w:sz w:val="20"/>
                <w:szCs w:val="20"/>
              </w:rPr>
            </w:pPr>
            <w:r w:rsidRPr="00677219">
              <w:rPr>
                <w:sz w:val="20"/>
                <w:szCs w:val="20"/>
              </w:rPr>
              <w:t>6172W</w:t>
            </w:r>
          </w:p>
        </w:tc>
        <w:tc>
          <w:tcPr>
            <w:tcW w:w="5477" w:type="dxa"/>
            <w:tcBorders>
              <w:top w:val="dotted" w:sz="4" w:space="0" w:color="auto"/>
              <w:left w:val="single" w:sz="4" w:space="0" w:color="7F7F7F" w:themeColor="text1" w:themeTint="80"/>
              <w:bottom w:val="single" w:sz="4" w:space="0" w:color="7F7F7F" w:themeColor="text1" w:themeTint="80"/>
              <w:right w:val="single" w:sz="4" w:space="0" w:color="7F7F7F" w:themeColor="text1" w:themeTint="80"/>
            </w:tcBorders>
          </w:tcPr>
          <w:p w14:paraId="0342C30F" w14:textId="77777777" w:rsidR="00BB063D" w:rsidRPr="00677219" w:rsidRDefault="00BB063D" w:rsidP="007E3DC8">
            <w:pPr>
              <w:pStyle w:val="ListParagraph"/>
              <w:numPr>
                <w:ilvl w:val="0"/>
                <w:numId w:val="5"/>
              </w:numPr>
              <w:spacing w:after="160" w:line="259" w:lineRule="auto"/>
              <w:ind w:left="313" w:hanging="313"/>
              <w:jc w:val="left"/>
              <w:rPr>
                <w:sz w:val="20"/>
                <w:szCs w:val="20"/>
              </w:rPr>
            </w:pPr>
            <w:r w:rsidRPr="00677219">
              <w:rPr>
                <w:sz w:val="20"/>
                <w:szCs w:val="20"/>
              </w:rPr>
              <w:t>Opiate dependence</w:t>
            </w:r>
          </w:p>
          <w:p w14:paraId="3341C249" w14:textId="77777777" w:rsidR="00BB063D" w:rsidRPr="00677219" w:rsidRDefault="00BB063D" w:rsidP="00780238">
            <w:pPr>
              <w:jc w:val="left"/>
              <w:rPr>
                <w:sz w:val="20"/>
                <w:szCs w:val="20"/>
              </w:rPr>
            </w:pPr>
          </w:p>
        </w:tc>
      </w:tr>
    </w:tbl>
    <w:p w14:paraId="7F54F71C" w14:textId="433C4B88" w:rsidR="00BB063D" w:rsidRPr="00EA3458" w:rsidRDefault="001353F7" w:rsidP="00F14358">
      <w:pPr>
        <w:jc w:val="left"/>
        <w:rPr>
          <w:sz w:val="23"/>
          <w:szCs w:val="23"/>
        </w:rPr>
      </w:pPr>
      <w:r>
        <w:rPr>
          <w:b/>
          <w:bCs/>
          <w:sz w:val="23"/>
          <w:szCs w:val="23"/>
          <w:vertAlign w:val="superscript"/>
        </w:rPr>
        <w:t>*</w:t>
      </w:r>
      <w:r w:rsidR="006704B3" w:rsidRPr="00F14358">
        <w:rPr>
          <w:sz w:val="20"/>
          <w:szCs w:val="20"/>
        </w:rPr>
        <w:t xml:space="preserve">For </w:t>
      </w:r>
      <w:r w:rsidR="00F14358" w:rsidRPr="00F14358">
        <w:rPr>
          <w:sz w:val="20"/>
          <w:szCs w:val="20"/>
        </w:rPr>
        <w:t xml:space="preserve">more information, see </w:t>
      </w:r>
      <w:hyperlink r:id="rId13" w:history="1">
        <w:r w:rsidR="00F14358" w:rsidRPr="00F14358">
          <w:rPr>
            <w:rStyle w:val="Hyperlink"/>
            <w:sz w:val="20"/>
            <w:szCs w:val="20"/>
          </w:rPr>
          <w:t>www.pbs.gov.au</w:t>
        </w:r>
      </w:hyperlink>
      <w:r w:rsidR="00F14358" w:rsidRPr="00F14358">
        <w:rPr>
          <w:sz w:val="20"/>
          <w:szCs w:val="20"/>
        </w:rPr>
        <w:t>.</w:t>
      </w:r>
      <w:r w:rsidR="00F14358">
        <w:rPr>
          <w:sz w:val="20"/>
          <w:szCs w:val="20"/>
        </w:rPr>
        <w:t xml:space="preserve"> </w:t>
      </w:r>
      <w:r w:rsidR="00F14358">
        <w:rPr>
          <w:sz w:val="20"/>
          <w:szCs w:val="20"/>
        </w:rPr>
        <w:br/>
      </w:r>
      <w:r w:rsidRPr="001353F7">
        <w:rPr>
          <w:b/>
          <w:sz w:val="20"/>
          <w:szCs w:val="20"/>
          <w:vertAlign w:val="superscript"/>
        </w:rPr>
        <w:t>†</w:t>
      </w:r>
      <w:r w:rsidR="006704B3" w:rsidRPr="00EA3458">
        <w:rPr>
          <w:sz w:val="20"/>
          <w:szCs w:val="20"/>
        </w:rPr>
        <w:t xml:space="preserve">Care </w:t>
      </w:r>
      <w:r w:rsidR="00BB063D" w:rsidRPr="00EA3458">
        <w:rPr>
          <w:sz w:val="20"/>
          <w:szCs w:val="20"/>
        </w:rPr>
        <w:t>must be taken to comply with the provisions of State/Territory law when prescribing these medicines</w:t>
      </w:r>
      <w:r w:rsidR="002F0AE3" w:rsidRPr="00EA3458">
        <w:rPr>
          <w:sz w:val="20"/>
          <w:szCs w:val="20"/>
        </w:rPr>
        <w:t>.</w:t>
      </w:r>
    </w:p>
    <w:p w14:paraId="5D924687" w14:textId="33B3419C" w:rsidR="00063610" w:rsidRPr="00EA3458" w:rsidRDefault="001F6BDC" w:rsidP="007E3DC8">
      <w:pPr>
        <w:pStyle w:val="Heading3"/>
        <w:numPr>
          <w:ilvl w:val="1"/>
          <w:numId w:val="21"/>
        </w:numPr>
        <w:rPr>
          <w:rStyle w:val="Heading3Char"/>
        </w:rPr>
      </w:pPr>
      <w:r>
        <w:rPr>
          <w:rStyle w:val="Heading3Char"/>
        </w:rPr>
        <w:br w:type="page"/>
      </w:r>
      <w:bookmarkStart w:id="26" w:name="_Toc163221162"/>
      <w:r w:rsidR="0040160A" w:rsidRPr="00EA3458">
        <w:rPr>
          <w:rStyle w:val="Heading3Char"/>
        </w:rPr>
        <w:lastRenderedPageBreak/>
        <w:t xml:space="preserve">The </w:t>
      </w:r>
      <w:r w:rsidR="000843FD" w:rsidRPr="00EA3458">
        <w:rPr>
          <w:rStyle w:val="Heading3Char"/>
        </w:rPr>
        <w:t xml:space="preserve">PBS </w:t>
      </w:r>
      <w:r w:rsidR="003C4A7C" w:rsidRPr="00EA3458">
        <w:rPr>
          <w:rStyle w:val="Heading3Char"/>
        </w:rPr>
        <w:t>Opi</w:t>
      </w:r>
      <w:r w:rsidR="008D6860">
        <w:rPr>
          <w:rStyle w:val="Heading3Char"/>
        </w:rPr>
        <w:t>ate</w:t>
      </w:r>
      <w:r w:rsidR="003C4A7C" w:rsidRPr="00EA3458">
        <w:rPr>
          <w:rStyle w:val="Heading3Char"/>
        </w:rPr>
        <w:t xml:space="preserve"> Dependence Treatment Program</w:t>
      </w:r>
      <w:bookmarkEnd w:id="26"/>
    </w:p>
    <w:p w14:paraId="0AEA70C0" w14:textId="517FDB9A" w:rsidR="000843FD" w:rsidRPr="00EA3458" w:rsidRDefault="000843FD" w:rsidP="007E3DC8">
      <w:pPr>
        <w:pStyle w:val="Heading4"/>
        <w:numPr>
          <w:ilvl w:val="2"/>
          <w:numId w:val="21"/>
        </w:numPr>
      </w:pPr>
      <w:r w:rsidRPr="00EA3458">
        <w:t xml:space="preserve">A brief </w:t>
      </w:r>
      <w:r w:rsidR="0020098F" w:rsidRPr="00EA3458">
        <w:t>h</w:t>
      </w:r>
      <w:r w:rsidRPr="00EA3458">
        <w:t xml:space="preserve">istory of the </w:t>
      </w:r>
      <w:r w:rsidR="00992300">
        <w:t xml:space="preserve">PBS </w:t>
      </w:r>
      <w:r w:rsidRPr="00EA3458">
        <w:t>ODTP</w:t>
      </w:r>
    </w:p>
    <w:p w14:paraId="7939435C" w14:textId="63FD6500" w:rsidR="00353A61" w:rsidRPr="00EA3458" w:rsidRDefault="00D4198A">
      <w:pPr>
        <w:rPr>
          <w:rFonts w:cstheme="minorHAnsi"/>
        </w:rPr>
      </w:pPr>
      <w:r w:rsidRPr="00EA3458">
        <w:rPr>
          <w:rFonts w:cstheme="minorHAnsi"/>
        </w:rPr>
        <w:t>Originally (</w:t>
      </w:r>
      <w:r w:rsidR="00CE01BF" w:rsidRPr="00EA3458">
        <w:rPr>
          <w:rFonts w:cstheme="minorHAnsi"/>
        </w:rPr>
        <w:t>pre-1974</w:t>
      </w:r>
      <w:r w:rsidRPr="00EA3458">
        <w:rPr>
          <w:rFonts w:cstheme="minorHAnsi"/>
        </w:rPr>
        <w:t>)</w:t>
      </w:r>
      <w:r w:rsidR="00353A61" w:rsidRPr="00EA3458">
        <w:rPr>
          <w:rFonts w:cstheme="minorHAnsi"/>
        </w:rPr>
        <w:t xml:space="preserve"> methadone treatment was only available on the PBS in tablet form which was prescribed by doctors and dispensed at a pharmacy to take home. It was noted at the time that this was problematic because patients could take the methadone tablet</w:t>
      </w:r>
      <w:r w:rsidRPr="00EA3458">
        <w:rPr>
          <w:rFonts w:cstheme="minorHAnsi"/>
        </w:rPr>
        <w:t>s</w:t>
      </w:r>
      <w:r w:rsidR="00353A61" w:rsidRPr="00EA3458">
        <w:rPr>
          <w:rFonts w:cstheme="minorHAnsi"/>
        </w:rPr>
        <w:t xml:space="preserve"> home, crush and then intravenously inject them. </w:t>
      </w:r>
    </w:p>
    <w:p w14:paraId="536DCE62" w14:textId="6B0EBD2D" w:rsidR="00353A61" w:rsidRPr="00EA3458" w:rsidRDefault="008C29FC">
      <w:pPr>
        <w:rPr>
          <w:rFonts w:cstheme="minorHAnsi"/>
          <w:bCs/>
          <w:iCs/>
        </w:rPr>
      </w:pPr>
      <w:r w:rsidRPr="00EA3458">
        <w:rPr>
          <w:rFonts w:cstheme="minorHAnsi"/>
          <w:bCs/>
          <w:iCs/>
        </w:rPr>
        <w:t xml:space="preserve">In 1973 the Commonwealth Health Department sent a letter to all states and territories asking them to consider a proposal for clinics approved in each jurisdiction to be supplied with an oral liquid preparation of methadone </w:t>
      </w:r>
      <w:r w:rsidR="00D4198A" w:rsidRPr="00EA3458">
        <w:rPr>
          <w:rFonts w:cstheme="minorHAnsi"/>
          <w:bCs/>
          <w:iCs/>
        </w:rPr>
        <w:t xml:space="preserve">(instead of the tablet form) </w:t>
      </w:r>
      <w:r w:rsidRPr="00EA3458">
        <w:rPr>
          <w:rFonts w:cstheme="minorHAnsi"/>
          <w:bCs/>
          <w:iCs/>
        </w:rPr>
        <w:t>for use in the narcotic management pr</w:t>
      </w:r>
      <w:r w:rsidR="00D4198A" w:rsidRPr="00EA3458">
        <w:rPr>
          <w:rFonts w:cstheme="minorHAnsi"/>
          <w:bCs/>
          <w:iCs/>
        </w:rPr>
        <w:t xml:space="preserve">ograms based on methadone maintenance. </w:t>
      </w:r>
      <w:r w:rsidR="00353A61" w:rsidRPr="00EA3458">
        <w:rPr>
          <w:rFonts w:cstheme="minorHAnsi"/>
          <w:bCs/>
          <w:iCs/>
        </w:rPr>
        <w:t xml:space="preserve">When the ODTP was first </w:t>
      </w:r>
      <w:r w:rsidR="00531A35" w:rsidRPr="00EA3458">
        <w:rPr>
          <w:rFonts w:cstheme="minorHAnsi"/>
          <w:bCs/>
          <w:iCs/>
        </w:rPr>
        <w:t>implemented</w:t>
      </w:r>
      <w:r w:rsidR="00D4198A" w:rsidRPr="00EA3458">
        <w:rPr>
          <w:rFonts w:cstheme="minorHAnsi"/>
          <w:bCs/>
          <w:iCs/>
        </w:rPr>
        <w:t xml:space="preserve"> in 1974</w:t>
      </w:r>
      <w:r w:rsidR="00353A61" w:rsidRPr="00EA3458">
        <w:rPr>
          <w:rFonts w:cstheme="minorHAnsi"/>
          <w:bCs/>
          <w:iCs/>
        </w:rPr>
        <w:t xml:space="preserve">, methadone </w:t>
      </w:r>
      <w:r w:rsidR="002767F3" w:rsidRPr="00EA3458">
        <w:rPr>
          <w:rFonts w:cstheme="minorHAnsi"/>
          <w:bCs/>
          <w:iCs/>
        </w:rPr>
        <w:t xml:space="preserve">liquid for </w:t>
      </w:r>
      <w:r w:rsidR="00353A61" w:rsidRPr="00EA3458">
        <w:rPr>
          <w:rFonts w:cstheme="minorHAnsi"/>
          <w:bCs/>
          <w:iCs/>
        </w:rPr>
        <w:t xml:space="preserve">maintenance treatment was only available from state run detoxification clinics and public hospitals. This, then agreed, partnership delivery model ensured that methadone was provided at no cost via the Commonwealth S100 PBS program and the daily administration to consumers was provided at no cost to consumers via </w:t>
      </w:r>
      <w:r w:rsidR="002767F3" w:rsidRPr="00EA3458">
        <w:rPr>
          <w:rFonts w:cstheme="minorHAnsi"/>
          <w:bCs/>
          <w:iCs/>
        </w:rPr>
        <w:t>s</w:t>
      </w:r>
      <w:r w:rsidR="00353A61" w:rsidRPr="00EA3458">
        <w:rPr>
          <w:rFonts w:cstheme="minorHAnsi"/>
          <w:bCs/>
          <w:iCs/>
        </w:rPr>
        <w:t xml:space="preserve">tate and </w:t>
      </w:r>
      <w:r w:rsidR="002767F3" w:rsidRPr="00EA3458">
        <w:rPr>
          <w:rFonts w:cstheme="minorHAnsi"/>
          <w:bCs/>
          <w:iCs/>
        </w:rPr>
        <w:t>t</w:t>
      </w:r>
      <w:r w:rsidR="00353A61" w:rsidRPr="00EA3458">
        <w:rPr>
          <w:rFonts w:cstheme="minorHAnsi"/>
          <w:bCs/>
          <w:iCs/>
        </w:rPr>
        <w:t xml:space="preserve">erritory operated service providers.   </w:t>
      </w:r>
    </w:p>
    <w:p w14:paraId="4215E3E8" w14:textId="1CCB6F50" w:rsidR="00531A35" w:rsidRPr="00EA3458" w:rsidRDefault="00353A61">
      <w:pPr>
        <w:rPr>
          <w:rFonts w:cstheme="minorHAnsi"/>
        </w:rPr>
      </w:pPr>
      <w:r w:rsidRPr="00EA3458">
        <w:rPr>
          <w:rFonts w:cstheme="minorHAnsi"/>
          <w:bCs/>
          <w:iCs/>
        </w:rPr>
        <w:t xml:space="preserve">The arrangements at this time were that </w:t>
      </w:r>
      <w:r w:rsidRPr="00EA3458">
        <w:rPr>
          <w:rFonts w:cstheme="minorHAnsi"/>
        </w:rPr>
        <w:t xml:space="preserve">state and territory health departments would approve dispensing outlets, order methadone directly from the drug company who would deliver to the place of dispensing and then invoice the Commonwealth directly. </w:t>
      </w:r>
    </w:p>
    <w:p w14:paraId="078BC59E" w14:textId="64CCEBC7" w:rsidR="00353A61" w:rsidRPr="00EA3458" w:rsidRDefault="0040160A">
      <w:pPr>
        <w:rPr>
          <w:rFonts w:cstheme="minorHAnsi"/>
        </w:rPr>
      </w:pPr>
      <w:r w:rsidRPr="00EA3458">
        <w:rPr>
          <w:rFonts w:cstheme="minorHAnsi"/>
        </w:rPr>
        <w:t>ODT</w:t>
      </w:r>
      <w:r w:rsidR="00D4198A" w:rsidRPr="00EA3458">
        <w:rPr>
          <w:rFonts w:cstheme="minorHAnsi"/>
        </w:rPr>
        <w:t xml:space="preserve"> has developed from a small methadone maintenance treatment program run through state hospitals to a significantly larger program run through a broad range of state and territory authorised dosing point sites including hospitals, public clinics, private clinics</w:t>
      </w:r>
      <w:r w:rsidR="008F59F2" w:rsidRPr="00EA3458">
        <w:rPr>
          <w:rFonts w:cstheme="minorHAnsi"/>
        </w:rPr>
        <w:t xml:space="preserve">, </w:t>
      </w:r>
      <w:r w:rsidR="00C95268">
        <w:rPr>
          <w:rFonts w:cstheme="minorHAnsi"/>
        </w:rPr>
        <w:t>ACCHOs</w:t>
      </w:r>
      <w:r w:rsidR="008F59F2" w:rsidRPr="00EA3458">
        <w:rPr>
          <w:rFonts w:cstheme="minorHAnsi"/>
        </w:rPr>
        <w:t xml:space="preserve"> </w:t>
      </w:r>
      <w:r w:rsidR="00D4198A" w:rsidRPr="00EA3458">
        <w:rPr>
          <w:rFonts w:cstheme="minorHAnsi"/>
        </w:rPr>
        <w:t>and community pharmac</w:t>
      </w:r>
      <w:r w:rsidR="00332C81" w:rsidRPr="00EA3458">
        <w:rPr>
          <w:rFonts w:cstheme="minorHAnsi"/>
        </w:rPr>
        <w:t>ies</w:t>
      </w:r>
      <w:r w:rsidR="00D4198A" w:rsidRPr="00EA3458">
        <w:rPr>
          <w:rFonts w:cstheme="minorHAnsi"/>
        </w:rPr>
        <w:t xml:space="preserve">. There is also a large proportion of drugs for </w:t>
      </w:r>
      <w:r w:rsidRPr="00EA3458">
        <w:rPr>
          <w:rFonts w:cstheme="minorHAnsi"/>
        </w:rPr>
        <w:t>ODT</w:t>
      </w:r>
      <w:r w:rsidR="00D4198A" w:rsidRPr="00EA3458">
        <w:rPr>
          <w:rFonts w:cstheme="minorHAnsi"/>
        </w:rPr>
        <w:t xml:space="preserve"> dispensed throughout Australia within correctional facilities.</w:t>
      </w:r>
    </w:p>
    <w:p w14:paraId="7015B5C7" w14:textId="03F50AF7" w:rsidR="008D6189" w:rsidRPr="00EA3458" w:rsidRDefault="0040160A" w:rsidP="007E3DC8">
      <w:pPr>
        <w:pStyle w:val="Heading4"/>
        <w:numPr>
          <w:ilvl w:val="2"/>
          <w:numId w:val="21"/>
        </w:numPr>
      </w:pPr>
      <w:r w:rsidRPr="00EA3458">
        <w:t>Opioid dependence treatment</w:t>
      </w:r>
      <w:r w:rsidR="000843FD" w:rsidRPr="00EA3458">
        <w:t xml:space="preserve"> program</w:t>
      </w:r>
      <w:r w:rsidRPr="00EA3458">
        <w:t>s</w:t>
      </w:r>
      <w:r w:rsidR="000843FD" w:rsidRPr="00EA3458">
        <w:t xml:space="preserve"> no</w:t>
      </w:r>
      <w:r w:rsidR="004E3303" w:rsidRPr="00EA3458">
        <w:t>w</w:t>
      </w:r>
    </w:p>
    <w:p w14:paraId="7AD0900A" w14:textId="29751F7B" w:rsidR="00CE01BF" w:rsidRPr="00CE01BF" w:rsidRDefault="00CE01BF" w:rsidP="00CE01BF">
      <w:pPr>
        <w:rPr>
          <w:rFonts w:cstheme="minorHAnsi"/>
          <w:bCs/>
          <w:iCs/>
        </w:rPr>
      </w:pPr>
      <w:r w:rsidRPr="00CE01BF">
        <w:rPr>
          <w:rFonts w:cstheme="minorHAnsi"/>
          <w:bCs/>
          <w:iCs/>
        </w:rPr>
        <w:t>The PBS (including access to O</w:t>
      </w:r>
      <w:r w:rsidR="005E4E29">
        <w:rPr>
          <w:rFonts w:cstheme="minorHAnsi"/>
          <w:bCs/>
          <w:iCs/>
        </w:rPr>
        <w:t>D</w:t>
      </w:r>
      <w:r w:rsidRPr="00CE01BF">
        <w:rPr>
          <w:rFonts w:cstheme="minorHAnsi"/>
          <w:bCs/>
          <w:iCs/>
        </w:rPr>
        <w:t>T medicines) is available to all Australia residents who hold a current Medicare card. However, ODT programs are run by state and territory governments. This means a person needs to be enrolled or authorised to receive O</w:t>
      </w:r>
      <w:r w:rsidR="005E4E29">
        <w:rPr>
          <w:rFonts w:cstheme="minorHAnsi"/>
          <w:bCs/>
          <w:iCs/>
        </w:rPr>
        <w:t>D</w:t>
      </w:r>
      <w:r w:rsidRPr="00CE01BF">
        <w:rPr>
          <w:rFonts w:cstheme="minorHAnsi"/>
          <w:bCs/>
          <w:iCs/>
        </w:rPr>
        <w:t>T</w:t>
      </w:r>
      <w:r w:rsidR="005E4E29">
        <w:rPr>
          <w:rFonts w:cstheme="minorHAnsi"/>
          <w:bCs/>
          <w:iCs/>
        </w:rPr>
        <w:t xml:space="preserve"> medicines</w:t>
      </w:r>
      <w:r w:rsidRPr="00CE01BF">
        <w:rPr>
          <w:rFonts w:cstheme="minorHAnsi"/>
          <w:bCs/>
          <w:iCs/>
        </w:rPr>
        <w:t xml:space="preserve"> under the relevant state and territory program and O</w:t>
      </w:r>
      <w:r w:rsidR="005E4E29">
        <w:rPr>
          <w:rFonts w:cstheme="minorHAnsi"/>
          <w:bCs/>
          <w:iCs/>
        </w:rPr>
        <w:t>D</w:t>
      </w:r>
      <w:r w:rsidRPr="00CE01BF">
        <w:rPr>
          <w:rFonts w:cstheme="minorHAnsi"/>
          <w:bCs/>
          <w:iCs/>
        </w:rPr>
        <w:t>T medicines must be prescribed by a state and territory approved prescriber even though it is funded by the PBS. The current PBS subsidy arrangements for O</w:t>
      </w:r>
      <w:r w:rsidR="005E4E29">
        <w:rPr>
          <w:rFonts w:cstheme="minorHAnsi"/>
          <w:bCs/>
          <w:iCs/>
        </w:rPr>
        <w:t>D</w:t>
      </w:r>
      <w:r w:rsidRPr="00CE01BF">
        <w:rPr>
          <w:rFonts w:cstheme="minorHAnsi"/>
          <w:bCs/>
          <w:iCs/>
        </w:rPr>
        <w:t xml:space="preserve">T medicines are discussed in </w:t>
      </w:r>
      <w:r w:rsidR="006D1683">
        <w:rPr>
          <w:rFonts w:cstheme="minorHAnsi"/>
          <w:bCs/>
          <w:iCs/>
        </w:rPr>
        <w:t>sub</w:t>
      </w:r>
      <w:r w:rsidRPr="00CE01BF">
        <w:rPr>
          <w:rFonts w:cstheme="minorHAnsi"/>
          <w:bCs/>
          <w:iCs/>
        </w:rPr>
        <w:t xml:space="preserve">section </w:t>
      </w:r>
      <w:r w:rsidR="006704B3">
        <w:rPr>
          <w:rFonts w:cstheme="minorHAnsi"/>
          <w:bCs/>
          <w:iCs/>
        </w:rPr>
        <w:t>1.7.3</w:t>
      </w:r>
      <w:r w:rsidRPr="00CE01BF">
        <w:rPr>
          <w:rFonts w:cstheme="minorHAnsi"/>
          <w:bCs/>
          <w:iCs/>
        </w:rPr>
        <w:t>.</w:t>
      </w:r>
    </w:p>
    <w:p w14:paraId="2E32D6FE" w14:textId="77777777" w:rsidR="00CE01BF" w:rsidRPr="00CE01BF" w:rsidRDefault="00CE01BF" w:rsidP="00CE01BF">
      <w:pPr>
        <w:rPr>
          <w:rFonts w:cstheme="minorHAnsi"/>
          <w:bCs/>
          <w:iCs/>
        </w:rPr>
      </w:pPr>
      <w:r w:rsidRPr="00CE01BF">
        <w:rPr>
          <w:rFonts w:cstheme="minorHAnsi"/>
          <w:bCs/>
          <w:iCs/>
        </w:rPr>
        <w:t xml:space="preserve">States and territory programs have progressively moved to involve community pharmacies in the delivery of their ODT programs and in the dispensing of these medicines, with these arrangements varying between jurisdictions. The Commonwealth has no role in approving community pharmacists for dispensing under jurisdictional programs. </w:t>
      </w:r>
    </w:p>
    <w:p w14:paraId="33D102FD" w14:textId="0D457798" w:rsidR="008D6189" w:rsidRPr="00DA49F8" w:rsidRDefault="007F6DF7">
      <w:r>
        <w:rPr>
          <w:rFonts w:cstheme="minorHAnsi"/>
        </w:rPr>
        <w:t>The</w:t>
      </w:r>
      <w:r w:rsidR="00263D33">
        <w:rPr>
          <w:rFonts w:cstheme="minorHAnsi"/>
        </w:rPr>
        <w:t xml:space="preserve"> </w:t>
      </w:r>
      <w:r w:rsidR="00C345F4">
        <w:rPr>
          <w:rFonts w:cstheme="minorHAnsi"/>
        </w:rPr>
        <w:t>operation</w:t>
      </w:r>
      <w:r w:rsidR="0040160A" w:rsidRPr="00EA3458">
        <w:rPr>
          <w:rFonts w:cstheme="minorHAnsi"/>
        </w:rPr>
        <w:t xml:space="preserve"> of ODT programs continues to be </w:t>
      </w:r>
      <w:r w:rsidR="00C345F4">
        <w:rPr>
          <w:rFonts w:cstheme="minorHAnsi"/>
        </w:rPr>
        <w:t>managed</w:t>
      </w:r>
      <w:r w:rsidR="0040160A" w:rsidRPr="00EA3458">
        <w:rPr>
          <w:rFonts w:cstheme="minorHAnsi"/>
        </w:rPr>
        <w:t xml:space="preserve"> by </w:t>
      </w:r>
      <w:r w:rsidR="00C345F4">
        <w:rPr>
          <w:rFonts w:cstheme="minorHAnsi"/>
        </w:rPr>
        <w:t>state and territory government</w:t>
      </w:r>
      <w:r w:rsidR="007149C7">
        <w:rPr>
          <w:rFonts w:cstheme="minorHAnsi"/>
        </w:rPr>
        <w:t>s</w:t>
      </w:r>
      <w:r w:rsidR="00C345F4">
        <w:rPr>
          <w:rFonts w:cstheme="minorHAnsi"/>
        </w:rPr>
        <w:t xml:space="preserve"> </w:t>
      </w:r>
      <w:r>
        <w:rPr>
          <w:rFonts w:cstheme="minorHAnsi"/>
        </w:rPr>
        <w:t xml:space="preserve">in line with their </w:t>
      </w:r>
      <w:r w:rsidR="00C345F4">
        <w:rPr>
          <w:rFonts w:cstheme="minorHAnsi"/>
        </w:rPr>
        <w:t>program policies</w:t>
      </w:r>
      <w:r w:rsidR="00263D33">
        <w:rPr>
          <w:rFonts w:cstheme="minorHAnsi"/>
        </w:rPr>
        <w:t xml:space="preserve"> and regulation</w:t>
      </w:r>
      <w:r w:rsidR="007149C7">
        <w:rPr>
          <w:rFonts w:cstheme="minorHAnsi"/>
        </w:rPr>
        <w:t xml:space="preserve">s. Around </w:t>
      </w:r>
      <w:r w:rsidR="008D6189" w:rsidRPr="00EA3458">
        <w:rPr>
          <w:rFonts w:cstheme="minorHAnsi"/>
        </w:rPr>
        <w:t xml:space="preserve">9 out of 10 dosing sites </w:t>
      </w:r>
      <w:r w:rsidR="007149C7">
        <w:rPr>
          <w:rFonts w:cstheme="minorHAnsi"/>
        </w:rPr>
        <w:t xml:space="preserve">are </w:t>
      </w:r>
      <w:r w:rsidR="008D6189" w:rsidRPr="00EA3458">
        <w:rPr>
          <w:rFonts w:cstheme="minorHAnsi"/>
        </w:rPr>
        <w:t>in</w:t>
      </w:r>
      <w:r w:rsidR="0040160A" w:rsidRPr="00EA3458">
        <w:rPr>
          <w:rFonts w:cstheme="minorHAnsi"/>
        </w:rPr>
        <w:t xml:space="preserve"> community</w:t>
      </w:r>
      <w:r w:rsidR="008D6189" w:rsidRPr="00EA3458">
        <w:rPr>
          <w:rFonts w:cstheme="minorHAnsi"/>
        </w:rPr>
        <w:t xml:space="preserve"> </w:t>
      </w:r>
      <w:r w:rsidR="008D6189" w:rsidRPr="00D60289">
        <w:rPr>
          <w:rFonts w:cstheme="minorHAnsi"/>
        </w:rPr>
        <w:t>pharmacies</w:t>
      </w:r>
      <w:r w:rsidR="002565E6" w:rsidRPr="00D60289">
        <w:rPr>
          <w:rFonts w:asciiTheme="minorHAnsi" w:hAnsiTheme="minorHAnsi" w:cstheme="minorHAnsi"/>
        </w:rPr>
        <w:fldChar w:fldCharType="begin"/>
      </w:r>
      <w:r w:rsidR="002565E6">
        <w:rPr>
          <w:rFonts w:asciiTheme="minorHAnsi" w:hAnsiTheme="minorHAnsi" w:cstheme="minorHAnsi"/>
        </w:rPr>
        <w:instrText xml:space="preserve"> ADDIN EN.CITE &lt;EndNote&gt;&lt;Cite&gt;&lt;Author&gt;Australian Institute of Health and Welfare&lt;/Author&gt;&lt;Year&gt;2022&lt;/Year&gt;&lt;RecNum&gt;1&lt;/RecNum&gt;&lt;DisplayText&gt;&lt;style face="superscript"&gt;1&lt;/style&gt;&lt;/DisplayText&gt;&lt;record&gt;&lt;rec-number&gt;1&lt;/rec-number&gt;&lt;foreign-keys&gt;&lt;key app="EN" db-id="xssz590sx9vzw4ewpzdv0s5sret50aexdtd9" timestamp="1668645241"&gt;1&lt;/key&gt;&lt;/foreign-keys&gt;&lt;ref-type name="Report"&gt;27&lt;/ref-type&gt;&lt;contributors&gt;&lt;authors&gt;&lt;author&gt;Australian Institute of Health and Welfare,&lt;/author&gt;&lt;/authors&gt;&lt;/contributors&gt;&lt;titles&gt;&lt;title&gt;National Opioid Pharmacotherapy Statistics Annual Data (NOPSAD) collection. &lt;/title&gt;&lt;/titles&gt;&lt;volume&gt;Cat. no. PHE 266&lt;/volume&gt;&lt;dates&gt;&lt;year&gt;2022&lt;/year&gt;&lt;pub-dates&gt;&lt;date&gt;2022/11/21/&lt;/date&gt;&lt;/pub-dates&gt;&lt;/dates&gt;&lt;pub-location&gt;Canberra&lt;/pub-location&gt;&lt;publisher&gt;AIHW&lt;/publisher&gt;&lt;label&gt;BibEntry2022Feb&lt;/label&gt;&lt;urls&gt;&lt;related-urls&gt;&lt;url&gt;https://www.aihw.gov.au/reports/alcohol-other-drug-treatment-services/national-opioidpharmacotherapy-statistics&lt;/url&gt;&lt;/related-urls&gt;&lt;/urls&gt;&lt;language&gt;English&lt;/language&gt;&lt;/record&gt;&lt;/Cite&gt;&lt;/EndNote&gt;</w:instrText>
      </w:r>
      <w:r w:rsidR="002565E6" w:rsidRPr="00D60289">
        <w:rPr>
          <w:rFonts w:asciiTheme="minorHAnsi" w:hAnsiTheme="minorHAnsi" w:cstheme="minorHAnsi"/>
        </w:rPr>
        <w:fldChar w:fldCharType="separate"/>
      </w:r>
      <w:r w:rsidR="002565E6" w:rsidRPr="00D60289">
        <w:rPr>
          <w:rFonts w:asciiTheme="minorHAnsi" w:hAnsiTheme="minorHAnsi" w:cstheme="minorHAnsi"/>
          <w:noProof/>
          <w:vertAlign w:val="superscript"/>
        </w:rPr>
        <w:t>1</w:t>
      </w:r>
      <w:r w:rsidR="002565E6" w:rsidRPr="00D60289">
        <w:rPr>
          <w:rFonts w:asciiTheme="minorHAnsi" w:hAnsiTheme="minorHAnsi" w:cstheme="minorHAnsi"/>
        </w:rPr>
        <w:fldChar w:fldCharType="end"/>
      </w:r>
      <w:r w:rsidR="000B6BFB" w:rsidRPr="00D60289">
        <w:rPr>
          <w:rFonts w:asciiTheme="minorHAnsi" w:hAnsiTheme="minorHAnsi" w:cstheme="minorHAnsi"/>
        </w:rPr>
        <w:t xml:space="preserve"> </w:t>
      </w:r>
      <w:r w:rsidR="0040160A" w:rsidRPr="00D60289">
        <w:rPr>
          <w:rFonts w:cstheme="minorHAnsi"/>
        </w:rPr>
        <w:t>and</w:t>
      </w:r>
      <w:r w:rsidR="008D6189" w:rsidRPr="00EA3458">
        <w:rPr>
          <w:rFonts w:cstheme="minorHAnsi"/>
        </w:rPr>
        <w:t xml:space="preserve"> </w:t>
      </w:r>
      <w:r w:rsidR="007149C7">
        <w:rPr>
          <w:rFonts w:cstheme="minorHAnsi"/>
        </w:rPr>
        <w:t xml:space="preserve">today </w:t>
      </w:r>
      <w:r w:rsidR="008D6189" w:rsidRPr="00EA3458">
        <w:rPr>
          <w:rFonts w:cstheme="minorHAnsi"/>
        </w:rPr>
        <w:t xml:space="preserve">there is less reliance on treatment through public clinics. </w:t>
      </w:r>
      <w:r w:rsidR="008D6189" w:rsidRPr="00EF783A">
        <w:rPr>
          <w:rFonts w:cstheme="minorHAnsi"/>
        </w:rPr>
        <w:t xml:space="preserve">These private pharmacies </w:t>
      </w:r>
      <w:r w:rsidR="0040160A" w:rsidRPr="00EF783A">
        <w:rPr>
          <w:rFonts w:cstheme="minorHAnsi"/>
        </w:rPr>
        <w:t>charge</w:t>
      </w:r>
      <w:r w:rsidR="008D6189" w:rsidRPr="00EF783A">
        <w:rPr>
          <w:rFonts w:cstheme="minorHAnsi"/>
        </w:rPr>
        <w:t xml:space="preserve"> consumers daily </w:t>
      </w:r>
      <w:r w:rsidR="0040160A" w:rsidRPr="00EF783A">
        <w:rPr>
          <w:rFonts w:cstheme="minorHAnsi"/>
        </w:rPr>
        <w:t xml:space="preserve">dose </w:t>
      </w:r>
      <w:r w:rsidR="008D6189" w:rsidRPr="00EF783A">
        <w:rPr>
          <w:rFonts w:cstheme="minorHAnsi"/>
        </w:rPr>
        <w:t>administration fees (in some cases</w:t>
      </w:r>
      <w:r w:rsidR="00CF3395" w:rsidRPr="00EF783A">
        <w:rPr>
          <w:rFonts w:cstheme="minorHAnsi"/>
        </w:rPr>
        <w:t>, e.g. ACT, NSW and Tasmania,</w:t>
      </w:r>
      <w:r w:rsidR="008D6189" w:rsidRPr="00EF783A">
        <w:rPr>
          <w:rFonts w:cstheme="minorHAnsi"/>
        </w:rPr>
        <w:t xml:space="preserve"> state and territor</w:t>
      </w:r>
      <w:r w:rsidR="00CF3395" w:rsidRPr="00EF783A">
        <w:rPr>
          <w:rFonts w:cstheme="minorHAnsi"/>
        </w:rPr>
        <w:t>y governments provide a partial subsidy or targeted incentives to community pharmacies</w:t>
      </w:r>
      <w:r w:rsidR="008D6189" w:rsidRPr="00EF783A">
        <w:rPr>
          <w:rFonts w:cstheme="minorHAnsi"/>
        </w:rPr>
        <w:t xml:space="preserve"> in recognition of the cessation of the previously free public sector programs).</w:t>
      </w:r>
    </w:p>
    <w:p w14:paraId="0BC32787" w14:textId="1A6A348A" w:rsidR="0088661A" w:rsidRPr="00EA3458" w:rsidRDefault="0088661A">
      <w:pPr>
        <w:rPr>
          <w:rFonts w:cstheme="minorHAnsi"/>
        </w:rPr>
      </w:pPr>
      <w:r w:rsidRPr="00EA3458">
        <w:rPr>
          <w:rFonts w:cstheme="minorHAnsi"/>
        </w:rPr>
        <w:lastRenderedPageBreak/>
        <w:t xml:space="preserve">State and territory governments are responsible for the delivery of </w:t>
      </w:r>
      <w:r w:rsidR="0040160A" w:rsidRPr="00EA3458">
        <w:rPr>
          <w:rFonts w:cstheme="minorHAnsi"/>
        </w:rPr>
        <w:t>ODT</w:t>
      </w:r>
      <w:r w:rsidRPr="00EA3458">
        <w:rPr>
          <w:rFonts w:cstheme="minorHAnsi"/>
        </w:rPr>
        <w:t xml:space="preserve"> programs to patients in their respective jurisdictions and for determining the following matters: </w:t>
      </w:r>
    </w:p>
    <w:p w14:paraId="58D025F5" w14:textId="7E52282A" w:rsidR="0088661A" w:rsidRPr="00EA3458" w:rsidRDefault="0088661A">
      <w:pPr>
        <w:numPr>
          <w:ilvl w:val="0"/>
          <w:numId w:val="1"/>
        </w:numPr>
        <w:spacing w:after="0" w:line="259" w:lineRule="auto"/>
        <w:rPr>
          <w:rFonts w:eastAsia="Times New Roman"/>
          <w:szCs w:val="20"/>
          <w:lang w:eastAsia="en-AU"/>
        </w:rPr>
      </w:pPr>
      <w:r w:rsidRPr="00EA3458">
        <w:rPr>
          <w:rFonts w:eastAsia="Times New Roman"/>
          <w:szCs w:val="20"/>
          <w:lang w:eastAsia="en-AU"/>
        </w:rPr>
        <w:t>patient eligibility for the relevant state</w:t>
      </w:r>
      <w:r w:rsidR="0015619D">
        <w:rPr>
          <w:rFonts w:eastAsia="Times New Roman"/>
          <w:szCs w:val="20"/>
          <w:lang w:eastAsia="en-AU"/>
        </w:rPr>
        <w:t xml:space="preserve"> or territory</w:t>
      </w:r>
      <w:r w:rsidRPr="00EA3458">
        <w:rPr>
          <w:rFonts w:eastAsia="Times New Roman"/>
          <w:szCs w:val="20"/>
          <w:lang w:eastAsia="en-AU"/>
        </w:rPr>
        <w:t xml:space="preserve"> </w:t>
      </w:r>
      <w:r w:rsidR="0040160A" w:rsidRPr="00EA3458">
        <w:rPr>
          <w:rFonts w:eastAsia="Times New Roman"/>
          <w:szCs w:val="20"/>
          <w:lang w:eastAsia="en-AU"/>
        </w:rPr>
        <w:t>ODT</w:t>
      </w:r>
      <w:r w:rsidRPr="00EA3458">
        <w:rPr>
          <w:rFonts w:eastAsia="Times New Roman"/>
          <w:szCs w:val="20"/>
          <w:lang w:eastAsia="en-AU"/>
        </w:rPr>
        <w:t xml:space="preserve"> program </w:t>
      </w:r>
    </w:p>
    <w:p w14:paraId="444CFF85" w14:textId="42FD26ED" w:rsidR="0088661A" w:rsidRPr="00EA3458" w:rsidRDefault="0088661A">
      <w:pPr>
        <w:numPr>
          <w:ilvl w:val="0"/>
          <w:numId w:val="1"/>
        </w:numPr>
        <w:spacing w:after="0" w:line="259" w:lineRule="auto"/>
        <w:rPr>
          <w:rFonts w:eastAsia="Times New Roman"/>
          <w:szCs w:val="20"/>
          <w:lang w:eastAsia="en-AU"/>
        </w:rPr>
      </w:pPr>
      <w:r w:rsidRPr="00EA3458">
        <w:rPr>
          <w:rFonts w:eastAsia="Times New Roman"/>
          <w:szCs w:val="20"/>
          <w:lang w:eastAsia="en-AU"/>
        </w:rPr>
        <w:t>prescriber eligibility for the program (that is, medical practitioners and nurse practitioners</w:t>
      </w:r>
      <w:r w:rsidR="008F59F2" w:rsidRPr="00EA3458">
        <w:rPr>
          <w:rFonts w:eastAsia="Times New Roman"/>
          <w:szCs w:val="20"/>
          <w:lang w:eastAsia="en-AU"/>
        </w:rPr>
        <w:t xml:space="preserve"> that can </w:t>
      </w:r>
      <w:r w:rsidR="004B080C">
        <w:rPr>
          <w:rFonts w:eastAsia="Times New Roman"/>
          <w:szCs w:val="20"/>
          <w:lang w:eastAsia="en-AU"/>
        </w:rPr>
        <w:t>prescribe</w:t>
      </w:r>
      <w:r w:rsidR="008F59F2" w:rsidRPr="00EA3458">
        <w:rPr>
          <w:rFonts w:eastAsia="Times New Roman"/>
          <w:szCs w:val="20"/>
          <w:lang w:eastAsia="en-AU"/>
        </w:rPr>
        <w:t xml:space="preserve"> in a general practice or clinic setting</w:t>
      </w:r>
      <w:r w:rsidRPr="00EA3458">
        <w:rPr>
          <w:rFonts w:eastAsia="Times New Roman"/>
          <w:szCs w:val="20"/>
          <w:lang w:eastAsia="en-AU"/>
        </w:rPr>
        <w:t xml:space="preserve">) </w:t>
      </w:r>
    </w:p>
    <w:p w14:paraId="0E48A4DC" w14:textId="0468DA90" w:rsidR="0088661A" w:rsidRPr="00EA3458" w:rsidRDefault="0088661A">
      <w:pPr>
        <w:numPr>
          <w:ilvl w:val="0"/>
          <w:numId w:val="1"/>
        </w:numPr>
        <w:spacing w:after="0" w:line="259" w:lineRule="auto"/>
        <w:rPr>
          <w:rFonts w:eastAsia="Times New Roman"/>
          <w:szCs w:val="20"/>
          <w:lang w:eastAsia="en-AU"/>
        </w:rPr>
      </w:pPr>
      <w:r w:rsidRPr="00EA3458">
        <w:rPr>
          <w:rFonts w:eastAsia="Times New Roman"/>
          <w:szCs w:val="20"/>
          <w:lang w:eastAsia="en-AU"/>
        </w:rPr>
        <w:t>dosing site</w:t>
      </w:r>
      <w:r w:rsidR="00BA2D66">
        <w:rPr>
          <w:rFonts w:eastAsia="Times New Roman"/>
          <w:szCs w:val="20"/>
          <w:lang w:eastAsia="en-AU"/>
        </w:rPr>
        <w:t>s</w:t>
      </w:r>
      <w:r w:rsidRPr="00EA3458">
        <w:rPr>
          <w:rFonts w:eastAsia="Times New Roman"/>
          <w:szCs w:val="20"/>
          <w:lang w:eastAsia="en-AU"/>
        </w:rPr>
        <w:t xml:space="preserve"> which is inclusive of pharmacy and non-pharmacy settings. In this context, states programs manage arrangements with dosing sites as to the number of patients that can receive ODT medicines at a particular dosing site. Pharmacy participation in state ODT programs is voluntary so not all pharmacies participate in the supply of ODT medicines </w:t>
      </w:r>
    </w:p>
    <w:p w14:paraId="13E94E89" w14:textId="77777777" w:rsidR="0088661A" w:rsidRPr="00EA3458" w:rsidRDefault="0088661A">
      <w:pPr>
        <w:numPr>
          <w:ilvl w:val="0"/>
          <w:numId w:val="1"/>
        </w:numPr>
        <w:spacing w:after="0" w:line="259" w:lineRule="auto"/>
        <w:rPr>
          <w:rFonts w:eastAsia="Times New Roman"/>
          <w:szCs w:val="20"/>
          <w:lang w:eastAsia="en-AU"/>
        </w:rPr>
      </w:pPr>
      <w:r w:rsidRPr="00EA3458">
        <w:rPr>
          <w:rFonts w:eastAsia="Times New Roman"/>
          <w:szCs w:val="20"/>
          <w:lang w:eastAsia="en-AU"/>
        </w:rPr>
        <w:t xml:space="preserve">training, accreditation requirements and administrative processes for prescribers and suppliers/dosing sites </w:t>
      </w:r>
    </w:p>
    <w:p w14:paraId="7876A399" w14:textId="111F8749" w:rsidR="0088661A" w:rsidRPr="00EA3458" w:rsidRDefault="0088661A">
      <w:pPr>
        <w:numPr>
          <w:ilvl w:val="0"/>
          <w:numId w:val="1"/>
        </w:numPr>
        <w:spacing w:after="0" w:line="259" w:lineRule="auto"/>
        <w:rPr>
          <w:rFonts w:eastAsia="Times New Roman"/>
          <w:szCs w:val="20"/>
          <w:lang w:eastAsia="en-AU"/>
        </w:rPr>
      </w:pPr>
      <w:r w:rsidRPr="00EA3458">
        <w:rPr>
          <w:rFonts w:eastAsia="Times New Roman"/>
          <w:szCs w:val="20"/>
          <w:lang w:eastAsia="en-AU"/>
        </w:rPr>
        <w:t xml:space="preserve">dosing arrangements, including </w:t>
      </w:r>
      <w:r w:rsidR="004B080C">
        <w:rPr>
          <w:rFonts w:eastAsia="Times New Roman"/>
          <w:szCs w:val="20"/>
          <w:lang w:eastAsia="en-AU"/>
        </w:rPr>
        <w:t xml:space="preserve">criteria for access to </w:t>
      </w:r>
      <w:r w:rsidRPr="00EA3458">
        <w:rPr>
          <w:rFonts w:eastAsia="Times New Roman"/>
          <w:szCs w:val="20"/>
          <w:lang w:eastAsia="en-AU"/>
        </w:rPr>
        <w:t xml:space="preserve">takeaway dosing </w:t>
      </w:r>
    </w:p>
    <w:p w14:paraId="04E4E8E9" w14:textId="5BA73A28" w:rsidR="000058B6" w:rsidRDefault="0088661A" w:rsidP="000058B6">
      <w:pPr>
        <w:numPr>
          <w:ilvl w:val="0"/>
          <w:numId w:val="1"/>
        </w:numPr>
        <w:spacing w:line="259" w:lineRule="auto"/>
        <w:rPr>
          <w:rFonts w:eastAsia="Times New Roman"/>
          <w:szCs w:val="20"/>
          <w:lang w:eastAsia="en-AU"/>
        </w:rPr>
      </w:pPr>
      <w:r w:rsidRPr="00EA3458">
        <w:rPr>
          <w:rFonts w:eastAsia="Times New Roman"/>
          <w:szCs w:val="20"/>
          <w:lang w:eastAsia="en-AU"/>
        </w:rPr>
        <w:t xml:space="preserve">applicable charges, including fees charged to patients for dispensing these medicines </w:t>
      </w:r>
      <w:r w:rsidRPr="00EF783A">
        <w:rPr>
          <w:rFonts w:eastAsia="Times New Roman"/>
          <w:szCs w:val="20"/>
          <w:lang w:eastAsia="en-AU"/>
        </w:rPr>
        <w:t>(noting that pharmacies may charge a private administration fee in line with state and territory program arrangements</w:t>
      </w:r>
      <w:r w:rsidR="0098658D" w:rsidRPr="00EF783A">
        <w:rPr>
          <w:rFonts w:eastAsia="Times New Roman"/>
          <w:szCs w:val="20"/>
          <w:lang w:eastAsia="en-AU"/>
        </w:rPr>
        <w:t xml:space="preserve"> and that some jurisdictions provide pharmacies partial subsidies or incentive payments for participation in ODT programs</w:t>
      </w:r>
      <w:r w:rsidRPr="00EF783A">
        <w:rPr>
          <w:rFonts w:eastAsia="Times New Roman"/>
          <w:szCs w:val="20"/>
          <w:lang w:eastAsia="en-AU"/>
        </w:rPr>
        <w:t>).</w:t>
      </w:r>
    </w:p>
    <w:p w14:paraId="574A86EB" w14:textId="3D09C7C1" w:rsidR="000058B6" w:rsidRPr="000058B6" w:rsidRDefault="00BA2D66" w:rsidP="000058B6">
      <w:r>
        <w:t>O</w:t>
      </w:r>
      <w:r w:rsidR="005E4E29">
        <w:t>D</w:t>
      </w:r>
      <w:r>
        <w:t>T</w:t>
      </w:r>
      <w:r w:rsidR="000058B6" w:rsidRPr="00A5651B">
        <w:t xml:space="preserve"> medicines are controlled drugs, which are listed under Schedule 8</w:t>
      </w:r>
      <w:r w:rsidR="00A501AE">
        <w:t xml:space="preserve"> </w:t>
      </w:r>
      <w:r w:rsidR="000058B6" w:rsidRPr="00A5651B">
        <w:t xml:space="preserve">of the </w:t>
      </w:r>
      <w:r w:rsidR="000058B6" w:rsidRPr="000058B6">
        <w:rPr>
          <w:i/>
        </w:rPr>
        <w:t>Poisons Standard</w:t>
      </w:r>
      <w:r w:rsidR="000058B6" w:rsidRPr="00A5651B">
        <w:t xml:space="preserve"> (made under </w:t>
      </w:r>
      <w:r w:rsidR="006D1683">
        <w:t>S</w:t>
      </w:r>
      <w:r w:rsidR="000058B6" w:rsidRPr="00A5651B">
        <w:t xml:space="preserve">ection 52D(2) of the </w:t>
      </w:r>
      <w:r w:rsidR="000058B6" w:rsidRPr="000058B6">
        <w:rPr>
          <w:i/>
        </w:rPr>
        <w:t>Therapeutic Goods Act 1989</w:t>
      </w:r>
      <w:r w:rsidR="000058B6" w:rsidRPr="00A5651B">
        <w:t xml:space="preserve"> (C</w:t>
      </w:r>
      <w:r w:rsidR="00A501AE">
        <w:t>ommonweal</w:t>
      </w:r>
      <w:r w:rsidR="000058B6" w:rsidRPr="00A5651B">
        <w:t xml:space="preserve">th)). Each </w:t>
      </w:r>
      <w:r w:rsidR="000058B6">
        <w:t>jurisdiction</w:t>
      </w:r>
      <w:r w:rsidR="000058B6" w:rsidRPr="00A5651B">
        <w:t xml:space="preserve"> </w:t>
      </w:r>
      <w:r w:rsidR="000058B6">
        <w:t>gives</w:t>
      </w:r>
      <w:r w:rsidR="000058B6" w:rsidRPr="00A5651B">
        <w:t xml:space="preserve"> legal effect to the specific requirements for their handling, storage, prescription and dispensing through relevant legislation</w:t>
      </w:r>
      <w:r w:rsidR="000058B6">
        <w:t xml:space="preserve">. </w:t>
      </w:r>
    </w:p>
    <w:p w14:paraId="3E3A9D7F" w14:textId="30EF0BCE" w:rsidR="00E82672" w:rsidRPr="00EA3458" w:rsidRDefault="007679C0" w:rsidP="007E3DC8">
      <w:pPr>
        <w:pStyle w:val="Heading4"/>
        <w:numPr>
          <w:ilvl w:val="2"/>
          <w:numId w:val="21"/>
        </w:numPr>
      </w:pPr>
      <w:r w:rsidRPr="00EA3458">
        <w:t xml:space="preserve">Current </w:t>
      </w:r>
      <w:r w:rsidR="00E82672" w:rsidRPr="00EA3458">
        <w:t xml:space="preserve">PBS </w:t>
      </w:r>
      <w:r w:rsidR="002F0AE3" w:rsidRPr="00EA3458">
        <w:t xml:space="preserve">subsidy </w:t>
      </w:r>
      <w:r w:rsidR="00E82672" w:rsidRPr="00EA3458">
        <w:t xml:space="preserve">arrangements for the </w:t>
      </w:r>
      <w:r w:rsidR="00992300">
        <w:t xml:space="preserve">PBS </w:t>
      </w:r>
      <w:r w:rsidR="00E82672" w:rsidRPr="00EA3458">
        <w:t>ODTP</w:t>
      </w:r>
    </w:p>
    <w:p w14:paraId="0D3ADDDC" w14:textId="7CAB948F" w:rsidR="002F0AE3" w:rsidRPr="00EA3458" w:rsidRDefault="002F0AE3" w:rsidP="00B54030">
      <w:pPr>
        <w:autoSpaceDE w:val="0"/>
        <w:autoSpaceDN w:val="0"/>
        <w:adjustRightInd w:val="0"/>
        <w:spacing w:line="276" w:lineRule="auto"/>
      </w:pPr>
      <w:r w:rsidRPr="00EA3458">
        <w:t xml:space="preserve">The PBS is designed to provide timely, reliable, and affordable access to essential medicines to all Australians who hold a current Medicare card. Governed by the </w:t>
      </w:r>
      <w:r w:rsidRPr="00EA3458">
        <w:rPr>
          <w:i/>
          <w:iCs/>
        </w:rPr>
        <w:t>National Health Act 1953</w:t>
      </w:r>
      <w:r w:rsidRPr="00EA3458">
        <w:t xml:space="preserve"> (NH Act), most pharmaceutical benefits or medicines listed on the PBS form part of the general schedule and are subsidised under S85 of the NH Act. Most of the listed medicines are dispensed by </w:t>
      </w:r>
      <w:r w:rsidR="00EE58AF" w:rsidRPr="00EA3458">
        <w:t>pharmacists and</w:t>
      </w:r>
      <w:r w:rsidRPr="00EA3458">
        <w:t xml:space="preserve"> used by patients at home. This is different to the current PBS subsidy arrangements for medicines for opioid dependence treatment</w:t>
      </w:r>
    </w:p>
    <w:p w14:paraId="7F7B2772" w14:textId="544EEFEC" w:rsidR="002F0AE3" w:rsidRPr="00EA3458" w:rsidRDefault="009A416A">
      <w:pPr>
        <w:autoSpaceDE w:val="0"/>
        <w:autoSpaceDN w:val="0"/>
        <w:adjustRightInd w:val="0"/>
        <w:spacing w:line="276" w:lineRule="auto"/>
      </w:pPr>
      <w:r w:rsidRPr="00B86712">
        <w:rPr>
          <w:rFonts w:cstheme="minorHAnsi"/>
        </w:rPr>
        <w:t xml:space="preserve">In addition to the drugs and medicinal preparations available under normal PBS arrangements listed in the </w:t>
      </w:r>
      <w:r>
        <w:rPr>
          <w:rFonts w:cstheme="minorHAnsi"/>
        </w:rPr>
        <w:t>g</w:t>
      </w:r>
      <w:r w:rsidRPr="00B86712">
        <w:rPr>
          <w:rFonts w:cstheme="minorHAnsi"/>
        </w:rPr>
        <w:t xml:space="preserve">eneral </w:t>
      </w:r>
      <w:r>
        <w:rPr>
          <w:rFonts w:cstheme="minorHAnsi"/>
        </w:rPr>
        <w:t>s</w:t>
      </w:r>
      <w:r w:rsidRPr="00B86712">
        <w:rPr>
          <w:rFonts w:cstheme="minorHAnsi"/>
        </w:rPr>
        <w:t xml:space="preserve">chedule, </w:t>
      </w:r>
      <w:r w:rsidR="00CE01BF">
        <w:rPr>
          <w:rFonts w:cstheme="minorHAnsi"/>
        </w:rPr>
        <w:t>some</w:t>
      </w:r>
      <w:r w:rsidRPr="00B86712">
        <w:rPr>
          <w:rFonts w:cstheme="minorHAnsi"/>
        </w:rPr>
        <w:t xml:space="preserve"> drugs are also available as pharmaceutical benefits but are distributed under alternative arrangements where these are considered more appropriate.</w:t>
      </w:r>
      <w:r>
        <w:rPr>
          <w:rFonts w:cstheme="minorHAnsi"/>
        </w:rPr>
        <w:t xml:space="preserve"> </w:t>
      </w:r>
      <w:r w:rsidRPr="00D256B0">
        <w:rPr>
          <w:rFonts w:cstheme="minorHAnsi"/>
        </w:rPr>
        <w:t xml:space="preserve">These alternative arrangements are provided for under </w:t>
      </w:r>
      <w:r w:rsidR="00AE5DE1">
        <w:rPr>
          <w:rFonts w:cstheme="minorHAnsi"/>
        </w:rPr>
        <w:t>S</w:t>
      </w:r>
      <w:r w:rsidRPr="00D256B0">
        <w:rPr>
          <w:rFonts w:cstheme="minorHAnsi"/>
        </w:rPr>
        <w:t xml:space="preserve">100 of the </w:t>
      </w:r>
      <w:r w:rsidR="002F0AE3" w:rsidRPr="00EA3458">
        <w:t xml:space="preserve">NH Act. Several programs exist to support provision of S100 medicines, including the </w:t>
      </w:r>
      <w:r w:rsidR="00992300">
        <w:t xml:space="preserve">PBS </w:t>
      </w:r>
      <w:r w:rsidR="002F0AE3" w:rsidRPr="00EA3458">
        <w:t>ODTP, each with their own unique arrangements.</w:t>
      </w:r>
      <w:r w:rsidR="00B74701">
        <w:t xml:space="preserve"> </w:t>
      </w:r>
      <w:r w:rsidR="00B74701" w:rsidRPr="00EF783A">
        <w:t>Examples of other S100 programs include the Highly Specialised Drugs</w:t>
      </w:r>
      <w:r w:rsidR="003258E1" w:rsidRPr="00EF783A">
        <w:t xml:space="preserve"> (HSD)</w:t>
      </w:r>
      <w:r w:rsidR="00B74701" w:rsidRPr="00EF783A">
        <w:t xml:space="preserve"> Program which </w:t>
      </w:r>
      <w:r w:rsidR="007149C7" w:rsidRPr="00EF783A">
        <w:t>provides</w:t>
      </w:r>
      <w:r w:rsidR="00B74701" w:rsidRPr="00EF783A">
        <w:t xml:space="preserve"> </w:t>
      </w:r>
      <w:r w:rsidR="007149C7" w:rsidRPr="00EF783A">
        <w:t xml:space="preserve">PBS subsidised </w:t>
      </w:r>
      <w:r w:rsidR="00B74701" w:rsidRPr="00EF783A">
        <w:t xml:space="preserve">access to specialised medicines, usually affiliated with hospitals, that have restrictions on where they can be prescribed and supplied, and the Efficient Funding of Chemotherapy </w:t>
      </w:r>
      <w:r w:rsidR="003258E1" w:rsidRPr="00EF783A">
        <w:t xml:space="preserve">(EFC) </w:t>
      </w:r>
      <w:r w:rsidR="00B74701" w:rsidRPr="00EF783A">
        <w:t>Program that provides for chemotherapy medicines used for the treatment of cancer that are administered through infusion or injection at public or private hospitals.</w:t>
      </w:r>
      <w:r w:rsidR="007149C7" w:rsidRPr="00EF783A">
        <w:t xml:space="preserve"> Another example is the Growth Hormone Program which provides subsidised access to growth hormone medicines for eligible paediatric and adult patients and has clinically complex restriction criteria for dosing.</w:t>
      </w:r>
      <w:r w:rsidR="007149C7">
        <w:t xml:space="preserve"> </w:t>
      </w:r>
    </w:p>
    <w:p w14:paraId="0512651E" w14:textId="3B41002B" w:rsidR="002767F3" w:rsidRPr="00EA3458" w:rsidRDefault="002767F3" w:rsidP="00DA0E77">
      <w:pPr>
        <w:rPr>
          <w:rFonts w:cstheme="minorHAnsi"/>
          <w:bCs/>
          <w:iCs/>
        </w:rPr>
      </w:pPr>
      <w:r w:rsidRPr="00EA3458">
        <w:rPr>
          <w:rFonts w:cstheme="minorHAnsi"/>
          <w:bCs/>
          <w:iCs/>
        </w:rPr>
        <w:lastRenderedPageBreak/>
        <w:t xml:space="preserve">To enable access to </w:t>
      </w:r>
      <w:r w:rsidR="008C29FC" w:rsidRPr="00EA3458">
        <w:rPr>
          <w:rFonts w:cstheme="minorHAnsi"/>
          <w:bCs/>
          <w:iCs/>
        </w:rPr>
        <w:t>methadone and buprenorphine +/- naloxone</w:t>
      </w:r>
      <w:r w:rsidRPr="00EA3458">
        <w:rPr>
          <w:rFonts w:cstheme="minorHAnsi"/>
          <w:bCs/>
          <w:iCs/>
        </w:rPr>
        <w:t xml:space="preserve"> by eligible patients who are enrolled in state and territory </w:t>
      </w:r>
      <w:r w:rsidR="00597FED" w:rsidRPr="00EA3458">
        <w:rPr>
          <w:rFonts w:cstheme="minorHAnsi"/>
          <w:bCs/>
          <w:iCs/>
        </w:rPr>
        <w:t>ODT</w:t>
      </w:r>
      <w:r w:rsidRPr="00EA3458">
        <w:rPr>
          <w:rFonts w:cstheme="minorHAnsi"/>
          <w:bCs/>
          <w:iCs/>
        </w:rPr>
        <w:t xml:space="preserve"> programs, the Commonwealth pays the full cost of the medicines through direct payments to pharmaceutical companies at the approved ex</w:t>
      </w:r>
      <w:r w:rsidR="007466F7">
        <w:rPr>
          <w:rFonts w:cstheme="minorHAnsi"/>
          <w:bCs/>
          <w:iCs/>
        </w:rPr>
        <w:noBreakHyphen/>
      </w:r>
      <w:r w:rsidRPr="00EA3458">
        <w:rPr>
          <w:rFonts w:cstheme="minorHAnsi"/>
          <w:bCs/>
          <w:iCs/>
        </w:rPr>
        <w:t>manufacturer price</w:t>
      </w:r>
      <w:r w:rsidR="00334D6A" w:rsidRPr="00EA3458">
        <w:rPr>
          <w:rFonts w:cstheme="minorHAnsi"/>
          <w:bCs/>
          <w:iCs/>
        </w:rPr>
        <w:t xml:space="preserve"> through a </w:t>
      </w:r>
      <w:r w:rsidR="00E82672" w:rsidRPr="00EA3458">
        <w:rPr>
          <w:rFonts w:cstheme="minorHAnsi"/>
          <w:bCs/>
          <w:iCs/>
        </w:rPr>
        <w:t>S</w:t>
      </w:r>
      <w:r w:rsidR="00334D6A" w:rsidRPr="00EA3458">
        <w:rPr>
          <w:rFonts w:cstheme="minorHAnsi"/>
          <w:bCs/>
          <w:iCs/>
        </w:rPr>
        <w:t>100 arrangement</w:t>
      </w:r>
      <w:r w:rsidR="00E82672" w:rsidRPr="00EA3458">
        <w:rPr>
          <w:rFonts w:cstheme="minorHAnsi"/>
          <w:bCs/>
          <w:iCs/>
        </w:rPr>
        <w:t xml:space="preserve"> </w:t>
      </w:r>
      <w:r w:rsidR="00E82672" w:rsidRPr="00EA3458">
        <w:t>(dosing sites do not outlay the cost of medicines)</w:t>
      </w:r>
      <w:r w:rsidRPr="00EA3458">
        <w:rPr>
          <w:rFonts w:cstheme="minorHAnsi"/>
          <w:bCs/>
          <w:iCs/>
        </w:rPr>
        <w:t xml:space="preserve">. </w:t>
      </w:r>
    </w:p>
    <w:p w14:paraId="6A7D97E3" w14:textId="3AFBB1E2" w:rsidR="002767F3" w:rsidRPr="00EA3458" w:rsidRDefault="002767F3" w:rsidP="00F22F00">
      <w:pPr>
        <w:rPr>
          <w:rFonts w:cstheme="minorHAnsi"/>
          <w:bCs/>
          <w:iCs/>
        </w:rPr>
      </w:pPr>
      <w:r w:rsidRPr="00EA3458">
        <w:rPr>
          <w:rFonts w:cstheme="minorHAnsi"/>
          <w:bCs/>
          <w:iCs/>
        </w:rPr>
        <w:t>A</w:t>
      </w:r>
      <w:r w:rsidR="00E82672" w:rsidRPr="00EA3458">
        <w:rPr>
          <w:rFonts w:cstheme="minorHAnsi"/>
          <w:bCs/>
          <w:iCs/>
        </w:rPr>
        <w:t xml:space="preserve"> unique feature of the </w:t>
      </w:r>
      <w:r w:rsidR="00992300">
        <w:rPr>
          <w:rFonts w:cstheme="minorHAnsi"/>
          <w:bCs/>
          <w:iCs/>
        </w:rPr>
        <w:t xml:space="preserve">PBS </w:t>
      </w:r>
      <w:r w:rsidR="00E82672" w:rsidRPr="00EA3458">
        <w:rPr>
          <w:rFonts w:cstheme="minorHAnsi"/>
          <w:bCs/>
          <w:iCs/>
        </w:rPr>
        <w:t>ODTP is that, a</w:t>
      </w:r>
      <w:r w:rsidRPr="00EA3458">
        <w:rPr>
          <w:rFonts w:cstheme="minorHAnsi"/>
          <w:bCs/>
          <w:iCs/>
        </w:rPr>
        <w:t>s the pharmacist</w:t>
      </w:r>
      <w:r w:rsidR="00E82672" w:rsidRPr="00EA3458">
        <w:rPr>
          <w:rFonts w:cstheme="minorHAnsi"/>
          <w:bCs/>
          <w:iCs/>
        </w:rPr>
        <w:t xml:space="preserve"> </w:t>
      </w:r>
      <w:r w:rsidRPr="00EA3458">
        <w:rPr>
          <w:rFonts w:cstheme="minorHAnsi"/>
          <w:bCs/>
          <w:iCs/>
        </w:rPr>
        <w:t xml:space="preserve">is supplied these medicines at no cost, a PBS claim is not submitted to Services Australia by the pharmacist and accordingly no other fees or payments are payable by the Commonwealth. </w:t>
      </w:r>
      <w:bookmarkStart w:id="27" w:name="_Hlk117606080"/>
      <w:r w:rsidRPr="00EA3458">
        <w:rPr>
          <w:rFonts w:cstheme="minorHAnsi"/>
          <w:bCs/>
          <w:iCs/>
        </w:rPr>
        <w:t xml:space="preserve">Similarly, patients are not required to make a PBS contribution for the cost of the medicine, as the total cost of the medicine is paid for by the Commonwealth which means a PBS co-payment to access these medicines is not </w:t>
      </w:r>
      <w:r w:rsidR="00B72B17">
        <w:rPr>
          <w:rFonts w:cstheme="minorHAnsi"/>
          <w:bCs/>
          <w:iCs/>
        </w:rPr>
        <w:t>necessary</w:t>
      </w:r>
      <w:r w:rsidRPr="00EA3458">
        <w:rPr>
          <w:rFonts w:cstheme="minorHAnsi"/>
          <w:bCs/>
          <w:iCs/>
        </w:rPr>
        <w:t xml:space="preserve">. </w:t>
      </w:r>
      <w:bookmarkEnd w:id="27"/>
      <w:r w:rsidRPr="00EA3458">
        <w:rPr>
          <w:rFonts w:cstheme="minorHAnsi"/>
          <w:bCs/>
          <w:iCs/>
        </w:rPr>
        <w:t xml:space="preserve">As a result, the amount that contributes to a patient’s PBS Safety Net is zero. </w:t>
      </w:r>
    </w:p>
    <w:p w14:paraId="5208317E" w14:textId="3CE2269A" w:rsidR="00624133" w:rsidRDefault="00624133" w:rsidP="00480E91">
      <w:pPr>
        <w:jc w:val="left"/>
        <w:rPr>
          <w:rFonts w:cstheme="minorHAnsi"/>
        </w:rPr>
      </w:pPr>
      <w:r>
        <w:rPr>
          <w:rFonts w:cstheme="minorHAnsi"/>
        </w:rPr>
        <w:t xml:space="preserve">Payment </w:t>
      </w:r>
      <w:r w:rsidR="00992300">
        <w:rPr>
          <w:rFonts w:cstheme="minorHAnsi"/>
        </w:rPr>
        <w:t xml:space="preserve">to pharmaceutical sponsors </w:t>
      </w:r>
      <w:r>
        <w:rPr>
          <w:rFonts w:cstheme="minorHAnsi"/>
        </w:rPr>
        <w:t xml:space="preserve">for </w:t>
      </w:r>
      <w:r w:rsidR="00992300">
        <w:rPr>
          <w:rFonts w:cstheme="minorHAnsi"/>
        </w:rPr>
        <w:t>medicines</w:t>
      </w:r>
      <w:r>
        <w:rPr>
          <w:rFonts w:cstheme="minorHAnsi"/>
        </w:rPr>
        <w:t xml:space="preserve"> on the </w:t>
      </w:r>
      <w:r w:rsidR="00992300">
        <w:rPr>
          <w:rFonts w:cstheme="minorHAnsi"/>
        </w:rPr>
        <w:t xml:space="preserve">PBS </w:t>
      </w:r>
      <w:r>
        <w:rPr>
          <w:rFonts w:cstheme="minorHAnsi"/>
        </w:rPr>
        <w:t xml:space="preserve">ODTP is paid based on the </w:t>
      </w:r>
      <w:r w:rsidR="00992300">
        <w:rPr>
          <w:rFonts w:cstheme="minorHAnsi"/>
        </w:rPr>
        <w:t xml:space="preserve">quantity of </w:t>
      </w:r>
      <w:r>
        <w:rPr>
          <w:rFonts w:cstheme="minorHAnsi"/>
        </w:rPr>
        <w:t xml:space="preserve">products supplied to state and territory authorised dosing sites (including community pharmacies), not the quantity of medicine dispensed to a patient. Consequently, any wastage, expiration, diversion, theft, or damaged stock is not considered. </w:t>
      </w:r>
    </w:p>
    <w:p w14:paraId="3F43885F" w14:textId="47B04F48" w:rsidR="00971336" w:rsidRDefault="00CC0686" w:rsidP="00624133">
      <w:pPr>
        <w:rPr>
          <w:rFonts w:cstheme="minorHAnsi"/>
        </w:rPr>
      </w:pPr>
      <w:r>
        <w:rPr>
          <w:rFonts w:cstheme="minorHAnsi"/>
        </w:rPr>
        <w:t>The literature review found that d</w:t>
      </w:r>
      <w:r w:rsidR="00624133">
        <w:rPr>
          <w:rFonts w:cstheme="minorHAnsi"/>
        </w:rPr>
        <w:t xml:space="preserve">ispensing of methadone and sublingual buprenorphine +/- naloxone </w:t>
      </w:r>
      <w:r w:rsidR="00573460">
        <w:rPr>
          <w:rFonts w:cstheme="minorHAnsi"/>
        </w:rPr>
        <w:t xml:space="preserve">can </w:t>
      </w:r>
      <w:r w:rsidR="00624133">
        <w:rPr>
          <w:rFonts w:cstheme="minorHAnsi"/>
        </w:rPr>
        <w:t xml:space="preserve">occur daily or several times a week </w:t>
      </w:r>
      <w:r w:rsidR="00573460">
        <w:rPr>
          <w:rFonts w:cstheme="minorHAnsi"/>
        </w:rPr>
        <w:t xml:space="preserve">(depending on the number of takeaway doses) </w:t>
      </w:r>
      <w:r w:rsidR="00624133">
        <w:rPr>
          <w:rFonts w:cstheme="minorHAnsi"/>
        </w:rPr>
        <w:t>which fall</w:t>
      </w:r>
      <w:r w:rsidR="00573460">
        <w:rPr>
          <w:rFonts w:cstheme="minorHAnsi"/>
        </w:rPr>
        <w:t>s</w:t>
      </w:r>
      <w:r w:rsidR="00624133">
        <w:rPr>
          <w:rFonts w:cstheme="minorHAnsi"/>
        </w:rPr>
        <w:t xml:space="preserve"> outside of how the general PBS </w:t>
      </w:r>
      <w:r w:rsidR="00573460">
        <w:rPr>
          <w:rFonts w:cstheme="minorHAnsi"/>
        </w:rPr>
        <w:t xml:space="preserve">usually </w:t>
      </w:r>
      <w:r w:rsidR="00624133">
        <w:rPr>
          <w:rFonts w:cstheme="minorHAnsi"/>
        </w:rPr>
        <w:t>operates</w:t>
      </w:r>
      <w:r w:rsidR="00573460">
        <w:rPr>
          <w:rFonts w:cstheme="minorHAnsi"/>
        </w:rPr>
        <w:t xml:space="preserve"> at community pharmacies</w:t>
      </w:r>
      <w:r w:rsidR="00624133">
        <w:rPr>
          <w:rFonts w:cstheme="minorHAnsi"/>
        </w:rPr>
        <w:t xml:space="preserve">. These </w:t>
      </w:r>
      <w:r w:rsidR="009F2638">
        <w:rPr>
          <w:rFonts w:cstheme="minorHAnsi"/>
        </w:rPr>
        <w:t>medicines</w:t>
      </w:r>
      <w:r w:rsidR="00624133">
        <w:rPr>
          <w:rFonts w:cstheme="minorHAnsi"/>
        </w:rPr>
        <w:t xml:space="preserve"> </w:t>
      </w:r>
      <w:r w:rsidR="009F2638">
        <w:rPr>
          <w:rFonts w:cstheme="minorHAnsi"/>
        </w:rPr>
        <w:t xml:space="preserve">are </w:t>
      </w:r>
      <w:r w:rsidR="00624133">
        <w:rPr>
          <w:rFonts w:cstheme="minorHAnsi"/>
        </w:rPr>
        <w:t xml:space="preserve">consumed by the patient in the presence of an approved dispenser </w:t>
      </w:r>
      <w:r w:rsidR="00573460">
        <w:rPr>
          <w:rFonts w:cstheme="minorHAnsi"/>
        </w:rPr>
        <w:t xml:space="preserve">(referred to as supervised dosing) </w:t>
      </w:r>
      <w:r w:rsidR="00624133">
        <w:rPr>
          <w:rFonts w:cstheme="minorHAnsi"/>
        </w:rPr>
        <w:t>except when a takeaway dose is dispensed</w:t>
      </w:r>
      <w:r w:rsidR="00573460">
        <w:rPr>
          <w:rFonts w:cstheme="minorHAnsi"/>
        </w:rPr>
        <w:t>. The mix of supervised dosing and preparation of takeaway doses</w:t>
      </w:r>
      <w:r w:rsidR="00624133">
        <w:rPr>
          <w:rFonts w:cstheme="minorHAnsi"/>
        </w:rPr>
        <w:t xml:space="preserve"> </w:t>
      </w:r>
      <w:r w:rsidR="0083592C">
        <w:rPr>
          <w:rFonts w:cstheme="minorHAnsi"/>
        </w:rPr>
        <w:t xml:space="preserve">do </w:t>
      </w:r>
      <w:r w:rsidR="00624133">
        <w:rPr>
          <w:rFonts w:cstheme="minorHAnsi"/>
        </w:rPr>
        <w:t xml:space="preserve">not </w:t>
      </w:r>
      <w:r w:rsidR="00573460">
        <w:rPr>
          <w:rFonts w:cstheme="minorHAnsi"/>
        </w:rPr>
        <w:t xml:space="preserve">align with how medicines are usually dispensed </w:t>
      </w:r>
      <w:r w:rsidR="00971336">
        <w:rPr>
          <w:rFonts w:cstheme="minorHAnsi"/>
        </w:rPr>
        <w:t xml:space="preserve">and claimed </w:t>
      </w:r>
      <w:r w:rsidR="00573460">
        <w:rPr>
          <w:rFonts w:cstheme="minorHAnsi"/>
        </w:rPr>
        <w:t xml:space="preserve">at a community pharmacy </w:t>
      </w:r>
      <w:r w:rsidR="00624133">
        <w:rPr>
          <w:rFonts w:cstheme="minorHAnsi"/>
        </w:rPr>
        <w:t>under PBS arrangements</w:t>
      </w:r>
      <w:r w:rsidR="00971336">
        <w:rPr>
          <w:rFonts w:cstheme="minorHAnsi"/>
        </w:rPr>
        <w:t>, however community pharmacies have practices in place to support the delivery of ODT</w:t>
      </w:r>
      <w:r w:rsidR="00624133">
        <w:rPr>
          <w:rFonts w:cstheme="minorHAnsi"/>
        </w:rPr>
        <w:t>.</w:t>
      </w:r>
      <w:r w:rsidR="0075356A">
        <w:rPr>
          <w:rFonts w:cstheme="minorHAnsi"/>
        </w:rPr>
        <w:t xml:space="preserve"> </w:t>
      </w:r>
      <w:r w:rsidR="00EF783A">
        <w:t xml:space="preserve">Pooled estimates of the proportion of consumers receiving takeaway doses available in Table 15. </w:t>
      </w:r>
    </w:p>
    <w:p w14:paraId="2F6C596B" w14:textId="555E196F" w:rsidR="00EF783A" w:rsidRDefault="00B57F0A" w:rsidP="00624133">
      <w:pPr>
        <w:rPr>
          <w:rFonts w:cstheme="minorHAnsi"/>
        </w:rPr>
      </w:pPr>
      <w:r>
        <w:rPr>
          <w:rFonts w:cstheme="minorHAnsi"/>
        </w:rPr>
        <w:t xml:space="preserve">Other PBS medicines that are provided in instalments can be eligible for the Staged Supply Program. </w:t>
      </w:r>
      <w:r w:rsidR="00F7154B">
        <w:rPr>
          <w:rFonts w:asciiTheme="minorHAnsi" w:hAnsiTheme="minorHAnsi" w:cs="Arial"/>
          <w:bCs/>
        </w:rPr>
        <w:t>The Staged Supply Program</w:t>
      </w:r>
      <w:r w:rsidR="00EF783A">
        <w:rPr>
          <w:rFonts w:asciiTheme="minorHAnsi" w:hAnsiTheme="minorHAnsi" w:cs="Arial"/>
          <w:bCs/>
        </w:rPr>
        <w:t xml:space="preserve"> is funded through the </w:t>
      </w:r>
      <w:bookmarkStart w:id="28" w:name="_Hlk132706185"/>
      <w:r w:rsidR="00EF783A">
        <w:rPr>
          <w:rFonts w:asciiTheme="minorHAnsi" w:hAnsiTheme="minorHAnsi" w:cs="Arial"/>
          <w:bCs/>
        </w:rPr>
        <w:t>Seventh Community Pharmacy Agreement</w:t>
      </w:r>
      <w:r w:rsidR="00EF783A" w:rsidRPr="00EF783A">
        <w:rPr>
          <w:rFonts w:asciiTheme="minorHAnsi" w:hAnsiTheme="minorHAnsi" w:cs="Arial"/>
          <w:bCs/>
        </w:rPr>
        <w:t xml:space="preserve"> </w:t>
      </w:r>
      <w:r w:rsidR="00F7154B">
        <w:rPr>
          <w:rFonts w:asciiTheme="minorHAnsi" w:hAnsiTheme="minorHAnsi" w:cs="Arial"/>
          <w:bCs/>
        </w:rPr>
        <w:t>(7CPA</w:t>
      </w:r>
      <w:bookmarkEnd w:id="28"/>
      <w:r w:rsidR="00F7154B">
        <w:rPr>
          <w:rFonts w:asciiTheme="minorHAnsi" w:hAnsiTheme="minorHAnsi" w:cs="Arial"/>
          <w:bCs/>
        </w:rPr>
        <w:t xml:space="preserve">) and </w:t>
      </w:r>
      <w:r w:rsidR="00EF783A">
        <w:rPr>
          <w:rFonts w:asciiTheme="minorHAnsi" w:hAnsiTheme="minorHAnsi" w:cs="Arial"/>
          <w:bCs/>
        </w:rPr>
        <w:t>is designed to assist p</w:t>
      </w:r>
      <w:r w:rsidR="00EF783A" w:rsidRPr="009407C5">
        <w:rPr>
          <w:rFonts w:asciiTheme="minorHAnsi" w:hAnsiTheme="minorHAnsi" w:cs="Arial"/>
          <w:bCs/>
        </w:rPr>
        <w:t xml:space="preserve">atients who are </w:t>
      </w:r>
      <w:r w:rsidR="00EF783A" w:rsidRPr="001247C6">
        <w:rPr>
          <w:rFonts w:asciiTheme="minorHAnsi" w:hAnsiTheme="minorHAnsi" w:cs="Arial"/>
          <w:bCs/>
          <w:i/>
        </w:rPr>
        <w:t>at risk</w:t>
      </w:r>
      <w:r w:rsidR="00EF783A" w:rsidRPr="009407C5">
        <w:rPr>
          <w:rFonts w:asciiTheme="minorHAnsi" w:hAnsiTheme="minorHAnsi" w:cs="Arial"/>
          <w:bCs/>
        </w:rPr>
        <w:t xml:space="preserve"> of drug dependency or who are otherwise unable to manage their medicines safely.</w:t>
      </w:r>
      <w:r w:rsidR="00EF783A" w:rsidRPr="009407C5">
        <w:rPr>
          <w:rFonts w:asciiTheme="minorHAnsi" w:hAnsiTheme="minorHAnsi" w:cs="Arial"/>
          <w:b/>
          <w:bCs/>
        </w:rPr>
        <w:t xml:space="preserve"> </w:t>
      </w:r>
      <w:r w:rsidR="00EF783A" w:rsidRPr="004C1FE6">
        <w:rPr>
          <w:rFonts w:asciiTheme="minorHAnsi" w:hAnsiTheme="minorHAnsi" w:cs="Arial"/>
          <w:bCs/>
        </w:rPr>
        <w:t xml:space="preserve">The eligibility criteria for the </w:t>
      </w:r>
      <w:r w:rsidR="00EF783A">
        <w:rPr>
          <w:rFonts w:asciiTheme="minorHAnsi" w:hAnsiTheme="minorHAnsi" w:cs="Arial"/>
          <w:bCs/>
        </w:rPr>
        <w:t>Staged Supply Program target</w:t>
      </w:r>
      <w:r w:rsidR="00F7154B">
        <w:rPr>
          <w:rFonts w:asciiTheme="minorHAnsi" w:hAnsiTheme="minorHAnsi" w:cs="Arial"/>
          <w:bCs/>
        </w:rPr>
        <w:t>s</w:t>
      </w:r>
      <w:r w:rsidR="00EF783A">
        <w:rPr>
          <w:rFonts w:asciiTheme="minorHAnsi" w:hAnsiTheme="minorHAnsi" w:cs="Arial"/>
          <w:bCs/>
        </w:rPr>
        <w:t xml:space="preserve"> medicine</w:t>
      </w:r>
      <w:r w:rsidR="00EF783A" w:rsidRPr="004C1FE6">
        <w:rPr>
          <w:rFonts w:asciiTheme="minorHAnsi" w:hAnsiTheme="minorHAnsi" w:cs="Arial"/>
          <w:bCs/>
        </w:rPr>
        <w:t xml:space="preserve"> groups most likely to be </w:t>
      </w:r>
      <w:r w:rsidR="00EF783A">
        <w:rPr>
          <w:rFonts w:asciiTheme="minorHAnsi" w:hAnsiTheme="minorHAnsi" w:cs="Arial"/>
          <w:bCs/>
        </w:rPr>
        <w:t>associated with of</w:t>
      </w:r>
      <w:r w:rsidR="00EF783A" w:rsidRPr="004C1FE6">
        <w:rPr>
          <w:rFonts w:asciiTheme="minorHAnsi" w:hAnsiTheme="minorHAnsi" w:cs="Arial"/>
          <w:bCs/>
        </w:rPr>
        <w:t xml:space="preserve"> accidental or </w:t>
      </w:r>
      <w:r w:rsidR="00EF783A" w:rsidRPr="00E86E00">
        <w:rPr>
          <w:rFonts w:asciiTheme="minorHAnsi" w:hAnsiTheme="minorHAnsi" w:cs="Arial"/>
          <w:bCs/>
        </w:rPr>
        <w:t xml:space="preserve">intentional misuse, </w:t>
      </w:r>
      <w:r w:rsidR="00E86E00" w:rsidRPr="00E86E00">
        <w:rPr>
          <w:rFonts w:asciiTheme="minorHAnsi" w:hAnsiTheme="minorHAnsi" w:cs="Arial"/>
          <w:bCs/>
        </w:rPr>
        <w:t>non</w:t>
      </w:r>
      <w:r w:rsidR="00E86E00">
        <w:rPr>
          <w:rFonts w:asciiTheme="minorHAnsi" w:hAnsiTheme="minorHAnsi" w:cs="Arial"/>
          <w:bCs/>
        </w:rPr>
        <w:t>-medical use</w:t>
      </w:r>
      <w:r w:rsidR="00EF783A" w:rsidRPr="004C1FE6">
        <w:rPr>
          <w:rFonts w:asciiTheme="minorHAnsi" w:hAnsiTheme="minorHAnsi" w:cs="Arial"/>
          <w:bCs/>
        </w:rPr>
        <w:t xml:space="preserve"> or diversion of</w:t>
      </w:r>
      <w:r w:rsidR="00EF783A">
        <w:rPr>
          <w:rFonts w:asciiTheme="minorHAnsi" w:hAnsiTheme="minorHAnsi" w:cs="Arial"/>
          <w:bCs/>
        </w:rPr>
        <w:t xml:space="preserve"> prescribed medicines. Opioid substitution medicines supplied under the </w:t>
      </w:r>
      <w:r w:rsidR="00F7154B">
        <w:rPr>
          <w:rFonts w:asciiTheme="minorHAnsi" w:hAnsiTheme="minorHAnsi" w:cs="Arial"/>
          <w:bCs/>
        </w:rPr>
        <w:t xml:space="preserve">PBS </w:t>
      </w:r>
      <w:r w:rsidR="00EF783A">
        <w:rPr>
          <w:rFonts w:asciiTheme="minorHAnsi" w:hAnsiTheme="minorHAnsi" w:cs="Arial"/>
          <w:bCs/>
        </w:rPr>
        <w:t xml:space="preserve">ODTP for treatment of </w:t>
      </w:r>
      <w:r w:rsidR="00EF783A" w:rsidRPr="001247C6">
        <w:rPr>
          <w:rFonts w:asciiTheme="minorHAnsi" w:hAnsiTheme="minorHAnsi" w:cs="Arial"/>
          <w:bCs/>
          <w:i/>
        </w:rPr>
        <w:t>established</w:t>
      </w:r>
      <w:r w:rsidR="00EF783A">
        <w:rPr>
          <w:rFonts w:asciiTheme="minorHAnsi" w:hAnsiTheme="minorHAnsi" w:cs="Arial"/>
          <w:bCs/>
        </w:rPr>
        <w:t xml:space="preserve"> opioid dependence are </w:t>
      </w:r>
      <w:r w:rsidR="00F7154B">
        <w:rPr>
          <w:rFonts w:asciiTheme="minorHAnsi" w:hAnsiTheme="minorHAnsi" w:cs="Arial"/>
          <w:bCs/>
        </w:rPr>
        <w:t>not eligible under</w:t>
      </w:r>
      <w:r w:rsidR="00EF783A">
        <w:rPr>
          <w:rFonts w:asciiTheme="minorHAnsi" w:hAnsiTheme="minorHAnsi" w:cs="Arial"/>
          <w:bCs/>
        </w:rPr>
        <w:t xml:space="preserve"> the Staged Supply Program</w:t>
      </w:r>
      <w:r w:rsidR="00F7154B">
        <w:rPr>
          <w:rFonts w:asciiTheme="minorHAnsi" w:hAnsiTheme="minorHAnsi" w:cs="Arial"/>
          <w:bCs/>
        </w:rPr>
        <w:t xml:space="preserve">. </w:t>
      </w:r>
      <w:r w:rsidR="00F7154B" w:rsidRPr="00006C10">
        <w:rPr>
          <w:rFonts w:asciiTheme="minorHAnsi" w:hAnsiTheme="minorHAnsi" w:cs="Arial"/>
          <w:bCs/>
        </w:rPr>
        <w:t>Pharmacies are not eligible to claim the 7CPA staged supply payment for patients accessing pharmacotherapy for the treatment of opioid dependence.</w:t>
      </w:r>
    </w:p>
    <w:p w14:paraId="69081095" w14:textId="77777777" w:rsidR="00480E91" w:rsidRDefault="00480E91">
      <w:pPr>
        <w:spacing w:after="160" w:line="259" w:lineRule="auto"/>
        <w:jc w:val="left"/>
        <w:rPr>
          <w:rFonts w:asciiTheme="majorHAnsi" w:eastAsiaTheme="majorEastAsia" w:hAnsiTheme="majorHAnsi" w:cstheme="majorBidi"/>
          <w:color w:val="2F5496" w:themeColor="accent1" w:themeShade="BF"/>
        </w:rPr>
      </w:pPr>
      <w:r>
        <w:br w:type="page"/>
      </w:r>
    </w:p>
    <w:p w14:paraId="774C783B" w14:textId="12DDFB8D" w:rsidR="00A80C32" w:rsidRDefault="00A80C32" w:rsidP="00A80C32">
      <w:pPr>
        <w:pStyle w:val="Heading5"/>
      </w:pPr>
      <w:r>
        <w:lastRenderedPageBreak/>
        <w:t>Take home naloxone</w:t>
      </w:r>
    </w:p>
    <w:p w14:paraId="12D48179" w14:textId="21694BDB" w:rsidR="00A80C32" w:rsidRPr="006E6D66" w:rsidRDefault="00971336" w:rsidP="00A80C32">
      <w:r>
        <w:t xml:space="preserve">A complementary program to ODT programs is the National Take Home Naloxone (THN) Program </w:t>
      </w:r>
      <w:r w:rsidR="00A80C32" w:rsidRPr="00CB38C6">
        <w:t>that makes naloxone (a medicine that temporarily reverses the effects of opioids, including heroin) available for free to people who may experience, or witness, an opioid overdose.</w:t>
      </w:r>
      <w:r w:rsidR="00CB6848">
        <w:t xml:space="preserve"> </w:t>
      </w:r>
      <w:r w:rsidR="00781C68">
        <w:t>Specifically,</w:t>
      </w:r>
      <w:r w:rsidR="00CB6848">
        <w:t xml:space="preserve"> people who use illicit drugs and people who use prescription opioid medication, including ODT medicines</w:t>
      </w:r>
      <w:r w:rsidR="009F2638">
        <w:t>,</w:t>
      </w:r>
      <w:r w:rsidR="00CB6848">
        <w:t xml:space="preserve"> as well as their carers, friends, family and community members. </w:t>
      </w:r>
      <w:r w:rsidR="00A80C32" w:rsidRPr="00CB38C6">
        <w:t>Through this program naloxone is available nationally from participating community and hospital pharmacies as well as other sites such as alcohol and other drug treatment centres, custodial release programs and needle and syringe programs</w:t>
      </w:r>
      <w:r w:rsidR="00A80C32">
        <w:t>.</w:t>
      </w:r>
      <w:r w:rsidR="008B1D63">
        <w:t xml:space="preserve"> </w:t>
      </w:r>
      <w:r>
        <w:t xml:space="preserve">While </w:t>
      </w:r>
      <w:r w:rsidR="00480E91">
        <w:t>THN</w:t>
      </w:r>
      <w:r>
        <w:t xml:space="preserve"> does not specifically fall within the T</w:t>
      </w:r>
      <w:r w:rsidR="0083592C">
        <w:t>O</w:t>
      </w:r>
      <w:r>
        <w:t xml:space="preserve">R, </w:t>
      </w:r>
      <w:r w:rsidR="001E5884">
        <w:t>many states and territories also include access to naloxone for patients in ODT programs.</w:t>
      </w:r>
      <w:r>
        <w:t xml:space="preserve">  </w:t>
      </w:r>
    </w:p>
    <w:p w14:paraId="76D2DF7C" w14:textId="77777777" w:rsidR="00A80C32" w:rsidRDefault="00A80C32" w:rsidP="00F22F00">
      <w:pPr>
        <w:rPr>
          <w:rFonts w:cstheme="minorHAnsi"/>
        </w:rPr>
      </w:pPr>
    </w:p>
    <w:p w14:paraId="56C6FC42" w14:textId="77777777" w:rsidR="00A80C32" w:rsidRPr="00EA3458" w:rsidRDefault="00A80C32" w:rsidP="00F22F00">
      <w:pPr>
        <w:rPr>
          <w:rFonts w:cstheme="minorHAnsi"/>
        </w:rPr>
      </w:pPr>
    </w:p>
    <w:p w14:paraId="088A625C" w14:textId="77777777" w:rsidR="00CB2818" w:rsidRDefault="00CB2818">
      <w:pPr>
        <w:spacing w:after="160" w:line="259" w:lineRule="auto"/>
        <w:rPr>
          <w:rFonts w:asciiTheme="minorHAnsi" w:eastAsiaTheme="majorEastAsia" w:hAnsiTheme="minorHAnsi" w:cstheme="majorBidi"/>
          <w:color w:val="2F5496" w:themeColor="accent1" w:themeShade="BF"/>
          <w:sz w:val="26"/>
          <w:szCs w:val="26"/>
        </w:rPr>
      </w:pPr>
      <w:bookmarkStart w:id="29" w:name="_Toc118719040"/>
      <w:r>
        <w:br w:type="page"/>
      </w:r>
    </w:p>
    <w:p w14:paraId="72B7C273" w14:textId="67C9291C" w:rsidR="00434810" w:rsidRPr="00EA3458" w:rsidRDefault="00434810">
      <w:pPr>
        <w:pStyle w:val="Heading2"/>
      </w:pPr>
      <w:bookmarkStart w:id="30" w:name="_Toc163221163"/>
      <w:r w:rsidRPr="00EA3458">
        <w:lastRenderedPageBreak/>
        <w:t xml:space="preserve">Part </w:t>
      </w:r>
      <w:r w:rsidR="00CF4462">
        <w:t>2</w:t>
      </w:r>
      <w:r w:rsidRPr="00EA3458">
        <w:t>: TOR 1: Essential elements of models of service delivery of ODT</w:t>
      </w:r>
      <w:bookmarkEnd w:id="29"/>
      <w:bookmarkEnd w:id="30"/>
      <w:r w:rsidRPr="00EA3458">
        <w:t xml:space="preserve"> </w:t>
      </w:r>
    </w:p>
    <w:p w14:paraId="0EABA426" w14:textId="790ACE21" w:rsidR="00434810" w:rsidRPr="00EA3458" w:rsidRDefault="00434810">
      <w:pPr>
        <w:pBdr>
          <w:top w:val="single" w:sz="4" w:space="1" w:color="auto"/>
          <w:left w:val="single" w:sz="4" w:space="4" w:color="auto"/>
          <w:bottom w:val="single" w:sz="4" w:space="1" w:color="auto"/>
          <w:right w:val="single" w:sz="4" w:space="4" w:color="auto"/>
        </w:pBdr>
      </w:pPr>
      <w:r w:rsidRPr="00EA3458">
        <w:t>TOR 1: Describe and compare essential elements of models of service delivery for opioid dependence treatment (ODT) in Australia (and internationally) including best practice guidelines and current models (including models developed in response to the COVID-19 pandemic) that support timely access to ODT medicines through both pharmacy and non-pharmacy settings*</w:t>
      </w:r>
    </w:p>
    <w:p w14:paraId="7B268802" w14:textId="6BCF9EEE" w:rsidR="00D111AE" w:rsidRDefault="00434810">
      <w:pPr>
        <w:pBdr>
          <w:top w:val="single" w:sz="4" w:space="1" w:color="auto"/>
          <w:left w:val="single" w:sz="4" w:space="4" w:color="auto"/>
          <w:bottom w:val="single" w:sz="4" w:space="1" w:color="auto"/>
          <w:right w:val="single" w:sz="4" w:space="4" w:color="auto"/>
        </w:pBdr>
      </w:pPr>
      <w:r w:rsidRPr="00EA3458">
        <w:t xml:space="preserve">*Non-pharmacy settings include a range of service settings where ODT medicines are delivered in Australia including, but not limited to, correctional facilities, hospitals, public and private clinics, </w:t>
      </w:r>
      <w:r w:rsidR="00740369">
        <w:t>ACCHOs</w:t>
      </w:r>
      <w:r w:rsidRPr="00EA3458">
        <w:t>, general practices and specialist clinics.</w:t>
      </w:r>
    </w:p>
    <w:p w14:paraId="264086A5" w14:textId="0DF35F92" w:rsidR="00E9495B" w:rsidRDefault="00D111AE" w:rsidP="00E9495B">
      <w:pPr>
        <w:spacing w:after="0"/>
      </w:pPr>
      <w:r w:rsidRPr="00D111AE">
        <w:t>To address this T</w:t>
      </w:r>
      <w:r w:rsidR="00740369">
        <w:t>O</w:t>
      </w:r>
      <w:r w:rsidRPr="00D111AE">
        <w:t>R, the sections in this Part discuss the current elements of ODT in Australia including the characteristics of people accessing ODT, existing treatment guidelines and compares these with international models of countries with similar health systems to Australia. These comparisons with existing models of service delivery, along with stakeholder contributions and other evidence on elements for best practice are used to draw out the essential elements of models of service delivery.</w:t>
      </w:r>
    </w:p>
    <w:p w14:paraId="47D54E61" w14:textId="20088364" w:rsidR="00D111AE" w:rsidRPr="00C02649" w:rsidRDefault="00604DBC" w:rsidP="00B16D09">
      <w:pPr>
        <w:pStyle w:val="Heading3"/>
      </w:pPr>
      <w:bookmarkStart w:id="31" w:name="_Toc119413982"/>
      <w:bookmarkStart w:id="32" w:name="_Toc119485194"/>
      <w:bookmarkStart w:id="33" w:name="_Toc119485233"/>
      <w:bookmarkStart w:id="34" w:name="_Toc119485274"/>
      <w:bookmarkStart w:id="35" w:name="_Toc119485847"/>
      <w:bookmarkStart w:id="36" w:name="_Toc119486265"/>
      <w:bookmarkStart w:id="37" w:name="_Toc119490341"/>
      <w:bookmarkStart w:id="38" w:name="_Toc119492335"/>
      <w:bookmarkStart w:id="39" w:name="_Toc119499630"/>
      <w:bookmarkStart w:id="40" w:name="_Toc119499675"/>
      <w:bookmarkStart w:id="41" w:name="_Toc119508154"/>
      <w:bookmarkStart w:id="42" w:name="_Toc119508217"/>
      <w:bookmarkStart w:id="43" w:name="_Toc119508263"/>
      <w:bookmarkStart w:id="44" w:name="_Toc119508309"/>
      <w:bookmarkStart w:id="45" w:name="_Toc119508359"/>
      <w:bookmarkStart w:id="46" w:name="_Toc119508420"/>
      <w:bookmarkStart w:id="47" w:name="_Toc119510609"/>
      <w:bookmarkStart w:id="48" w:name="_Toc119517443"/>
      <w:bookmarkStart w:id="49" w:name="_Toc119517494"/>
      <w:bookmarkStart w:id="50" w:name="_Toc119569909"/>
      <w:bookmarkStart w:id="51" w:name="_Toc119574365"/>
      <w:bookmarkStart w:id="52" w:name="_Toc119574425"/>
      <w:bookmarkStart w:id="53" w:name="_Toc119586592"/>
      <w:bookmarkStart w:id="54" w:name="_Toc119592325"/>
      <w:bookmarkStart w:id="55" w:name="_Toc119595310"/>
      <w:bookmarkStart w:id="56" w:name="_Toc119596331"/>
      <w:bookmarkStart w:id="57" w:name="_Toc120025175"/>
      <w:bookmarkStart w:id="58" w:name="_Toc120025261"/>
      <w:bookmarkStart w:id="59" w:name="_Toc120029094"/>
      <w:bookmarkStart w:id="60" w:name="_Toc120029215"/>
      <w:bookmarkStart w:id="61" w:name="_Toc120030320"/>
      <w:bookmarkStart w:id="62" w:name="_Toc120030378"/>
      <w:bookmarkStart w:id="63" w:name="_Toc120033301"/>
      <w:bookmarkStart w:id="64" w:name="_Toc120264945"/>
      <w:bookmarkStart w:id="65" w:name="_Toc120265003"/>
      <w:bookmarkStart w:id="66" w:name="_Toc120272196"/>
      <w:bookmarkStart w:id="67" w:name="_Toc120272256"/>
      <w:bookmarkStart w:id="68" w:name="_Toc120523312"/>
      <w:bookmarkStart w:id="69" w:name="_Toc120524220"/>
      <w:bookmarkStart w:id="70" w:name="_Toc120550233"/>
      <w:bookmarkStart w:id="71" w:name="_Toc120605381"/>
      <w:bookmarkStart w:id="72" w:name="_Toc120713114"/>
      <w:bookmarkStart w:id="73" w:name="_Toc120703667"/>
      <w:bookmarkStart w:id="74" w:name="_Toc120876031"/>
      <w:bookmarkStart w:id="75" w:name="_Toc121311648"/>
      <w:bookmarkStart w:id="76" w:name="_Toc132817389"/>
      <w:bookmarkStart w:id="77" w:name="_Toc119413983"/>
      <w:bookmarkStart w:id="78" w:name="_Toc119485195"/>
      <w:bookmarkStart w:id="79" w:name="_Toc119485234"/>
      <w:bookmarkStart w:id="80" w:name="_Toc119485275"/>
      <w:bookmarkStart w:id="81" w:name="_Toc119485848"/>
      <w:bookmarkStart w:id="82" w:name="_Toc119486266"/>
      <w:bookmarkStart w:id="83" w:name="_Toc119490342"/>
      <w:bookmarkStart w:id="84" w:name="_Toc119492336"/>
      <w:bookmarkStart w:id="85" w:name="_Toc119499631"/>
      <w:bookmarkStart w:id="86" w:name="_Toc119499676"/>
      <w:bookmarkStart w:id="87" w:name="_Toc119508155"/>
      <w:bookmarkStart w:id="88" w:name="_Toc119508218"/>
      <w:bookmarkStart w:id="89" w:name="_Toc119508264"/>
      <w:bookmarkStart w:id="90" w:name="_Toc119508310"/>
      <w:bookmarkStart w:id="91" w:name="_Toc119508360"/>
      <w:bookmarkStart w:id="92" w:name="_Toc119508421"/>
      <w:bookmarkStart w:id="93" w:name="_Toc119510610"/>
      <w:bookmarkStart w:id="94" w:name="_Toc119517444"/>
      <w:bookmarkStart w:id="95" w:name="_Toc119517495"/>
      <w:bookmarkStart w:id="96" w:name="_Toc119569910"/>
      <w:bookmarkStart w:id="97" w:name="_Toc119574366"/>
      <w:bookmarkStart w:id="98" w:name="_Toc119574426"/>
      <w:bookmarkStart w:id="99" w:name="_Toc119586593"/>
      <w:bookmarkStart w:id="100" w:name="_Toc119592326"/>
      <w:bookmarkStart w:id="101" w:name="_Toc119595311"/>
      <w:bookmarkStart w:id="102" w:name="_Toc119596332"/>
      <w:bookmarkStart w:id="103" w:name="_Toc120025176"/>
      <w:bookmarkStart w:id="104" w:name="_Toc120025262"/>
      <w:bookmarkStart w:id="105" w:name="_Toc120029095"/>
      <w:bookmarkStart w:id="106" w:name="_Toc120029216"/>
      <w:bookmarkStart w:id="107" w:name="_Toc120030321"/>
      <w:bookmarkStart w:id="108" w:name="_Toc120030379"/>
      <w:bookmarkStart w:id="109" w:name="_Toc120033302"/>
      <w:bookmarkStart w:id="110" w:name="_Toc120264946"/>
      <w:bookmarkStart w:id="111" w:name="_Toc120265004"/>
      <w:bookmarkStart w:id="112" w:name="_Toc120272197"/>
      <w:bookmarkStart w:id="113" w:name="_Toc120272257"/>
      <w:bookmarkStart w:id="114" w:name="_Toc120523313"/>
      <w:bookmarkStart w:id="115" w:name="_Toc120524221"/>
      <w:bookmarkStart w:id="116" w:name="_Toc120550234"/>
      <w:bookmarkStart w:id="117" w:name="_Toc120605382"/>
      <w:bookmarkStart w:id="118" w:name="_Toc120713115"/>
      <w:bookmarkStart w:id="119" w:name="_Toc120703668"/>
      <w:bookmarkStart w:id="120" w:name="_Toc120876032"/>
      <w:bookmarkStart w:id="121" w:name="_Toc121311649"/>
      <w:bookmarkStart w:id="122" w:name="_Toc132817390"/>
      <w:bookmarkStart w:id="123" w:name="_Toc163221164"/>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r w:rsidRPr="00C02649">
        <w:t xml:space="preserve">TOR 1 </w:t>
      </w:r>
      <w:r w:rsidR="00D111AE" w:rsidRPr="00C02649">
        <w:t>Key findings</w:t>
      </w:r>
      <w:bookmarkEnd w:id="123"/>
    </w:p>
    <w:p w14:paraId="3E1A305E" w14:textId="634C94FB" w:rsidR="008B6D1F" w:rsidRPr="00EA3458" w:rsidRDefault="00A72DDC">
      <w:bookmarkStart w:id="124" w:name="_Toc119075749"/>
      <w:bookmarkStart w:id="125" w:name="_Toc119075781"/>
      <w:bookmarkStart w:id="126" w:name="_Toc119326327"/>
      <w:bookmarkStart w:id="127" w:name="_Toc119340457"/>
      <w:bookmarkStart w:id="128" w:name="_Toc119395326"/>
      <w:bookmarkStart w:id="129" w:name="_Toc119422661"/>
      <w:bookmarkStart w:id="130" w:name="_Toc119422741"/>
      <w:bookmarkStart w:id="131" w:name="_Toc119413985"/>
      <w:bookmarkStart w:id="132" w:name="_Toc119485197"/>
      <w:bookmarkStart w:id="133" w:name="_Toc119485236"/>
      <w:bookmarkStart w:id="134" w:name="_Toc119485277"/>
      <w:bookmarkStart w:id="135" w:name="_Toc119485850"/>
      <w:bookmarkStart w:id="136" w:name="_Toc119486268"/>
      <w:bookmarkStart w:id="137" w:name="_Toc119490344"/>
      <w:bookmarkStart w:id="138" w:name="_Toc119492338"/>
      <w:bookmarkStart w:id="139" w:name="_Toc119499633"/>
      <w:bookmarkStart w:id="140" w:name="_Toc119499678"/>
      <w:bookmarkStart w:id="141" w:name="_Toc119508157"/>
      <w:bookmarkStart w:id="142" w:name="_Toc119508220"/>
      <w:bookmarkStart w:id="143" w:name="_Toc119508266"/>
      <w:bookmarkStart w:id="144" w:name="_Toc119508312"/>
      <w:bookmarkStart w:id="145" w:name="_Toc119508362"/>
      <w:bookmarkStart w:id="146" w:name="_Toc119508423"/>
      <w:bookmarkStart w:id="147" w:name="_Toc119510612"/>
      <w:bookmarkStart w:id="148" w:name="_Toc119517446"/>
      <w:bookmarkStart w:id="149" w:name="_Toc119517497"/>
      <w:bookmarkStart w:id="150" w:name="_Toc119569912"/>
      <w:bookmarkStart w:id="151" w:name="_Toc119574368"/>
      <w:bookmarkStart w:id="152" w:name="_Toc119574428"/>
      <w:bookmarkStart w:id="153" w:name="_Toc119586595"/>
      <w:bookmarkStart w:id="154" w:name="_Toc119592328"/>
      <w:bookmarkStart w:id="155" w:name="_Toc119595313"/>
      <w:bookmarkStart w:id="156" w:name="_Toc119596334"/>
      <w:bookmarkStart w:id="157" w:name="_Toc120025178"/>
      <w:bookmarkStart w:id="158" w:name="_Toc120025264"/>
      <w:bookmarkStart w:id="159" w:name="_Toc120029097"/>
      <w:bookmarkStart w:id="160" w:name="_Toc120029218"/>
      <w:bookmarkStart w:id="161" w:name="_Toc120030323"/>
      <w:bookmarkStart w:id="162" w:name="_Toc120030381"/>
      <w:bookmarkStart w:id="163" w:name="_Toc120033304"/>
      <w:bookmarkStart w:id="164" w:name="_Toc120264948"/>
      <w:bookmarkStart w:id="165" w:name="_Toc120265006"/>
      <w:bookmarkStart w:id="166" w:name="_Toc120272199"/>
      <w:bookmarkStart w:id="167" w:name="_Toc120272259"/>
      <w:bookmarkStart w:id="168" w:name="_Toc120523315"/>
      <w:bookmarkStart w:id="169" w:name="_Toc120524223"/>
      <w:bookmarkStart w:id="170" w:name="_Toc120550236"/>
      <w:bookmarkStart w:id="171" w:name="_Toc120605384"/>
      <w:bookmarkStart w:id="172" w:name="_Toc120713117"/>
      <w:bookmarkStart w:id="173" w:name="_Toc120703670"/>
      <w:bookmarkStart w:id="174" w:name="_Toc120876034"/>
      <w:bookmarkStart w:id="175" w:name="_Toc121311651"/>
      <w:bookmarkStart w:id="176" w:name="_Toc119075750"/>
      <w:bookmarkStart w:id="177" w:name="_Toc119075782"/>
      <w:bookmarkStart w:id="178" w:name="_Toc119326328"/>
      <w:bookmarkStart w:id="179" w:name="_Toc119340458"/>
      <w:bookmarkStart w:id="180" w:name="_Toc119395327"/>
      <w:bookmarkStart w:id="181" w:name="_Toc119422662"/>
      <w:bookmarkStart w:id="182" w:name="_Toc119422742"/>
      <w:bookmarkStart w:id="183" w:name="_Toc119413986"/>
      <w:bookmarkStart w:id="184" w:name="_Toc119485198"/>
      <w:bookmarkStart w:id="185" w:name="_Toc119485237"/>
      <w:bookmarkStart w:id="186" w:name="_Toc119485278"/>
      <w:bookmarkStart w:id="187" w:name="_Toc119485851"/>
      <w:bookmarkStart w:id="188" w:name="_Toc119486269"/>
      <w:bookmarkStart w:id="189" w:name="_Toc119490345"/>
      <w:bookmarkStart w:id="190" w:name="_Toc119492339"/>
      <w:bookmarkStart w:id="191" w:name="_Toc119499634"/>
      <w:bookmarkStart w:id="192" w:name="_Toc119499679"/>
      <w:bookmarkStart w:id="193" w:name="_Toc119508158"/>
      <w:bookmarkStart w:id="194" w:name="_Toc119508221"/>
      <w:bookmarkStart w:id="195" w:name="_Toc119508267"/>
      <w:bookmarkStart w:id="196" w:name="_Toc119508313"/>
      <w:bookmarkStart w:id="197" w:name="_Toc119508363"/>
      <w:bookmarkStart w:id="198" w:name="_Toc119508424"/>
      <w:bookmarkStart w:id="199" w:name="_Toc119510613"/>
      <w:bookmarkStart w:id="200" w:name="_Toc119517447"/>
      <w:bookmarkStart w:id="201" w:name="_Toc119517498"/>
      <w:bookmarkStart w:id="202" w:name="_Toc119569913"/>
      <w:bookmarkStart w:id="203" w:name="_Toc119574369"/>
      <w:bookmarkStart w:id="204" w:name="_Toc119574429"/>
      <w:bookmarkStart w:id="205" w:name="_Toc119586596"/>
      <w:bookmarkStart w:id="206" w:name="_Toc119592329"/>
      <w:bookmarkStart w:id="207" w:name="_Toc119595314"/>
      <w:bookmarkStart w:id="208" w:name="_Toc119596335"/>
      <w:bookmarkStart w:id="209" w:name="_Toc120025179"/>
      <w:bookmarkStart w:id="210" w:name="_Toc120025265"/>
      <w:bookmarkStart w:id="211" w:name="_Toc120029098"/>
      <w:bookmarkStart w:id="212" w:name="_Toc120029219"/>
      <w:bookmarkStart w:id="213" w:name="_Toc120030324"/>
      <w:bookmarkStart w:id="214" w:name="_Toc120030382"/>
      <w:bookmarkStart w:id="215" w:name="_Toc120033305"/>
      <w:bookmarkStart w:id="216" w:name="_Toc120264949"/>
      <w:bookmarkStart w:id="217" w:name="_Toc120265007"/>
      <w:bookmarkStart w:id="218" w:name="_Toc120272200"/>
      <w:bookmarkStart w:id="219" w:name="_Toc120272260"/>
      <w:bookmarkStart w:id="220" w:name="_Toc120523316"/>
      <w:bookmarkStart w:id="221" w:name="_Toc120524224"/>
      <w:bookmarkStart w:id="222" w:name="_Toc120550237"/>
      <w:bookmarkStart w:id="223" w:name="_Toc120605385"/>
      <w:bookmarkStart w:id="224" w:name="_Toc120713118"/>
      <w:bookmarkStart w:id="225" w:name="_Toc120703671"/>
      <w:bookmarkStart w:id="226" w:name="_Toc120876035"/>
      <w:bookmarkStart w:id="227" w:name="_Toc121311652"/>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r>
        <w:rPr>
          <w:rFonts w:eastAsia="Calibri" w:cs="Calibri"/>
        </w:rPr>
        <w:t>O</w:t>
      </w:r>
      <w:r w:rsidRPr="00EA3458">
        <w:rPr>
          <w:rFonts w:eastAsia="Calibri" w:cs="Calibri"/>
        </w:rPr>
        <w:t xml:space="preserve">n a snapshot day in 2021, 47,563 </w:t>
      </w:r>
      <w:bookmarkStart w:id="228" w:name="_Hlk127791842"/>
      <w:r w:rsidRPr="00EA3458">
        <w:rPr>
          <w:rFonts w:eastAsia="Calibri" w:cs="Calibri"/>
        </w:rPr>
        <w:t>people in Australia</w:t>
      </w:r>
      <w:r>
        <w:rPr>
          <w:rFonts w:eastAsia="Calibri" w:cs="Calibri"/>
        </w:rPr>
        <w:t xml:space="preserve"> (excluding data for Queensland)</w:t>
      </w:r>
      <w:r w:rsidRPr="00EA3458">
        <w:rPr>
          <w:rFonts w:eastAsia="Calibri" w:cs="Calibri"/>
        </w:rPr>
        <w:t xml:space="preserve"> were </w:t>
      </w:r>
      <w:r>
        <w:rPr>
          <w:rFonts w:eastAsia="Calibri" w:cs="Calibri"/>
        </w:rPr>
        <w:t>receiving treatment for their opioid dependence</w:t>
      </w:r>
      <w:bookmarkEnd w:id="228"/>
      <w:r w:rsidRPr="00EA3458">
        <w:t>.</w:t>
      </w:r>
      <w:r w:rsidR="002565E6" w:rsidRPr="000353BE">
        <w:fldChar w:fldCharType="begin"/>
      </w:r>
      <w:r w:rsidR="002565E6">
        <w:instrText xml:space="preserve"> ADDIN EN.CITE &lt;EndNote&gt;&lt;Cite&gt;&lt;Author&gt;Australian Institute of Health and Welfare&lt;/Author&gt;&lt;Year&gt;2022&lt;/Year&gt;&lt;RecNum&gt;1&lt;/RecNum&gt;&lt;DisplayText&gt;&lt;style face="superscript"&gt;1&lt;/style&gt;&lt;/DisplayText&gt;&lt;record&gt;&lt;rec-number&gt;1&lt;/rec-number&gt;&lt;foreign-keys&gt;&lt;key app="EN" db-id="xssz590sx9vzw4ewpzdv0s5sret50aexdtd9" timestamp="1668645241"&gt;1&lt;/key&gt;&lt;/foreign-keys&gt;&lt;ref-type name="Report"&gt;27&lt;/ref-type&gt;&lt;contributors&gt;&lt;authors&gt;&lt;author&gt;Australian Institute of Health and Welfare,&lt;/author&gt;&lt;/authors&gt;&lt;/contributors&gt;&lt;titles&gt;&lt;title&gt;National Opioid Pharmacotherapy Statistics Annual Data (NOPSAD) collection. &lt;/title&gt;&lt;/titles&gt;&lt;volume&gt;Cat. no. PHE 266&lt;/volume&gt;&lt;dates&gt;&lt;year&gt;2022&lt;/year&gt;&lt;pub-dates&gt;&lt;date&gt;2022/11/21/&lt;/date&gt;&lt;/pub-dates&gt;&lt;/dates&gt;&lt;pub-location&gt;Canberra&lt;/pub-location&gt;&lt;publisher&gt;AIHW&lt;/publisher&gt;&lt;label&gt;BibEntry2022Feb&lt;/label&gt;&lt;urls&gt;&lt;related-urls&gt;&lt;url&gt;https://www.aihw.gov.au/reports/alcohol-other-drug-treatment-services/national-opioidpharmacotherapy-statistics&lt;/url&gt;&lt;/related-urls&gt;&lt;/urls&gt;&lt;language&gt;English&lt;/language&gt;&lt;/record&gt;&lt;/Cite&gt;&lt;/EndNote&gt;</w:instrText>
      </w:r>
      <w:r w:rsidR="002565E6" w:rsidRPr="000353BE">
        <w:fldChar w:fldCharType="separate"/>
      </w:r>
      <w:r w:rsidR="002565E6" w:rsidRPr="000353BE">
        <w:rPr>
          <w:noProof/>
          <w:vertAlign w:val="superscript"/>
        </w:rPr>
        <w:t>1</w:t>
      </w:r>
      <w:r w:rsidR="002565E6" w:rsidRPr="000353BE">
        <w:fldChar w:fldCharType="end"/>
      </w:r>
      <w:r w:rsidRPr="00EA3458">
        <w:t xml:space="preserve"> Most people received methadone (58%), the median age was 44 years and over two-thirds were male. I</w:t>
      </w:r>
      <w:r>
        <w:t>t</w:t>
      </w:r>
      <w:r w:rsidRPr="00EA3458">
        <w:t xml:space="preserve"> i</w:t>
      </w:r>
      <w:r>
        <w:t>s</w:t>
      </w:r>
      <w:r w:rsidRPr="00EA3458">
        <w:t xml:space="preserve"> estimated that most consumers were unemployed and lived in a major city, approximately 8% were homeless and an estimated 71% had been incarcerated previously.</w:t>
      </w:r>
      <w:r w:rsidR="002565E6" w:rsidRPr="003E5F94">
        <w:rPr>
          <w:rFonts w:cs="Calibri"/>
          <w:color w:val="000000"/>
          <w:shd w:val="clear" w:color="auto" w:fill="FFFFFF"/>
        </w:rPr>
        <w:fldChar w:fldCharType="begin">
          <w:fldData xml:space="preserve">PEVuZE5vdGU+PENpdGU+PEF1dGhvcj5WYWxlcmlvPC9BdXRob3I+PFllYXI+MjAyMTwvWWVhcj48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</w:fldData>
        </w:fldChar>
      </w:r>
      <w:r w:rsidR="002565E6">
        <w:rPr>
          <w:rFonts w:cs="Calibri"/>
          <w:color w:val="000000"/>
          <w:shd w:val="clear" w:color="auto" w:fill="FFFFFF"/>
        </w:rPr>
        <w:instrText xml:space="preserve"> ADDIN EN.CITE </w:instrText>
      </w:r>
      <w:r w:rsidR="002565E6">
        <w:rPr>
          <w:rFonts w:cs="Calibri"/>
          <w:color w:val="000000"/>
          <w:shd w:val="clear" w:color="auto" w:fill="FFFFFF"/>
        </w:rPr>
        <w:fldChar w:fldCharType="begin">
          <w:fldData xml:space="preserve">PEVuZE5vdGU+PENpdGU+PEF1dGhvcj5WYWxlcmlvPC9BdXRob3I+PFllYXI+MjAyMTwvWWVhcj48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</w:fldData>
        </w:fldChar>
      </w:r>
      <w:r w:rsidR="002565E6">
        <w:rPr>
          <w:rFonts w:cs="Calibri"/>
          <w:color w:val="000000"/>
          <w:shd w:val="clear" w:color="auto" w:fill="FFFFFF"/>
        </w:rPr>
        <w:instrText xml:space="preserve"> ADDIN EN.CITE.DATA </w:instrText>
      </w:r>
      <w:r w:rsidR="002565E6">
        <w:rPr>
          <w:rFonts w:cs="Calibri"/>
          <w:color w:val="000000"/>
          <w:shd w:val="clear" w:color="auto" w:fill="FFFFFF"/>
        </w:rPr>
      </w:r>
      <w:r w:rsidR="002565E6">
        <w:rPr>
          <w:rFonts w:cs="Calibri"/>
          <w:color w:val="000000"/>
          <w:shd w:val="clear" w:color="auto" w:fill="FFFFFF"/>
        </w:rPr>
        <w:fldChar w:fldCharType="end"/>
      </w:r>
      <w:r w:rsidR="002565E6" w:rsidRPr="003E5F94">
        <w:rPr>
          <w:rFonts w:cs="Calibri"/>
          <w:color w:val="000000"/>
          <w:shd w:val="clear" w:color="auto" w:fill="FFFFFF"/>
        </w:rPr>
      </w:r>
      <w:r w:rsidR="002565E6" w:rsidRPr="003E5F94">
        <w:rPr>
          <w:rFonts w:cs="Calibri"/>
          <w:color w:val="000000"/>
          <w:shd w:val="clear" w:color="auto" w:fill="FFFFFF"/>
        </w:rPr>
        <w:fldChar w:fldCharType="separate"/>
      </w:r>
      <w:r w:rsidR="002565E6" w:rsidRPr="00646D54">
        <w:rPr>
          <w:rFonts w:cs="Calibri"/>
          <w:noProof/>
          <w:color w:val="000000"/>
          <w:shd w:val="clear" w:color="auto" w:fill="FFFFFF"/>
          <w:vertAlign w:val="superscript"/>
        </w:rPr>
        <w:t>7</w:t>
      </w:r>
      <w:r w:rsidR="002565E6" w:rsidRPr="003E5F94">
        <w:rPr>
          <w:rFonts w:cs="Calibri"/>
          <w:color w:val="000000"/>
          <w:shd w:val="clear" w:color="auto" w:fill="FFFFFF"/>
        </w:rPr>
        <w:fldChar w:fldCharType="end"/>
      </w:r>
    </w:p>
    <w:p w14:paraId="0DBE4E28" w14:textId="7D804909" w:rsidR="008B6D1F" w:rsidRPr="00EA3458" w:rsidRDefault="00A72DDC">
      <w:r>
        <w:t xml:space="preserve">MedicineInsight data indicates </w:t>
      </w:r>
      <w:r w:rsidR="008B6D1F" w:rsidRPr="00EA3458">
        <w:t>O</w:t>
      </w:r>
      <w:r w:rsidR="00D933AE">
        <w:t>D</w:t>
      </w:r>
      <w:r w:rsidR="008B6D1F" w:rsidRPr="00EA3458">
        <w:t>T</w:t>
      </w:r>
      <w:r w:rsidR="00D933AE">
        <w:t xml:space="preserve"> medicines were</w:t>
      </w:r>
      <w:r w:rsidR="008B6D1F" w:rsidRPr="00EA3458">
        <w:t xml:space="preserve"> mostly prescribed by a private health practitioner with approximately 10% of prescribers responsible for 80% of the prescribing of O</w:t>
      </w:r>
      <w:r w:rsidR="00D933AE">
        <w:t>D</w:t>
      </w:r>
      <w:r w:rsidR="008B6D1F" w:rsidRPr="00EA3458">
        <w:t xml:space="preserve">T medicines. </w:t>
      </w:r>
      <w:r w:rsidR="006E227E" w:rsidRPr="00EA3458">
        <w:t>O</w:t>
      </w:r>
      <w:r w:rsidR="00D933AE">
        <w:t>DT medicines were</w:t>
      </w:r>
      <w:r w:rsidR="006E227E" w:rsidRPr="00EA3458">
        <w:t xml:space="preserve"> mainly dispensed in pharmacies (around </w:t>
      </w:r>
      <w:r w:rsidR="00FE2AAD">
        <w:t>68</w:t>
      </w:r>
      <w:r w:rsidR="006E227E" w:rsidRPr="00EA3458">
        <w:t>%). Prior to the COVID-19 pandemic, 32% of people had received takeaway doses, which increased to 47% during the pandemic.</w:t>
      </w:r>
      <w:r w:rsidR="002565E6" w:rsidRPr="003E5F94">
        <w:rPr>
          <w:rFonts w:cs="Calibri"/>
          <w:color w:val="000000"/>
          <w:shd w:val="clear" w:color="auto" w:fill="FFFFFF"/>
        </w:rPr>
        <w:fldChar w:fldCharType="begin">
          <w:fldData xml:space="preserve">PEVuZE5vdGU+PENpdGU+PEF1dGhvcj5WYWxlcmlvPC9BdXRob3I+PFllYXI+MjAyMTwvWWVhcj48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</w:fldData>
        </w:fldChar>
      </w:r>
      <w:r w:rsidR="002565E6">
        <w:rPr>
          <w:rFonts w:cs="Calibri"/>
          <w:color w:val="000000"/>
          <w:shd w:val="clear" w:color="auto" w:fill="FFFFFF"/>
        </w:rPr>
        <w:instrText xml:space="preserve"> ADDIN EN.CITE </w:instrText>
      </w:r>
      <w:r w:rsidR="002565E6">
        <w:rPr>
          <w:rFonts w:cs="Calibri"/>
          <w:color w:val="000000"/>
          <w:shd w:val="clear" w:color="auto" w:fill="FFFFFF"/>
        </w:rPr>
        <w:fldChar w:fldCharType="begin">
          <w:fldData xml:space="preserve">PEVuZE5vdGU+PENpdGU+PEF1dGhvcj5WYWxlcmlvPC9BdXRob3I+PFllYXI+MjAyMTwvWWVhcj48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</w:fldData>
        </w:fldChar>
      </w:r>
      <w:r w:rsidR="002565E6">
        <w:rPr>
          <w:rFonts w:cs="Calibri"/>
          <w:color w:val="000000"/>
          <w:shd w:val="clear" w:color="auto" w:fill="FFFFFF"/>
        </w:rPr>
        <w:instrText xml:space="preserve"> ADDIN EN.CITE.DATA </w:instrText>
      </w:r>
      <w:r w:rsidR="002565E6">
        <w:rPr>
          <w:rFonts w:cs="Calibri"/>
          <w:color w:val="000000"/>
          <w:shd w:val="clear" w:color="auto" w:fill="FFFFFF"/>
        </w:rPr>
      </w:r>
      <w:r w:rsidR="002565E6">
        <w:rPr>
          <w:rFonts w:cs="Calibri"/>
          <w:color w:val="000000"/>
          <w:shd w:val="clear" w:color="auto" w:fill="FFFFFF"/>
        </w:rPr>
        <w:fldChar w:fldCharType="end"/>
      </w:r>
      <w:r w:rsidR="002565E6" w:rsidRPr="003E5F94">
        <w:rPr>
          <w:rFonts w:cs="Calibri"/>
          <w:color w:val="000000"/>
          <w:shd w:val="clear" w:color="auto" w:fill="FFFFFF"/>
        </w:rPr>
      </w:r>
      <w:r w:rsidR="002565E6" w:rsidRPr="003E5F94">
        <w:rPr>
          <w:rFonts w:cs="Calibri"/>
          <w:color w:val="000000"/>
          <w:shd w:val="clear" w:color="auto" w:fill="FFFFFF"/>
        </w:rPr>
        <w:fldChar w:fldCharType="separate"/>
      </w:r>
      <w:r w:rsidR="002565E6" w:rsidRPr="003E5F94">
        <w:rPr>
          <w:rFonts w:cs="Calibri"/>
          <w:noProof/>
          <w:color w:val="000000"/>
          <w:shd w:val="clear" w:color="auto" w:fill="FFFFFF"/>
          <w:vertAlign w:val="superscript"/>
        </w:rPr>
        <w:t>7</w:t>
      </w:r>
      <w:r w:rsidR="002565E6" w:rsidRPr="003E5F94">
        <w:rPr>
          <w:rFonts w:cs="Calibri"/>
          <w:color w:val="000000"/>
          <w:shd w:val="clear" w:color="auto" w:fill="FFFFFF"/>
        </w:rPr>
        <w:fldChar w:fldCharType="end"/>
      </w:r>
      <w:r>
        <w:t xml:space="preserve"> However, access to takeaway doses may have since reduced in some jurisdictions, e.g. in NSW the amendment to policy guidance that allowed for consideration of higher numbers of takeaway doses during the COVID-19 pandemic was rolled-back to pre-pandemic ODT policies.</w:t>
      </w:r>
      <w:bookmarkStart w:id="229" w:name="_Hlk127949787"/>
      <w:r w:rsidR="002565E6">
        <w:fldChar w:fldCharType="begin"/>
      </w:r>
      <w:r w:rsidR="002565E6">
        <w:instrText xml:space="preserve"> ADDIN EN.CITE &lt;EndNote&gt;&lt;Cite&gt;&lt;Author&gt;Ministry of Health&lt;/Author&gt;&lt;Year&gt;2021&lt;/Year&gt;&lt;RecNum&gt;70&lt;/RecNum&gt;&lt;DisplayText&gt;&lt;style face="superscript"&gt;18&lt;/style&gt;&lt;/DisplayText&gt;&lt;record&gt;&lt;rec-number&gt;70&lt;/rec-number&gt;&lt;foreign-keys&gt;&lt;key app="EN" db-id="xssz590sx9vzw4ewpzdv0s5sret50aexdtd9" timestamp="1677027576"&gt;70&lt;/key&gt;&lt;/foreign-keys&gt;&lt;ref-type name="Web Page"&gt;12&lt;/ref-type&gt;&lt;contributors&gt;&lt;authors&gt;&lt;author&gt;Ministry of Health, New South Wales &lt;/author&gt;&lt;/authors&gt;&lt;/contributors&gt;&lt;titles&gt;&lt;title&gt;COVID-19 Information letter for Opioid Agonist Treatment Community Prescribers&lt;/title&gt;&lt;/titles&gt;&lt;volume&gt;2023&lt;/volume&gt;&lt;number&gt;22 February&lt;/number&gt;&lt;dates&gt;&lt;year&gt;2021&lt;/year&gt;&lt;pub-dates&gt;&lt;date&gt;15 September 2021&lt;/date&gt;&lt;/pub-dates&gt;&lt;/dates&gt;&lt;urls&gt;&lt;related-urls&gt;&lt;url&gt;www.health.nsw.gov.au/aod/Pages/covid-19-oat-prescriber-info.aspx&lt;/url&gt;&lt;/related-urls&gt;&lt;/urls&gt;&lt;/record&gt;&lt;/Cite&gt;&lt;/EndNote&gt;</w:instrText>
      </w:r>
      <w:r w:rsidR="002565E6">
        <w:fldChar w:fldCharType="separate"/>
      </w:r>
      <w:r w:rsidR="002565E6" w:rsidRPr="00646D54">
        <w:rPr>
          <w:noProof/>
          <w:vertAlign w:val="superscript"/>
        </w:rPr>
        <w:t>18</w:t>
      </w:r>
      <w:r w:rsidR="002565E6">
        <w:fldChar w:fldCharType="end"/>
      </w:r>
      <w:bookmarkEnd w:id="229"/>
    </w:p>
    <w:p w14:paraId="05B35E05" w14:textId="47C736EF" w:rsidR="00BB55BB" w:rsidRDefault="00BB55BB">
      <w:pPr>
        <w:rPr>
          <w:rFonts w:asciiTheme="minorHAnsi" w:hAnsiTheme="minorHAnsi" w:cstheme="minorHAnsi"/>
        </w:rPr>
      </w:pPr>
      <w:r>
        <w:rPr>
          <w:rFonts w:asciiTheme="minorHAnsi" w:hAnsiTheme="minorHAnsi" w:cstheme="minorHAnsi"/>
        </w:rPr>
        <w:t xml:space="preserve">Examination of treatment guidelines and current models of ODT service delivery demonstrate significant variability in how ODT has been implemented across different jurisdictions. </w:t>
      </w:r>
      <w:r w:rsidR="00A72DDC">
        <w:rPr>
          <w:rFonts w:asciiTheme="minorHAnsi" w:hAnsiTheme="minorHAnsi" w:cstheme="minorHAnsi"/>
        </w:rPr>
        <w:t>While a direct comparison of individual features is challenging, a</w:t>
      </w:r>
      <w:r w:rsidR="00A72DDC" w:rsidRPr="00EA3458">
        <w:rPr>
          <w:rFonts w:asciiTheme="minorHAnsi" w:hAnsiTheme="minorHAnsi" w:cstheme="minorHAnsi"/>
        </w:rPr>
        <w:t xml:space="preserve"> range of elements </w:t>
      </w:r>
      <w:r w:rsidR="00A72DDC">
        <w:rPr>
          <w:rFonts w:asciiTheme="minorHAnsi" w:hAnsiTheme="minorHAnsi" w:cstheme="minorHAnsi"/>
        </w:rPr>
        <w:t xml:space="preserve">across both international and domestic ODT service delivery models </w:t>
      </w:r>
      <w:r w:rsidR="00A72DDC" w:rsidRPr="00EA3458">
        <w:rPr>
          <w:rFonts w:asciiTheme="minorHAnsi" w:hAnsiTheme="minorHAnsi" w:cstheme="minorHAnsi"/>
        </w:rPr>
        <w:t xml:space="preserve">were identified as being essential for </w:t>
      </w:r>
      <w:r w:rsidR="00A72DDC">
        <w:rPr>
          <w:rFonts w:asciiTheme="minorHAnsi" w:hAnsiTheme="minorHAnsi" w:cstheme="minorHAnsi"/>
        </w:rPr>
        <w:t xml:space="preserve">improved </w:t>
      </w:r>
      <w:r w:rsidR="00A72DDC" w:rsidRPr="00EA3458">
        <w:rPr>
          <w:rFonts w:asciiTheme="minorHAnsi" w:hAnsiTheme="minorHAnsi" w:cstheme="minorHAnsi"/>
        </w:rPr>
        <w:t>ODT service delivery (</w:t>
      </w:r>
      <w:r w:rsidR="00A72DDC" w:rsidRPr="002C6609">
        <w:rPr>
          <w:rFonts w:asciiTheme="minorHAnsi" w:hAnsiTheme="minorHAnsi" w:cstheme="minorHAnsi"/>
        </w:rPr>
        <w:t xml:space="preserve">refer </w:t>
      </w:r>
      <w:r w:rsidR="00A72DDC">
        <w:rPr>
          <w:rFonts w:asciiTheme="minorHAnsi" w:hAnsiTheme="minorHAnsi" w:cstheme="minorHAnsi"/>
        </w:rPr>
        <w:t>S</w:t>
      </w:r>
      <w:r w:rsidR="00A72DDC" w:rsidRPr="002C6609">
        <w:rPr>
          <w:rFonts w:asciiTheme="minorHAnsi" w:hAnsiTheme="minorHAnsi" w:cstheme="minorHAnsi"/>
        </w:rPr>
        <w:t>ection 2.6)</w:t>
      </w:r>
      <w:r w:rsidRPr="002C6609">
        <w:rPr>
          <w:rFonts w:asciiTheme="minorHAnsi" w:hAnsiTheme="minorHAnsi" w:cstheme="minorHAnsi"/>
        </w:rPr>
        <w:t>.</w:t>
      </w:r>
      <w:r w:rsidRPr="00EA3458">
        <w:rPr>
          <w:rFonts w:asciiTheme="minorHAnsi" w:hAnsiTheme="minorHAnsi" w:cstheme="minorHAnsi"/>
        </w:rPr>
        <w:t xml:space="preserve"> These findings are also consistent with the essential elements raised by stakeholders.</w:t>
      </w:r>
    </w:p>
    <w:p w14:paraId="486BB0D3" w14:textId="65D766D9" w:rsidR="00E34D55" w:rsidRPr="00EA3458" w:rsidRDefault="00A72DDC">
      <w:pPr>
        <w:rPr>
          <w:rFonts w:asciiTheme="minorHAnsi" w:hAnsiTheme="minorHAnsi" w:cstheme="minorHAnsi"/>
        </w:rPr>
      </w:pPr>
      <w:r>
        <w:rPr>
          <w:rFonts w:asciiTheme="minorHAnsi" w:hAnsiTheme="minorHAnsi" w:cstheme="minorHAnsi"/>
        </w:rPr>
        <w:t>A</w:t>
      </w:r>
      <w:r w:rsidRPr="00EA3458">
        <w:rPr>
          <w:rFonts w:asciiTheme="minorHAnsi" w:hAnsiTheme="minorHAnsi" w:cstheme="minorHAnsi"/>
        </w:rPr>
        <w:t>ffordability for people accessing ODT programs, especially O</w:t>
      </w:r>
      <w:r>
        <w:rPr>
          <w:rFonts w:asciiTheme="minorHAnsi" w:hAnsiTheme="minorHAnsi" w:cstheme="minorHAnsi"/>
        </w:rPr>
        <w:t>D</w:t>
      </w:r>
      <w:r w:rsidRPr="00EA3458">
        <w:rPr>
          <w:rFonts w:asciiTheme="minorHAnsi" w:hAnsiTheme="minorHAnsi" w:cstheme="minorHAnsi"/>
        </w:rPr>
        <w:t xml:space="preserve">T medicines, </w:t>
      </w:r>
      <w:r>
        <w:rPr>
          <w:rFonts w:asciiTheme="minorHAnsi" w:hAnsiTheme="minorHAnsi" w:cstheme="minorHAnsi"/>
        </w:rPr>
        <w:t>was</w:t>
      </w:r>
      <w:r w:rsidRPr="00EA3458">
        <w:rPr>
          <w:rFonts w:asciiTheme="minorHAnsi" w:hAnsiTheme="minorHAnsi" w:cstheme="minorHAnsi"/>
        </w:rPr>
        <w:t xml:space="preserve"> </w:t>
      </w:r>
      <w:r>
        <w:rPr>
          <w:rFonts w:asciiTheme="minorHAnsi" w:hAnsiTheme="minorHAnsi" w:cstheme="minorHAnsi"/>
        </w:rPr>
        <w:t>identified as a</w:t>
      </w:r>
      <w:r w:rsidRPr="00EA3458">
        <w:rPr>
          <w:rFonts w:asciiTheme="minorHAnsi" w:hAnsiTheme="minorHAnsi" w:cstheme="minorHAnsi"/>
        </w:rPr>
        <w:t xml:space="preserve"> key </w:t>
      </w:r>
      <w:r>
        <w:rPr>
          <w:rFonts w:asciiTheme="minorHAnsi" w:hAnsiTheme="minorHAnsi" w:cstheme="minorHAnsi"/>
        </w:rPr>
        <w:t>issue</w:t>
      </w:r>
      <w:r w:rsidRPr="00EA3458">
        <w:rPr>
          <w:rFonts w:asciiTheme="minorHAnsi" w:hAnsiTheme="minorHAnsi" w:cstheme="minorHAnsi"/>
        </w:rPr>
        <w:t xml:space="preserve"> throughout the Review.</w:t>
      </w:r>
      <w:r>
        <w:rPr>
          <w:rFonts w:asciiTheme="minorHAnsi" w:hAnsiTheme="minorHAnsi" w:cstheme="minorHAnsi"/>
        </w:rPr>
        <w:t xml:space="preserve"> Most consumers are charged private, unregulated fees particularly when accessing ODT medicines through community pharmacies. Approaches to address the affordability of ODT for consumers across jurisdictional ODT programs are variable.</w:t>
      </w:r>
      <w:r w:rsidRPr="00A93E9D">
        <w:t xml:space="preserve"> </w:t>
      </w:r>
      <w:r>
        <w:t>While some</w:t>
      </w:r>
      <w:r w:rsidRPr="00C45E73">
        <w:t xml:space="preserve"> </w:t>
      </w:r>
      <w:r>
        <w:t>jurisdictions,</w:t>
      </w:r>
      <w:r w:rsidRPr="00945A42">
        <w:t xml:space="preserve"> </w:t>
      </w:r>
      <w:r>
        <w:t>such as ACT, NSW and Tasmania,</w:t>
      </w:r>
      <w:r w:rsidRPr="00C45E73">
        <w:t xml:space="preserve"> </w:t>
      </w:r>
      <w:r>
        <w:t>provide a subsidy or targeted incentives for</w:t>
      </w:r>
      <w:r w:rsidRPr="00C45E73">
        <w:t xml:space="preserve"> </w:t>
      </w:r>
      <w:r>
        <w:t>community</w:t>
      </w:r>
      <w:r w:rsidRPr="00C45E73">
        <w:t xml:space="preserve"> </w:t>
      </w:r>
      <w:r>
        <w:t xml:space="preserve">pharmacy participation in ODT programs, most other </w:t>
      </w:r>
      <w:r>
        <w:lastRenderedPageBreak/>
        <w:t xml:space="preserve">jurisdictions have not adopted this approach. The ACT ODT program has a framework in place that sets a cap on the amount that pharmacies can charge through private fees thereby </w:t>
      </w:r>
      <w:r w:rsidRPr="00C45E73">
        <w:t>ensur</w:t>
      </w:r>
      <w:r>
        <w:t>ing</w:t>
      </w:r>
      <w:r w:rsidRPr="00C45E73">
        <w:t xml:space="preserve"> consistent (and capped) fees for </w:t>
      </w:r>
      <w:r>
        <w:t>consumers. In s</w:t>
      </w:r>
      <w:r w:rsidRPr="00C45E73">
        <w:t>ome jurisdictions</w:t>
      </w:r>
      <w:r>
        <w:t>, such as Victoria,</w:t>
      </w:r>
      <w:r w:rsidRPr="00C45E73">
        <w:t xml:space="preserve"> </w:t>
      </w:r>
      <w:r>
        <w:t>fees associated with the dispensing of ODT medicines are only subsidised</w:t>
      </w:r>
      <w:r w:rsidRPr="00C45E73">
        <w:t xml:space="preserve"> for priority population groups, such as young people or newly released prisoners. In most cases, dosing at public clinics</w:t>
      </w:r>
      <w:r>
        <w:t>, where available,</w:t>
      </w:r>
      <w:r w:rsidRPr="00C45E73">
        <w:t xml:space="preserve"> is free</w:t>
      </w:r>
      <w:r>
        <w:t xml:space="preserve"> but stakeholder input to the review suggests places are limited</w:t>
      </w:r>
      <w:r w:rsidR="00E34D55" w:rsidRPr="00C45E73">
        <w:t>.</w:t>
      </w:r>
    </w:p>
    <w:p w14:paraId="3266DFEF" w14:textId="6391A8A5" w:rsidR="00E33ADD" w:rsidRDefault="00A72DDC" w:rsidP="00E33ADD">
      <w:bookmarkStart w:id="230" w:name="_Hlk127950616"/>
      <w:bookmarkStart w:id="231" w:name="_Hlk119424314"/>
      <w:r>
        <w:rPr>
          <w:rFonts w:asciiTheme="minorHAnsi" w:hAnsiTheme="minorHAnsi" w:cstheme="minorHAnsi"/>
        </w:rPr>
        <w:t>In addition, the Review found that t</w:t>
      </w:r>
      <w:r w:rsidRPr="00EA3458">
        <w:rPr>
          <w:rFonts w:asciiTheme="minorHAnsi" w:hAnsiTheme="minorHAnsi" w:cstheme="minorHAnsi"/>
        </w:rPr>
        <w:t xml:space="preserve">he continued growth in the demand for access to ODT is constrained by a reliance on public clinics to assist with the </w:t>
      </w:r>
      <w:r>
        <w:rPr>
          <w:rFonts w:asciiTheme="minorHAnsi" w:hAnsiTheme="minorHAnsi" w:cstheme="minorHAnsi"/>
        </w:rPr>
        <w:t xml:space="preserve">initiation of pharmacotherapy, </w:t>
      </w:r>
      <w:r w:rsidRPr="00EA3458">
        <w:rPr>
          <w:rFonts w:asciiTheme="minorHAnsi" w:hAnsiTheme="minorHAnsi" w:cstheme="minorHAnsi"/>
        </w:rPr>
        <w:t xml:space="preserve">affordability of treatment, </w:t>
      </w:r>
      <w:r>
        <w:rPr>
          <w:rFonts w:asciiTheme="minorHAnsi" w:hAnsiTheme="minorHAnsi" w:cstheme="minorHAnsi"/>
        </w:rPr>
        <w:t xml:space="preserve">workforce challenges, </w:t>
      </w:r>
      <w:r w:rsidRPr="00EA3458">
        <w:rPr>
          <w:rFonts w:asciiTheme="minorHAnsi" w:hAnsiTheme="minorHAnsi" w:cstheme="minorHAnsi"/>
        </w:rPr>
        <w:t>access to specialist review, and prescriber caps in many jurisdictions compared with other countries with less rigid supervision and prescriber restrictions</w:t>
      </w:r>
      <w:bookmarkEnd w:id="230"/>
      <w:r w:rsidR="00E33ADD">
        <w:rPr>
          <w:rFonts w:asciiTheme="minorHAnsi" w:hAnsiTheme="minorHAnsi" w:cstheme="minorHAnsi"/>
        </w:rPr>
        <w:t>.</w:t>
      </w:r>
    </w:p>
    <w:p w14:paraId="2FA9989C" w14:textId="1CE98D0C" w:rsidR="00E33ADD" w:rsidRDefault="00A72DDC" w:rsidP="00E33ADD">
      <w:pPr>
        <w:rPr>
          <w:rFonts w:asciiTheme="minorHAnsi" w:hAnsiTheme="minorHAnsi" w:cstheme="minorHAnsi"/>
        </w:rPr>
      </w:pPr>
      <w:r>
        <w:rPr>
          <w:rFonts w:asciiTheme="minorHAnsi" w:hAnsiTheme="minorHAnsi" w:cstheme="minorHAnsi"/>
        </w:rPr>
        <w:t>The Review also found that ODT</w:t>
      </w:r>
      <w:r w:rsidRPr="00EA3458">
        <w:rPr>
          <w:rFonts w:asciiTheme="minorHAnsi" w:hAnsiTheme="minorHAnsi" w:cstheme="minorHAnsi"/>
        </w:rPr>
        <w:t xml:space="preserve"> consumer access to</w:t>
      </w:r>
      <w:r w:rsidRPr="00E6717D">
        <w:rPr>
          <w:rFonts w:asciiTheme="minorHAnsi" w:hAnsiTheme="minorHAnsi" w:cstheme="minorHAnsi"/>
        </w:rPr>
        <w:t xml:space="preserve"> </w:t>
      </w:r>
      <w:r w:rsidRPr="00EA3458">
        <w:rPr>
          <w:rFonts w:asciiTheme="minorHAnsi" w:hAnsiTheme="minorHAnsi" w:cstheme="minorHAnsi"/>
        </w:rPr>
        <w:t>equitable and affordable medicines for the treatment of opioid dependence</w:t>
      </w:r>
      <w:r>
        <w:rPr>
          <w:rFonts w:asciiTheme="minorHAnsi" w:hAnsiTheme="minorHAnsi" w:cstheme="minorHAnsi"/>
        </w:rPr>
        <w:t xml:space="preserve"> could be improved to align with </w:t>
      </w:r>
      <w:r w:rsidRPr="00EA3458">
        <w:rPr>
          <w:rFonts w:asciiTheme="minorHAnsi" w:hAnsiTheme="minorHAnsi" w:cstheme="minorHAnsi"/>
        </w:rPr>
        <w:t xml:space="preserve">other medicines for chronic conditions listed on the PBS, including </w:t>
      </w:r>
      <w:r>
        <w:rPr>
          <w:rFonts w:asciiTheme="minorHAnsi" w:hAnsiTheme="minorHAnsi" w:cstheme="minorHAnsi"/>
        </w:rPr>
        <w:t xml:space="preserve">the provision for consumers to be able to access </w:t>
      </w:r>
      <w:r w:rsidRPr="00EA3458">
        <w:rPr>
          <w:rFonts w:asciiTheme="minorHAnsi" w:hAnsiTheme="minorHAnsi" w:cstheme="minorHAnsi"/>
        </w:rPr>
        <w:t>the Safety Net threshold</w:t>
      </w:r>
      <w:r>
        <w:rPr>
          <w:rFonts w:asciiTheme="minorHAnsi" w:hAnsiTheme="minorHAnsi" w:cstheme="minorHAnsi"/>
        </w:rPr>
        <w:t xml:space="preserve"> for their ODT medicines</w:t>
      </w:r>
      <w:r w:rsidR="00E33ADD">
        <w:rPr>
          <w:rFonts w:asciiTheme="minorHAnsi" w:hAnsiTheme="minorHAnsi" w:cstheme="minorHAnsi"/>
        </w:rPr>
        <w:t xml:space="preserve">. </w:t>
      </w:r>
    </w:p>
    <w:p w14:paraId="185068C6" w14:textId="1A2B926B" w:rsidR="00E33ADD" w:rsidRDefault="00A72DDC" w:rsidP="00E33ADD">
      <w:pPr>
        <w:rPr>
          <w:rFonts w:asciiTheme="minorHAnsi" w:hAnsiTheme="minorHAnsi" w:cstheme="minorHAnsi"/>
        </w:rPr>
      </w:pPr>
      <w:r>
        <w:t>The literature review found that c</w:t>
      </w:r>
      <w:r w:rsidRPr="00EA3458">
        <w:t xml:space="preserve">ommunity </w:t>
      </w:r>
      <w:r w:rsidR="00E33ADD">
        <w:t>pharmacy dosing is considered appropriate for: consumers already stabilised on treatment, consumers who do not require the high levels of supervision and monitoring provided by private or public O</w:t>
      </w:r>
      <w:r w:rsidR="00D933AE">
        <w:t>D</w:t>
      </w:r>
      <w:r w:rsidR="00E33ADD">
        <w:t>T clinics, or where clinic dosing is unavailable (e.g., consumers are unable to geographically access clinics due to mobility or transport issues).</w:t>
      </w:r>
    </w:p>
    <w:p w14:paraId="5FD02E13" w14:textId="008B2374" w:rsidR="00E33ADD" w:rsidRDefault="00A72DDC" w:rsidP="00E33ADD">
      <w:pPr>
        <w:rPr>
          <w:rFonts w:eastAsia="Calibri" w:cs="Calibri"/>
          <w:color w:val="000000" w:themeColor="text1"/>
        </w:rPr>
      </w:pPr>
      <w:r w:rsidRPr="00EA3458">
        <w:rPr>
          <w:rFonts w:asciiTheme="minorHAnsi" w:hAnsiTheme="minorHAnsi" w:cstheme="minorHAnsi"/>
        </w:rPr>
        <w:t>Although</w:t>
      </w:r>
      <w:r>
        <w:rPr>
          <w:rFonts w:asciiTheme="minorHAnsi" w:hAnsiTheme="minorHAnsi" w:cstheme="minorHAnsi"/>
        </w:rPr>
        <w:t xml:space="preserve"> research evidence suggests </w:t>
      </w:r>
      <w:r w:rsidR="006310B4">
        <w:rPr>
          <w:rFonts w:asciiTheme="minorHAnsi" w:hAnsiTheme="minorHAnsi" w:cstheme="minorHAnsi"/>
        </w:rPr>
        <w:t>LAIB</w:t>
      </w:r>
      <w:r w:rsidRPr="00EA3458">
        <w:rPr>
          <w:rFonts w:asciiTheme="minorHAnsi" w:hAnsiTheme="minorHAnsi" w:cstheme="minorHAnsi"/>
        </w:rPr>
        <w:t xml:space="preserve"> is an attractive cost-saving option for some consumers due to reduced dosing fees, </w:t>
      </w:r>
      <w:r>
        <w:t>i</w:t>
      </w:r>
      <w:r w:rsidRPr="00EA3458">
        <w:t xml:space="preserve">t is important to note that many people who are opioid dependent would not choose </w:t>
      </w:r>
      <w:r>
        <w:t>LAIB</w:t>
      </w:r>
      <w:r w:rsidRPr="00EA3458">
        <w:t xml:space="preserve">. </w:t>
      </w:r>
      <w:r>
        <w:t>It is noteworthy that a significant proportion of consumers have been on methadone treatment for extended periods (decades in some cases). T</w:t>
      </w:r>
      <w:r w:rsidRPr="00EA3458">
        <w:rPr>
          <w:rFonts w:eastAsia="Calibri" w:cs="Calibri"/>
          <w:color w:val="000000" w:themeColor="text1"/>
        </w:rPr>
        <w:t xml:space="preserve">he importance of consumer choice in </w:t>
      </w:r>
      <w:r>
        <w:rPr>
          <w:rFonts w:eastAsia="Calibri" w:cs="Calibri"/>
          <w:color w:val="000000" w:themeColor="text1"/>
        </w:rPr>
        <w:t>treatment</w:t>
      </w:r>
      <w:r w:rsidRPr="00EA3458">
        <w:rPr>
          <w:rFonts w:eastAsia="Calibri" w:cs="Calibri"/>
          <w:color w:val="000000" w:themeColor="text1"/>
        </w:rPr>
        <w:t xml:space="preserve"> formulation</w:t>
      </w:r>
      <w:r>
        <w:rPr>
          <w:rFonts w:eastAsia="Calibri" w:cs="Calibri"/>
          <w:color w:val="000000" w:themeColor="text1"/>
        </w:rPr>
        <w:t>, and potential erosion of this choice,</w:t>
      </w:r>
      <w:r w:rsidRPr="00EA3458">
        <w:rPr>
          <w:rFonts w:eastAsia="Calibri" w:cs="Calibri"/>
          <w:color w:val="000000" w:themeColor="text1"/>
        </w:rPr>
        <w:t xml:space="preserve"> is a recurring concern reported across </w:t>
      </w:r>
      <w:r>
        <w:rPr>
          <w:rFonts w:eastAsia="Calibri" w:cs="Calibri"/>
          <w:color w:val="000000" w:themeColor="text1"/>
        </w:rPr>
        <w:t>LAIB</w:t>
      </w:r>
      <w:r w:rsidRPr="00EA3458">
        <w:rPr>
          <w:rFonts w:eastAsia="Calibri" w:cs="Calibri"/>
          <w:color w:val="000000" w:themeColor="text1"/>
        </w:rPr>
        <w:t xml:space="preserve"> studies</w:t>
      </w:r>
      <w:r w:rsidR="00E33ADD">
        <w:rPr>
          <w:rFonts w:eastAsia="Calibri" w:cs="Calibri"/>
          <w:color w:val="000000" w:themeColor="text1"/>
        </w:rPr>
        <w:t>.</w:t>
      </w:r>
    </w:p>
    <w:p w14:paraId="512B89DB" w14:textId="6EF5AB0A" w:rsidR="00A72DDC" w:rsidRDefault="00A72DDC" w:rsidP="00E33ADD">
      <w:pPr>
        <w:rPr>
          <w:rFonts w:eastAsia="Calibri" w:cs="Calibri"/>
          <w:color w:val="000000" w:themeColor="text1"/>
        </w:rPr>
      </w:pPr>
      <w:r>
        <w:rPr>
          <w:rFonts w:cstheme="minorHAnsi"/>
        </w:rPr>
        <w:t>The Review also found that ODT medicines</w:t>
      </w:r>
      <w:r w:rsidRPr="00EA3458">
        <w:rPr>
          <w:rFonts w:cstheme="minorHAnsi"/>
        </w:rPr>
        <w:t xml:space="preserve">, while important, </w:t>
      </w:r>
      <w:r>
        <w:rPr>
          <w:rFonts w:cstheme="minorHAnsi"/>
        </w:rPr>
        <w:t>are</w:t>
      </w:r>
      <w:r w:rsidRPr="00EA3458">
        <w:rPr>
          <w:rFonts w:cstheme="minorHAnsi"/>
        </w:rPr>
        <w:t xml:space="preserve"> but one element of ODT. Holistic t</w:t>
      </w:r>
      <w:r w:rsidRPr="00EA3458">
        <w:rPr>
          <w:rStyle w:val="normaltextrun"/>
          <w:rFonts w:cs="Calibri"/>
          <w:color w:val="000000"/>
          <w:shd w:val="clear" w:color="auto" w:fill="FFFFFF"/>
        </w:rPr>
        <w:t xml:space="preserve">reatment for opioid dependence is a combination of </w:t>
      </w:r>
      <w:r>
        <w:rPr>
          <w:rStyle w:val="normaltextrun"/>
          <w:rFonts w:cs="Calibri"/>
          <w:color w:val="000000"/>
          <w:shd w:val="clear" w:color="auto" w:fill="FFFFFF"/>
        </w:rPr>
        <w:t xml:space="preserve">ODT </w:t>
      </w:r>
      <w:r w:rsidRPr="00EA3458">
        <w:rPr>
          <w:rStyle w:val="normaltextrun"/>
          <w:rFonts w:cs="Calibri"/>
          <w:color w:val="000000"/>
          <w:shd w:val="clear" w:color="auto" w:fill="FFFFFF"/>
        </w:rPr>
        <w:t xml:space="preserve">medication and psychosocial support which includes addressing the often-complex components of </w:t>
      </w:r>
      <w:r>
        <w:rPr>
          <w:rStyle w:val="normaltextrun"/>
          <w:rFonts w:cs="Calibri"/>
          <w:color w:val="000000"/>
          <w:shd w:val="clear" w:color="auto" w:fill="FFFFFF"/>
        </w:rPr>
        <w:t>mental</w:t>
      </w:r>
      <w:r w:rsidRPr="00EA3458">
        <w:rPr>
          <w:rStyle w:val="normaltextrun"/>
          <w:rFonts w:cs="Calibri"/>
          <w:color w:val="000000"/>
          <w:shd w:val="clear" w:color="auto" w:fill="FFFFFF"/>
        </w:rPr>
        <w:t xml:space="preserve"> and physical health, as well as the social environment of a person with opioid dependence</w:t>
      </w:r>
      <w:r>
        <w:rPr>
          <w:rStyle w:val="normaltextrun"/>
          <w:rFonts w:cs="Calibri"/>
          <w:color w:val="000000"/>
          <w:shd w:val="clear" w:color="auto" w:fill="FFFFFF"/>
        </w:rPr>
        <w:t xml:space="preserve">. </w:t>
      </w:r>
      <w:r w:rsidRPr="00EA3458">
        <w:rPr>
          <w:rStyle w:val="normaltextrun"/>
          <w:rFonts w:cs="Calibri"/>
          <w:color w:val="000000"/>
          <w:shd w:val="clear" w:color="auto" w:fill="FFFFFF"/>
        </w:rPr>
        <w:t xml:space="preserve">The additional support required may vary </w:t>
      </w:r>
      <w:r>
        <w:rPr>
          <w:rStyle w:val="normaltextrun"/>
          <w:rFonts w:cs="Calibri"/>
          <w:color w:val="000000"/>
          <w:shd w:val="clear" w:color="auto" w:fill="FFFFFF"/>
        </w:rPr>
        <w:t xml:space="preserve">by person and </w:t>
      </w:r>
      <w:r w:rsidRPr="00EA3458">
        <w:rPr>
          <w:rStyle w:val="normaltextrun"/>
          <w:rFonts w:cs="Calibri"/>
          <w:color w:val="000000"/>
          <w:shd w:val="clear" w:color="auto" w:fill="FFFFFF"/>
        </w:rPr>
        <w:t>over time</w:t>
      </w:r>
      <w:r>
        <w:rPr>
          <w:rStyle w:val="normaltextrun"/>
          <w:rFonts w:cs="Calibri"/>
          <w:color w:val="000000"/>
          <w:shd w:val="clear" w:color="auto" w:fill="FFFFFF"/>
        </w:rPr>
        <w:t xml:space="preserve"> and</w:t>
      </w:r>
      <w:r w:rsidRPr="00EA3458">
        <w:rPr>
          <w:rStyle w:val="normaltextrun"/>
          <w:rFonts w:cs="Calibri"/>
          <w:color w:val="000000"/>
          <w:shd w:val="clear" w:color="auto" w:fill="FFFFFF"/>
        </w:rPr>
        <w:t xml:space="preserve"> should be adapted to the patient’s changing needs</w:t>
      </w:r>
      <w:r>
        <w:rPr>
          <w:rStyle w:val="normaltextrun"/>
          <w:rFonts w:cs="Calibri"/>
          <w:color w:val="000000"/>
          <w:shd w:val="clear" w:color="auto" w:fill="FFFFFF"/>
        </w:rPr>
        <w:t>.</w:t>
      </w:r>
    </w:p>
    <w:p w14:paraId="77A0419D" w14:textId="5BFCB1AB" w:rsidR="00264AE1" w:rsidRDefault="00264AE1" w:rsidP="00264AE1">
      <w:pPr>
        <w:pStyle w:val="Heading4"/>
        <w:rPr>
          <w:rFonts w:eastAsia="Calibri"/>
        </w:rPr>
      </w:pPr>
      <w:r>
        <w:rPr>
          <w:rFonts w:eastAsia="Calibri"/>
        </w:rPr>
        <w:t>Stakeholder views for TOR 1</w:t>
      </w:r>
    </w:p>
    <w:p w14:paraId="3FCED96F" w14:textId="05A6A308" w:rsidR="00117A41" w:rsidRDefault="00264AE1" w:rsidP="00FF27FF">
      <w:pPr>
        <w:spacing w:after="0"/>
        <w:rPr>
          <w:rFonts w:asciiTheme="minorHAnsi" w:hAnsiTheme="minorHAnsi" w:cstheme="minorHAnsi"/>
        </w:rPr>
      </w:pPr>
      <w:r w:rsidRPr="00EA3458">
        <w:rPr>
          <w:rFonts w:asciiTheme="minorHAnsi" w:hAnsiTheme="minorHAnsi" w:cstheme="minorHAnsi"/>
        </w:rPr>
        <w:t>Stakeholder views were broadly consistent with the matters outlined in literature review</w:t>
      </w:r>
      <w:r>
        <w:rPr>
          <w:rFonts w:asciiTheme="minorHAnsi" w:hAnsiTheme="minorHAnsi" w:cstheme="minorHAnsi"/>
        </w:rPr>
        <w:t xml:space="preserve"> and presented in </w:t>
      </w:r>
      <w:r w:rsidR="006D1683">
        <w:rPr>
          <w:rFonts w:asciiTheme="minorHAnsi" w:hAnsiTheme="minorHAnsi" w:cstheme="minorHAnsi"/>
        </w:rPr>
        <w:t>S</w:t>
      </w:r>
      <w:r>
        <w:rPr>
          <w:rFonts w:asciiTheme="minorHAnsi" w:hAnsiTheme="minorHAnsi" w:cstheme="minorHAnsi"/>
        </w:rPr>
        <w:t>ection 2.6</w:t>
      </w:r>
      <w:r w:rsidRPr="00EA3458">
        <w:rPr>
          <w:rFonts w:asciiTheme="minorHAnsi" w:hAnsiTheme="minorHAnsi" w:cstheme="minorHAnsi"/>
        </w:rPr>
        <w:t>. Submissions to the review and other consultation reports are publicly available through the ODTP PMR website (</w:t>
      </w:r>
      <w:hyperlink r:id="rId14" w:history="1">
        <w:r w:rsidRPr="00EA3458">
          <w:rPr>
            <w:rStyle w:val="Hyperlink"/>
            <w:rFonts w:asciiTheme="minorHAnsi" w:hAnsiTheme="minorHAnsi" w:cstheme="minorHAnsi"/>
          </w:rPr>
          <w:t>www.pbs.gov.au/info/browse/reviews</w:t>
        </w:r>
      </w:hyperlink>
      <w:r w:rsidRPr="00EA3458">
        <w:rPr>
          <w:rFonts w:asciiTheme="minorHAnsi" w:hAnsiTheme="minorHAnsi" w:cstheme="minorHAnsi"/>
        </w:rPr>
        <w:t>)</w:t>
      </w:r>
      <w:r w:rsidR="00B16D09">
        <w:rPr>
          <w:rFonts w:asciiTheme="minorHAnsi" w:hAnsiTheme="minorHAnsi" w:cstheme="minorHAnsi"/>
        </w:rPr>
        <w:t>.</w:t>
      </w:r>
    </w:p>
    <w:p w14:paraId="58B6A2BE" w14:textId="77777777" w:rsidR="00264AE1" w:rsidRDefault="00264AE1" w:rsidP="00FF27FF">
      <w:pPr>
        <w:spacing w:after="0"/>
        <w:rPr>
          <w:rFonts w:eastAsia="Calibri" w:cs="Calibri"/>
          <w:color w:val="000000" w:themeColor="text1"/>
        </w:rPr>
      </w:pPr>
    </w:p>
    <w:p w14:paraId="1A1CBAF1" w14:textId="77777777" w:rsidR="008519EC" w:rsidRDefault="008519EC">
      <w:pPr>
        <w:spacing w:after="160" w:line="259" w:lineRule="auto"/>
        <w:jc w:val="left"/>
        <w:rPr>
          <w:rFonts w:asciiTheme="minorHAnsi" w:eastAsiaTheme="majorEastAsia" w:hAnsiTheme="minorHAnsi" w:cstheme="majorBidi"/>
          <w:color w:val="1F3763" w:themeColor="accent1" w:themeShade="7F"/>
        </w:rPr>
      </w:pPr>
      <w:bookmarkStart w:id="232" w:name="_Toc118719042"/>
      <w:r>
        <w:br w:type="page"/>
      </w:r>
    </w:p>
    <w:p w14:paraId="724FA0D9" w14:textId="34BEE324" w:rsidR="00117A41" w:rsidRPr="00EA3458" w:rsidRDefault="00117A41" w:rsidP="00117A41">
      <w:pPr>
        <w:pStyle w:val="Heading3"/>
      </w:pPr>
      <w:bookmarkStart w:id="233" w:name="_Toc163221165"/>
      <w:r w:rsidRPr="00EA3458">
        <w:lastRenderedPageBreak/>
        <w:t>Overview of stakeholder views</w:t>
      </w:r>
      <w:bookmarkEnd w:id="232"/>
      <w:r w:rsidRPr="00EA3458">
        <w:t xml:space="preserve"> for TOR 1</w:t>
      </w:r>
      <w:bookmarkEnd w:id="233"/>
    </w:p>
    <w:p w14:paraId="664AE027" w14:textId="20883254" w:rsidR="00624133" w:rsidRDefault="00624133" w:rsidP="00624133">
      <w:pPr>
        <w:rPr>
          <w:rFonts w:asciiTheme="minorHAnsi" w:hAnsiTheme="minorHAnsi" w:cstheme="minorHAnsi"/>
        </w:rPr>
      </w:pPr>
      <w:bookmarkStart w:id="234" w:name="_Hlk115929087"/>
      <w:r>
        <w:rPr>
          <w:rFonts w:asciiTheme="minorHAnsi" w:hAnsiTheme="minorHAnsi" w:cstheme="minorHAnsi"/>
        </w:rPr>
        <w:t>Stakeholders compared the current arrangements for access to O</w:t>
      </w:r>
      <w:r w:rsidR="00D933AE">
        <w:rPr>
          <w:rFonts w:asciiTheme="minorHAnsi" w:hAnsiTheme="minorHAnsi" w:cstheme="minorHAnsi"/>
        </w:rPr>
        <w:t>D</w:t>
      </w:r>
      <w:r>
        <w:rPr>
          <w:rFonts w:asciiTheme="minorHAnsi" w:hAnsiTheme="minorHAnsi" w:cstheme="minorHAnsi"/>
        </w:rPr>
        <w:t xml:space="preserve">T to various international models and overall considered revision of ODT programs could be guided by overseas experiences, by programs for other medicines within Australia (such as opioids prescribed for other indications) and by listings for other medicines on the PBS. </w:t>
      </w:r>
    </w:p>
    <w:p w14:paraId="6186159A" w14:textId="77777777" w:rsidR="00624133" w:rsidRDefault="00624133" w:rsidP="00624133">
      <w:pPr>
        <w:spacing w:after="160" w:line="254" w:lineRule="auto"/>
        <w:rPr>
          <w:rFonts w:asciiTheme="minorHAnsi" w:hAnsiTheme="minorHAnsi" w:cstheme="minorHAnsi"/>
        </w:rPr>
      </w:pPr>
      <w:r>
        <w:rPr>
          <w:rFonts w:asciiTheme="minorHAnsi" w:hAnsiTheme="minorHAnsi" w:cstheme="minorHAnsi"/>
        </w:rPr>
        <w:t>Stakeholders considered the affordability of medicines for consumers and remuneration for pharmacists to be key aspects of ODT service delivery. Specifically, stakeholders considered consumer choice in their treatment important to strengthen and maintain, including choice of medicine, formulation, and provider.</w:t>
      </w:r>
    </w:p>
    <w:p w14:paraId="6FF7A230" w14:textId="77777777" w:rsidR="00624133" w:rsidRDefault="00624133" w:rsidP="00624133">
      <w:pPr>
        <w:spacing w:after="160" w:line="254" w:lineRule="auto"/>
        <w:rPr>
          <w:rFonts w:asciiTheme="minorHAnsi" w:hAnsiTheme="minorHAnsi" w:cstheme="minorHAnsi"/>
        </w:rPr>
      </w:pPr>
      <w:r>
        <w:rPr>
          <w:rFonts w:asciiTheme="minorHAnsi" w:hAnsiTheme="minorHAnsi" w:cstheme="minorHAnsi"/>
        </w:rPr>
        <w:t>Stakeholders also considered many lessons can be learned from changes to treatment models during COVID-19 restrictions, which demonstrated that changes to the way medicines are dispensed, delivered, and managed are possible.</w:t>
      </w:r>
    </w:p>
    <w:p w14:paraId="14E51AD1" w14:textId="5821AF67" w:rsidR="00117A41" w:rsidRPr="00EA3458" w:rsidRDefault="00117A41" w:rsidP="00117A41">
      <w:pPr>
        <w:rPr>
          <w:rFonts w:asciiTheme="minorHAnsi" w:hAnsiTheme="minorHAnsi" w:cstheme="minorHAnsi"/>
        </w:rPr>
      </w:pPr>
      <w:r w:rsidRPr="00EA3458">
        <w:rPr>
          <w:rFonts w:asciiTheme="minorHAnsi" w:hAnsiTheme="minorHAnsi" w:cstheme="minorHAnsi"/>
        </w:rPr>
        <w:t xml:space="preserve">Stakeholders suggested the range of public and private organisations that provide services under the </w:t>
      </w:r>
      <w:r w:rsidR="00992300">
        <w:rPr>
          <w:rFonts w:asciiTheme="minorHAnsi" w:hAnsiTheme="minorHAnsi" w:cstheme="minorHAnsi"/>
        </w:rPr>
        <w:t xml:space="preserve">PBS </w:t>
      </w:r>
      <w:r w:rsidRPr="00EA3458">
        <w:rPr>
          <w:rFonts w:asciiTheme="minorHAnsi" w:hAnsiTheme="minorHAnsi" w:cstheme="minorHAnsi"/>
        </w:rPr>
        <w:t xml:space="preserve">ODTP be considered and ensure that access is maintained across the spectrum of dosing points. </w:t>
      </w:r>
    </w:p>
    <w:p w14:paraId="3442850A" w14:textId="703BE1FB" w:rsidR="00117A41" w:rsidRPr="00EA3458" w:rsidRDefault="00117A41" w:rsidP="00FF27FF">
      <w:pPr>
        <w:spacing w:after="0"/>
        <w:rPr>
          <w:rFonts w:asciiTheme="minorHAnsi" w:hAnsiTheme="minorHAnsi" w:cstheme="minorHAnsi"/>
        </w:rPr>
      </w:pPr>
      <w:r w:rsidRPr="00EA3458">
        <w:rPr>
          <w:rFonts w:asciiTheme="minorHAnsi" w:hAnsiTheme="minorHAnsi" w:cstheme="minorHAnsi"/>
        </w:rPr>
        <w:t xml:space="preserve">Additional elements of ODT service delivery raised by stakeholders include: </w:t>
      </w:r>
    </w:p>
    <w:p w14:paraId="76F6A48D" w14:textId="77777777" w:rsidR="00117A41" w:rsidRPr="00EA3458" w:rsidRDefault="00117A41" w:rsidP="00117A41">
      <w:pPr>
        <w:pStyle w:val="ListParagraph"/>
        <w:numPr>
          <w:ilvl w:val="0"/>
          <w:numId w:val="2"/>
        </w:numPr>
        <w:rPr>
          <w:rFonts w:asciiTheme="minorHAnsi" w:hAnsiTheme="minorHAnsi" w:cstheme="minorHAnsi"/>
        </w:rPr>
      </w:pPr>
      <w:r w:rsidRPr="00EA3458">
        <w:rPr>
          <w:rFonts w:asciiTheme="minorHAnsi" w:hAnsiTheme="minorHAnsi" w:cstheme="minorHAnsi"/>
        </w:rPr>
        <w:t xml:space="preserve">Consumer-focussed and flexible ODT </w:t>
      </w:r>
    </w:p>
    <w:p w14:paraId="6F139FD8" w14:textId="77777777" w:rsidR="00117A41" w:rsidRPr="00EA3458" w:rsidRDefault="00117A41" w:rsidP="00117A41">
      <w:pPr>
        <w:pStyle w:val="ListParagraph"/>
        <w:numPr>
          <w:ilvl w:val="0"/>
          <w:numId w:val="2"/>
        </w:numPr>
        <w:rPr>
          <w:rFonts w:asciiTheme="minorHAnsi" w:hAnsiTheme="minorHAnsi" w:cstheme="minorHAnsi"/>
        </w:rPr>
      </w:pPr>
      <w:r w:rsidRPr="00EA3458">
        <w:rPr>
          <w:rFonts w:asciiTheme="minorHAnsi" w:hAnsiTheme="minorHAnsi" w:cstheme="minorHAnsi"/>
        </w:rPr>
        <w:t>National consistency across jurisdictional programs and normalising of ODT</w:t>
      </w:r>
    </w:p>
    <w:p w14:paraId="5EE80D97" w14:textId="77777777" w:rsidR="00117A41" w:rsidRPr="00EA3458" w:rsidRDefault="00117A41" w:rsidP="00117A41">
      <w:pPr>
        <w:pStyle w:val="ListParagraph"/>
        <w:numPr>
          <w:ilvl w:val="0"/>
          <w:numId w:val="2"/>
        </w:numPr>
        <w:rPr>
          <w:rFonts w:asciiTheme="minorHAnsi" w:hAnsiTheme="minorHAnsi" w:cstheme="minorHAnsi"/>
        </w:rPr>
      </w:pPr>
      <w:r w:rsidRPr="00EA3458">
        <w:rPr>
          <w:rFonts w:asciiTheme="minorHAnsi" w:hAnsiTheme="minorHAnsi" w:cstheme="minorHAnsi"/>
        </w:rPr>
        <w:t>Culturally safe ODT service delivery for First Nations people</w:t>
      </w:r>
    </w:p>
    <w:p w14:paraId="075E37E5" w14:textId="7681466D" w:rsidR="00117A41" w:rsidRPr="00EA3458" w:rsidRDefault="00117A41" w:rsidP="00117A41">
      <w:pPr>
        <w:pStyle w:val="ListParagraph"/>
        <w:numPr>
          <w:ilvl w:val="0"/>
          <w:numId w:val="2"/>
        </w:numPr>
        <w:rPr>
          <w:rFonts w:asciiTheme="minorHAnsi" w:hAnsiTheme="minorHAnsi" w:cstheme="minorHAnsi"/>
        </w:rPr>
      </w:pPr>
      <w:r w:rsidRPr="00EA3458">
        <w:rPr>
          <w:rFonts w:asciiTheme="minorHAnsi" w:hAnsiTheme="minorHAnsi" w:cstheme="minorHAnsi"/>
        </w:rPr>
        <w:t>A holistic multi-disciplinary approach that provides consumers with the full range of wrap around support services to ensure the best possible outcome and engages practitioners to their full scope of practice</w:t>
      </w:r>
    </w:p>
    <w:p w14:paraId="4492FE18" w14:textId="3D1120E3" w:rsidR="00117A41" w:rsidRDefault="00117A41" w:rsidP="00117A41">
      <w:pPr>
        <w:pStyle w:val="ListParagraph"/>
        <w:numPr>
          <w:ilvl w:val="0"/>
          <w:numId w:val="2"/>
        </w:numPr>
        <w:rPr>
          <w:rFonts w:asciiTheme="minorHAnsi" w:hAnsiTheme="minorHAnsi" w:cstheme="minorHAnsi"/>
        </w:rPr>
      </w:pPr>
      <w:r w:rsidRPr="00EA3458">
        <w:rPr>
          <w:rFonts w:asciiTheme="minorHAnsi" w:hAnsiTheme="minorHAnsi" w:cstheme="minorHAnsi"/>
        </w:rPr>
        <w:t>A sustainable and knowledgeable professional workforce</w:t>
      </w:r>
      <w:r w:rsidR="00C6260F">
        <w:rPr>
          <w:rFonts w:asciiTheme="minorHAnsi" w:hAnsiTheme="minorHAnsi" w:cstheme="minorHAnsi"/>
        </w:rPr>
        <w:t>.</w:t>
      </w:r>
    </w:p>
    <w:p w14:paraId="0A842DF0" w14:textId="77777777" w:rsidR="00264AE1" w:rsidRPr="00EA3458" w:rsidRDefault="00264AE1" w:rsidP="008519EC">
      <w:pPr>
        <w:pStyle w:val="ListParagraph"/>
        <w:spacing w:after="0"/>
        <w:rPr>
          <w:rFonts w:asciiTheme="minorHAnsi" w:hAnsiTheme="minorHAnsi" w:cstheme="minorHAnsi"/>
        </w:rPr>
      </w:pPr>
    </w:p>
    <w:p w14:paraId="4770E05C" w14:textId="139180E6" w:rsidR="00434810" w:rsidRPr="00EA3458" w:rsidRDefault="00117A41">
      <w:pPr>
        <w:pStyle w:val="Heading3"/>
        <w:rPr>
          <w:rStyle w:val="Heading3Char"/>
          <w:rFonts w:cstheme="minorHAnsi"/>
        </w:rPr>
      </w:pPr>
      <w:bookmarkStart w:id="235" w:name="_Toc163221166"/>
      <w:bookmarkEnd w:id="231"/>
      <w:bookmarkEnd w:id="234"/>
      <w:r>
        <w:rPr>
          <w:rStyle w:val="Heading3Char"/>
          <w:rFonts w:cstheme="minorHAnsi"/>
        </w:rPr>
        <w:t xml:space="preserve">Literature Review - </w:t>
      </w:r>
      <w:r w:rsidR="00434810" w:rsidRPr="00EA3458">
        <w:rPr>
          <w:rStyle w:val="Heading3Char"/>
          <w:rFonts w:cstheme="minorHAnsi"/>
        </w:rPr>
        <w:t xml:space="preserve">Characteristics of </w:t>
      </w:r>
      <w:r w:rsidR="00FF19DD">
        <w:rPr>
          <w:rStyle w:val="Heading3Char"/>
          <w:rFonts w:cstheme="minorHAnsi"/>
        </w:rPr>
        <w:t>ODT consumers</w:t>
      </w:r>
      <w:r w:rsidR="00434810" w:rsidRPr="00EA3458">
        <w:rPr>
          <w:rStyle w:val="Heading3Char"/>
          <w:rFonts w:cstheme="minorHAnsi"/>
        </w:rPr>
        <w:t xml:space="preserve"> across Australia</w:t>
      </w:r>
      <w:bookmarkEnd w:id="235"/>
    </w:p>
    <w:p w14:paraId="4F08928B" w14:textId="2AD36316" w:rsidR="00A866BC" w:rsidRPr="00EA3458" w:rsidRDefault="00A866BC">
      <w:pPr>
        <w:rPr>
          <w:rFonts w:eastAsia="Calibri" w:cs="Calibri"/>
        </w:rPr>
      </w:pPr>
      <w:r w:rsidRPr="00EA3458">
        <w:rPr>
          <w:rFonts w:eastAsia="Calibri" w:cs="Calibri"/>
        </w:rPr>
        <w:t>The PMR looked at several data sources to understand the characteristics of people who receive O</w:t>
      </w:r>
      <w:r w:rsidR="00D933AE">
        <w:rPr>
          <w:rFonts w:eastAsia="Calibri" w:cs="Calibri"/>
        </w:rPr>
        <w:t>D</w:t>
      </w:r>
      <w:r w:rsidRPr="00EA3458">
        <w:rPr>
          <w:rFonts w:eastAsia="Calibri" w:cs="Calibri"/>
        </w:rPr>
        <w:t>T</w:t>
      </w:r>
      <w:r w:rsidR="00D933AE">
        <w:rPr>
          <w:rFonts w:eastAsia="Calibri" w:cs="Calibri"/>
        </w:rPr>
        <w:t xml:space="preserve"> medicines</w:t>
      </w:r>
      <w:r w:rsidR="00201B7B" w:rsidRPr="00EA3458">
        <w:rPr>
          <w:rFonts w:eastAsia="Calibri" w:cs="Calibri"/>
        </w:rPr>
        <w:t>.</w:t>
      </w:r>
      <w:r w:rsidRPr="00EA3458">
        <w:rPr>
          <w:rFonts w:eastAsia="Calibri" w:cs="Calibri"/>
        </w:rPr>
        <w:t xml:space="preserve"> </w:t>
      </w:r>
    </w:p>
    <w:p w14:paraId="505C01B0" w14:textId="7996E874" w:rsidR="00434810" w:rsidRPr="00EA3458" w:rsidRDefault="00434810">
      <w:r w:rsidRPr="00EA3458">
        <w:rPr>
          <w:rFonts w:eastAsia="Calibri" w:cs="Calibri"/>
        </w:rPr>
        <w:t xml:space="preserve">According to NOPSAD, </w:t>
      </w:r>
      <w:bookmarkStart w:id="236" w:name="_Hlk119402601"/>
      <w:r w:rsidRPr="00EA3458">
        <w:rPr>
          <w:rFonts w:eastAsia="Calibri" w:cs="Calibri"/>
        </w:rPr>
        <w:t xml:space="preserve">on a snapshot day in 2021, 47,563 </w:t>
      </w:r>
      <w:r w:rsidR="00D933AE" w:rsidRPr="00EA3458">
        <w:rPr>
          <w:rFonts w:eastAsia="Calibri" w:cs="Calibri"/>
        </w:rPr>
        <w:t>people in Australia</w:t>
      </w:r>
      <w:r w:rsidR="00D933AE">
        <w:rPr>
          <w:rFonts w:eastAsia="Calibri" w:cs="Calibri"/>
        </w:rPr>
        <w:t xml:space="preserve"> (excluding data for Queensland)</w:t>
      </w:r>
      <w:r w:rsidR="00D933AE" w:rsidRPr="00EA3458">
        <w:rPr>
          <w:rFonts w:eastAsia="Calibri" w:cs="Calibri"/>
        </w:rPr>
        <w:t xml:space="preserve"> were </w:t>
      </w:r>
      <w:r w:rsidR="00D933AE">
        <w:rPr>
          <w:rFonts w:eastAsia="Calibri" w:cs="Calibri"/>
        </w:rPr>
        <w:t>receiving treatment for their opioid dependence</w:t>
      </w:r>
      <w:r w:rsidRPr="00EA3458">
        <w:t>.</w:t>
      </w:r>
      <w:r w:rsidR="002565E6" w:rsidRPr="000353BE">
        <w:fldChar w:fldCharType="begin"/>
      </w:r>
      <w:r w:rsidR="002565E6">
        <w:instrText xml:space="preserve"> ADDIN EN.CITE &lt;EndNote&gt;&lt;Cite&gt;&lt;Author&gt;Australian Institute of Health and Welfare&lt;/Author&gt;&lt;Year&gt;2022&lt;/Year&gt;&lt;RecNum&gt;1&lt;/RecNum&gt;&lt;DisplayText&gt;&lt;style face="superscript"&gt;1&lt;/style&gt;&lt;/DisplayText&gt;&lt;record&gt;&lt;rec-number&gt;1&lt;/rec-number&gt;&lt;foreign-keys&gt;&lt;key app="EN" db-id="xssz590sx9vzw4ewpzdv0s5sret50aexdtd9" timestamp="1668645241"&gt;1&lt;/key&gt;&lt;/foreign-keys&gt;&lt;ref-type name="Report"&gt;27&lt;/ref-type&gt;&lt;contributors&gt;&lt;authors&gt;&lt;author&gt;Australian Institute of Health and Welfare,&lt;/author&gt;&lt;/authors&gt;&lt;/contributors&gt;&lt;titles&gt;&lt;title&gt;National Opioid Pharmacotherapy Statistics Annual Data (NOPSAD) collection. &lt;/title&gt;&lt;/titles&gt;&lt;volume&gt;Cat. no. PHE 266&lt;/volume&gt;&lt;dates&gt;&lt;year&gt;2022&lt;/year&gt;&lt;pub-dates&gt;&lt;date&gt;2022/11/21/&lt;/date&gt;&lt;/pub-dates&gt;&lt;/dates&gt;&lt;pub-location&gt;Canberra&lt;/pub-location&gt;&lt;publisher&gt;AIHW&lt;/publisher&gt;&lt;label&gt;BibEntry2022Feb&lt;/label&gt;&lt;urls&gt;&lt;related-urls&gt;&lt;url&gt;https://www.aihw.gov.au/reports/alcohol-other-drug-treatment-services/national-opioidpharmacotherapy-statistics&lt;/url&gt;&lt;/related-urls&gt;&lt;/urls&gt;&lt;language&gt;English&lt;/language&gt;&lt;/record&gt;&lt;/Cite&gt;&lt;/EndNote&gt;</w:instrText>
      </w:r>
      <w:r w:rsidR="002565E6" w:rsidRPr="000353BE">
        <w:fldChar w:fldCharType="separate"/>
      </w:r>
      <w:r w:rsidR="002565E6" w:rsidRPr="000353BE">
        <w:rPr>
          <w:noProof/>
          <w:vertAlign w:val="superscript"/>
        </w:rPr>
        <w:t>1</w:t>
      </w:r>
      <w:r w:rsidR="002565E6" w:rsidRPr="000353BE">
        <w:fldChar w:fldCharType="end"/>
      </w:r>
      <w:r w:rsidRPr="00EA3458">
        <w:t xml:space="preserve"> Most people received methadone (58%), the median age was 44 years and over two-thirds were male. O</w:t>
      </w:r>
      <w:r w:rsidR="00DD7862">
        <w:t>D</w:t>
      </w:r>
      <w:r w:rsidRPr="00EA3458">
        <w:t>T</w:t>
      </w:r>
      <w:r w:rsidR="00DD7862">
        <w:t xml:space="preserve"> medicines were</w:t>
      </w:r>
      <w:r w:rsidRPr="00EA3458">
        <w:t xml:space="preserve"> mostly prescribed by a private health practitioner, dosing was mainly dispensed in pharmacies</w:t>
      </w:r>
      <w:bookmarkEnd w:id="236"/>
      <w:r w:rsidRPr="00EA3458">
        <w:t>, and the primary drug of concern for the majority was heroin.</w:t>
      </w:r>
      <w:r w:rsidR="000353BE" w:rsidRPr="00EA3458">
        <w:t xml:space="preserve"> </w:t>
      </w:r>
    </w:p>
    <w:p w14:paraId="74B995BA" w14:textId="1B361586" w:rsidR="00434810" w:rsidRPr="00EA3458" w:rsidRDefault="00434810">
      <w:r w:rsidRPr="00EA3458">
        <w:t xml:space="preserve">Further </w:t>
      </w:r>
      <w:r w:rsidR="00441126" w:rsidRPr="00EA3458">
        <w:t>consumer</w:t>
      </w:r>
      <w:r w:rsidRPr="00EA3458">
        <w:t xml:space="preserve"> and prescriber characteristics from NOPSAD can be seen </w:t>
      </w:r>
      <w:r w:rsidRPr="00DA49F8">
        <w:t xml:space="preserve">in </w:t>
      </w:r>
      <w:r w:rsidR="005756A2" w:rsidRPr="00DA49F8">
        <w:t>T</w:t>
      </w:r>
      <w:r w:rsidRPr="00DA49F8">
        <w:t xml:space="preserve">able </w:t>
      </w:r>
      <w:r w:rsidR="005756A2" w:rsidRPr="00DA49F8">
        <w:t>2</w:t>
      </w:r>
      <w:r w:rsidRPr="00DA49F8">
        <w:t>.</w:t>
      </w:r>
    </w:p>
    <w:p w14:paraId="0EB1E3C7" w14:textId="03980627" w:rsidR="00434810" w:rsidRPr="00EA3458" w:rsidRDefault="00434810">
      <w:r w:rsidRPr="00EA3458">
        <w:t>Data from the ETHOS Engage study was used to further characterise potential participants of O</w:t>
      </w:r>
      <w:r w:rsidR="00DD7862">
        <w:t>D</w:t>
      </w:r>
      <w:r w:rsidRPr="00EA3458">
        <w:t>T</w:t>
      </w:r>
      <w:r w:rsidR="00DD7862">
        <w:t xml:space="preserve"> medicines</w:t>
      </w:r>
      <w:r w:rsidRPr="00EA3458">
        <w:t xml:space="preserve">. </w:t>
      </w:r>
      <w:bookmarkStart w:id="237" w:name="_Hlk119402659"/>
      <w:r w:rsidRPr="00EA3458">
        <w:t xml:space="preserve">Most (92%; n=693) of the cohort were unemployed and 84% (n=635) lived in a major city. </w:t>
      </w:r>
      <w:bookmarkEnd w:id="237"/>
      <w:r w:rsidRPr="00EA3458">
        <w:t>It was determined that 8% of participants</w:t>
      </w:r>
      <w:r w:rsidR="00DD7862">
        <w:t xml:space="preserve"> receiving ODT medicines</w:t>
      </w:r>
      <w:r w:rsidRPr="00EA3458">
        <w:t xml:space="preserve"> were homeless, 71% had been incarcerated previously and 37% recently incarcerated, and nearly half had injected recently.</w:t>
      </w:r>
      <w:bookmarkStart w:id="238" w:name="_Hlk127947868"/>
      <w:r w:rsidR="002565E6" w:rsidRPr="003E5F94">
        <w:rPr>
          <w:rFonts w:cs="Calibri"/>
          <w:color w:val="000000"/>
          <w:shd w:val="clear" w:color="auto" w:fill="FFFFFF"/>
        </w:rPr>
        <w:fldChar w:fldCharType="begin">
          <w:fldData xml:space="preserve">PEVuZE5vdGU+PENpdGU+PEF1dGhvcj5WYWxlcmlvPC9BdXRob3I+PFllYXI+MjAyMTwvWWVhcj48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</w:fldData>
        </w:fldChar>
      </w:r>
      <w:r w:rsidR="002565E6">
        <w:rPr>
          <w:rFonts w:cs="Calibri"/>
          <w:color w:val="000000"/>
          <w:shd w:val="clear" w:color="auto" w:fill="FFFFFF"/>
        </w:rPr>
        <w:instrText xml:space="preserve"> ADDIN EN.CITE </w:instrText>
      </w:r>
      <w:r w:rsidR="002565E6">
        <w:rPr>
          <w:rFonts w:cs="Calibri"/>
          <w:color w:val="000000"/>
          <w:shd w:val="clear" w:color="auto" w:fill="FFFFFF"/>
        </w:rPr>
        <w:fldChar w:fldCharType="begin">
          <w:fldData xml:space="preserve">PEVuZE5vdGU+PENpdGU+PEF1dGhvcj5WYWxlcmlvPC9BdXRob3I+PFllYXI+MjAyMTwvWWVhcj48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</w:fldData>
        </w:fldChar>
      </w:r>
      <w:r w:rsidR="002565E6">
        <w:rPr>
          <w:rFonts w:cs="Calibri"/>
          <w:color w:val="000000"/>
          <w:shd w:val="clear" w:color="auto" w:fill="FFFFFF"/>
        </w:rPr>
        <w:instrText xml:space="preserve"> ADDIN EN.CITE.DATA </w:instrText>
      </w:r>
      <w:r w:rsidR="002565E6">
        <w:rPr>
          <w:rFonts w:cs="Calibri"/>
          <w:color w:val="000000"/>
          <w:shd w:val="clear" w:color="auto" w:fill="FFFFFF"/>
        </w:rPr>
      </w:r>
      <w:r w:rsidR="002565E6">
        <w:rPr>
          <w:rFonts w:cs="Calibri"/>
          <w:color w:val="000000"/>
          <w:shd w:val="clear" w:color="auto" w:fill="FFFFFF"/>
        </w:rPr>
        <w:fldChar w:fldCharType="end"/>
      </w:r>
      <w:r w:rsidR="002565E6" w:rsidRPr="003E5F94">
        <w:rPr>
          <w:rFonts w:cs="Calibri"/>
          <w:color w:val="000000"/>
          <w:shd w:val="clear" w:color="auto" w:fill="FFFFFF"/>
        </w:rPr>
      </w:r>
      <w:r w:rsidR="002565E6" w:rsidRPr="003E5F94">
        <w:rPr>
          <w:rFonts w:cs="Calibri"/>
          <w:color w:val="000000"/>
          <w:shd w:val="clear" w:color="auto" w:fill="FFFFFF"/>
        </w:rPr>
        <w:fldChar w:fldCharType="separate"/>
      </w:r>
      <w:r w:rsidR="002565E6" w:rsidRPr="003E5F94">
        <w:rPr>
          <w:rFonts w:cs="Calibri"/>
          <w:noProof/>
          <w:color w:val="000000"/>
          <w:shd w:val="clear" w:color="auto" w:fill="FFFFFF"/>
          <w:vertAlign w:val="superscript"/>
        </w:rPr>
        <w:t>7</w:t>
      </w:r>
      <w:r w:rsidR="002565E6" w:rsidRPr="003E5F94">
        <w:rPr>
          <w:rFonts w:cs="Calibri"/>
          <w:color w:val="000000"/>
          <w:shd w:val="clear" w:color="auto" w:fill="FFFFFF"/>
        </w:rPr>
        <w:fldChar w:fldCharType="end"/>
      </w:r>
      <w:bookmarkEnd w:id="238"/>
    </w:p>
    <w:p w14:paraId="597C0FA6" w14:textId="4CA62108" w:rsidR="00434810" w:rsidRPr="00EA3458" w:rsidRDefault="00434810">
      <w:bookmarkStart w:id="239" w:name="_Hlk119402791"/>
      <w:r w:rsidRPr="00EA3458">
        <w:t>Prior to the COVID-19 pandemic, 32% had received takeaway doses.</w:t>
      </w:r>
      <w:r w:rsidR="002565E6" w:rsidRPr="003E5F94">
        <w:rPr>
          <w:rFonts w:cs="Calibri"/>
          <w:color w:val="000000"/>
          <w:shd w:val="clear" w:color="auto" w:fill="FFFFFF"/>
        </w:rPr>
        <w:fldChar w:fldCharType="begin">
          <w:fldData xml:space="preserve">PEVuZE5vdGU+PENpdGU+PEF1dGhvcj5WYWxlcmlvPC9BdXRob3I+PFllYXI+MjAyMTwvWWVhcj48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</w:fldData>
        </w:fldChar>
      </w:r>
      <w:r w:rsidR="002565E6">
        <w:rPr>
          <w:rFonts w:cs="Calibri"/>
          <w:color w:val="000000"/>
          <w:shd w:val="clear" w:color="auto" w:fill="FFFFFF"/>
        </w:rPr>
        <w:instrText xml:space="preserve"> ADDIN EN.CITE </w:instrText>
      </w:r>
      <w:r w:rsidR="002565E6">
        <w:rPr>
          <w:rFonts w:cs="Calibri"/>
          <w:color w:val="000000"/>
          <w:shd w:val="clear" w:color="auto" w:fill="FFFFFF"/>
        </w:rPr>
        <w:fldChar w:fldCharType="begin">
          <w:fldData xml:space="preserve">PEVuZE5vdGU+PENpdGU+PEF1dGhvcj5WYWxlcmlvPC9BdXRob3I+PFllYXI+MjAyMTwvWWVhcj48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</w:fldData>
        </w:fldChar>
      </w:r>
      <w:r w:rsidR="002565E6">
        <w:rPr>
          <w:rFonts w:cs="Calibri"/>
          <w:color w:val="000000"/>
          <w:shd w:val="clear" w:color="auto" w:fill="FFFFFF"/>
        </w:rPr>
        <w:instrText xml:space="preserve"> ADDIN EN.CITE.DATA </w:instrText>
      </w:r>
      <w:r w:rsidR="002565E6">
        <w:rPr>
          <w:rFonts w:cs="Calibri"/>
          <w:color w:val="000000"/>
          <w:shd w:val="clear" w:color="auto" w:fill="FFFFFF"/>
        </w:rPr>
      </w:r>
      <w:r w:rsidR="002565E6">
        <w:rPr>
          <w:rFonts w:cs="Calibri"/>
          <w:color w:val="000000"/>
          <w:shd w:val="clear" w:color="auto" w:fill="FFFFFF"/>
        </w:rPr>
        <w:fldChar w:fldCharType="end"/>
      </w:r>
      <w:r w:rsidR="002565E6" w:rsidRPr="003E5F94">
        <w:rPr>
          <w:rFonts w:cs="Calibri"/>
          <w:color w:val="000000"/>
          <w:shd w:val="clear" w:color="auto" w:fill="FFFFFF"/>
        </w:rPr>
      </w:r>
      <w:r w:rsidR="002565E6" w:rsidRPr="003E5F94">
        <w:rPr>
          <w:rFonts w:cs="Calibri"/>
          <w:color w:val="000000"/>
          <w:shd w:val="clear" w:color="auto" w:fill="FFFFFF"/>
        </w:rPr>
        <w:fldChar w:fldCharType="separate"/>
      </w:r>
      <w:r w:rsidR="002565E6" w:rsidRPr="003E5F94">
        <w:rPr>
          <w:rFonts w:cs="Calibri"/>
          <w:noProof/>
          <w:color w:val="000000"/>
          <w:shd w:val="clear" w:color="auto" w:fill="FFFFFF"/>
          <w:vertAlign w:val="superscript"/>
        </w:rPr>
        <w:t>7</w:t>
      </w:r>
      <w:r w:rsidR="002565E6" w:rsidRPr="003E5F94">
        <w:rPr>
          <w:rFonts w:cs="Calibri"/>
          <w:color w:val="000000"/>
          <w:shd w:val="clear" w:color="auto" w:fill="FFFFFF"/>
        </w:rPr>
        <w:fldChar w:fldCharType="end"/>
      </w:r>
      <w:r w:rsidRPr="00EA3458">
        <w:t xml:space="preserve"> This increased to 47% during the pandemic.</w:t>
      </w:r>
      <w:r w:rsidR="00014709">
        <w:t xml:space="preserve"> However, access to takeaway doses may have since reduced in some </w:t>
      </w:r>
      <w:r w:rsidR="00014709">
        <w:lastRenderedPageBreak/>
        <w:t>jurisdictions, e.g. in NSW the amendment to policy guidance that allowed for consideration of higher numbers of takeaway doses during the COVID-19 pandemic was rolled-back to pre-pandemic ODT policies.</w:t>
      </w:r>
      <w:r w:rsidR="002565E6">
        <w:fldChar w:fldCharType="begin"/>
      </w:r>
      <w:r w:rsidR="002565E6">
        <w:instrText xml:space="preserve"> ADDIN EN.CITE &lt;EndNote&gt;&lt;Cite&gt;&lt;Author&gt;Ministry of Health&lt;/Author&gt;&lt;Year&gt;2021&lt;/Year&gt;&lt;RecNum&gt;70&lt;/RecNum&gt;&lt;DisplayText&gt;&lt;style face="superscript"&gt;18&lt;/style&gt;&lt;/DisplayText&gt;&lt;record&gt;&lt;rec-number&gt;70&lt;/rec-number&gt;&lt;foreign-keys&gt;&lt;key app="EN" db-id="xssz590sx9vzw4ewpzdv0s5sret50aexdtd9" timestamp="1677027576"&gt;70&lt;/key&gt;&lt;/foreign-keys&gt;&lt;ref-type name="Web Page"&gt;12&lt;/ref-type&gt;&lt;contributors&gt;&lt;authors&gt;&lt;author&gt;Ministry of Health, New South Wales &lt;/author&gt;&lt;/authors&gt;&lt;/contributors&gt;&lt;titles&gt;&lt;title&gt;COVID-19 Information letter for Opioid Agonist Treatment Community Prescribers&lt;/title&gt;&lt;/titles&gt;&lt;volume&gt;2023&lt;/volume&gt;&lt;number&gt;22 February&lt;/number&gt;&lt;dates&gt;&lt;year&gt;2021&lt;/year&gt;&lt;pub-dates&gt;&lt;date&gt;15 September 2021&lt;/date&gt;&lt;/pub-dates&gt;&lt;/dates&gt;&lt;urls&gt;&lt;related-urls&gt;&lt;url&gt;www.health.nsw.gov.au/aod/Pages/covid-19-oat-prescriber-info.aspx&lt;/url&gt;&lt;/related-urls&gt;&lt;/urls&gt;&lt;/record&gt;&lt;/Cite&gt;&lt;/EndNote&gt;</w:instrText>
      </w:r>
      <w:r w:rsidR="002565E6">
        <w:fldChar w:fldCharType="separate"/>
      </w:r>
      <w:r w:rsidR="002565E6" w:rsidRPr="00646D54">
        <w:rPr>
          <w:noProof/>
          <w:vertAlign w:val="superscript"/>
        </w:rPr>
        <w:t>18</w:t>
      </w:r>
      <w:r w:rsidR="002565E6">
        <w:fldChar w:fldCharType="end"/>
      </w:r>
    </w:p>
    <w:bookmarkEnd w:id="239"/>
    <w:p w14:paraId="077142A7" w14:textId="6D4E8208" w:rsidR="00434810" w:rsidRPr="00EA3458" w:rsidRDefault="00434810">
      <w:pPr>
        <w:rPr>
          <w:rFonts w:eastAsia="Times New Roman"/>
        </w:rPr>
      </w:pPr>
      <w:r w:rsidRPr="00EA3458">
        <w:t xml:space="preserve">Data from MedicineInsight provided further detail on </w:t>
      </w:r>
      <w:r w:rsidR="000223C2" w:rsidRPr="00EA3458">
        <w:t>O</w:t>
      </w:r>
      <w:r w:rsidR="00DD7862">
        <w:t>D</w:t>
      </w:r>
      <w:r w:rsidR="000223C2" w:rsidRPr="00EA3458">
        <w:t>T cons</w:t>
      </w:r>
      <w:r w:rsidR="00154314">
        <w:t>u</w:t>
      </w:r>
      <w:r w:rsidR="000223C2" w:rsidRPr="00EA3458">
        <w:t>mer</w:t>
      </w:r>
      <w:r w:rsidRPr="00EA3458">
        <w:t xml:space="preserve"> and prescriber characteristics. More than half of patients prescribed </w:t>
      </w:r>
      <w:r w:rsidR="00FA5167" w:rsidRPr="00EA3458">
        <w:t>O</w:t>
      </w:r>
      <w:r w:rsidR="00DD7862">
        <w:t>D</w:t>
      </w:r>
      <w:r w:rsidR="00FA5167" w:rsidRPr="00EA3458">
        <w:t>T</w:t>
      </w:r>
      <w:r w:rsidRPr="00EA3458">
        <w:t xml:space="preserve"> medicines also have a record of a mental disorder, and </w:t>
      </w:r>
      <w:r w:rsidRPr="00EA3458">
        <w:rPr>
          <w:rFonts w:eastAsia="Times New Roman"/>
        </w:rPr>
        <w:t xml:space="preserve">patients prescribed an </w:t>
      </w:r>
      <w:r w:rsidR="00FA5167" w:rsidRPr="00EA3458">
        <w:rPr>
          <w:rFonts w:eastAsia="Times New Roman"/>
        </w:rPr>
        <w:t>O</w:t>
      </w:r>
      <w:r w:rsidR="00DD7862">
        <w:rPr>
          <w:rFonts w:eastAsia="Times New Roman"/>
        </w:rPr>
        <w:t>D</w:t>
      </w:r>
      <w:r w:rsidR="00FA5167" w:rsidRPr="00EA3458">
        <w:rPr>
          <w:rFonts w:eastAsia="Times New Roman"/>
        </w:rPr>
        <w:t>T</w:t>
      </w:r>
      <w:r w:rsidRPr="00EA3458">
        <w:rPr>
          <w:rFonts w:eastAsia="Times New Roman"/>
        </w:rPr>
        <w:t xml:space="preserve"> medicine were more than twice as likely to have a record of chronic pain. The proportion of patients prescribed </w:t>
      </w:r>
      <w:r w:rsidR="00FA5167" w:rsidRPr="00EA3458">
        <w:rPr>
          <w:rFonts w:eastAsia="Times New Roman"/>
        </w:rPr>
        <w:t>O</w:t>
      </w:r>
      <w:r w:rsidR="00DD7862">
        <w:rPr>
          <w:rFonts w:eastAsia="Times New Roman"/>
        </w:rPr>
        <w:t>D</w:t>
      </w:r>
      <w:r w:rsidR="00FA5167" w:rsidRPr="00EA3458">
        <w:rPr>
          <w:rFonts w:eastAsia="Times New Roman"/>
        </w:rPr>
        <w:t>T</w:t>
      </w:r>
      <w:r w:rsidRPr="00EA3458">
        <w:rPr>
          <w:rFonts w:eastAsia="Times New Roman"/>
        </w:rPr>
        <w:t xml:space="preserve"> medicines were more than 5 times as likely to have a record of alcohol disorder or liver disease, than patients </w:t>
      </w:r>
      <w:r w:rsidR="00FA5167" w:rsidRPr="00EA3458">
        <w:rPr>
          <w:rFonts w:eastAsia="Times New Roman"/>
        </w:rPr>
        <w:t xml:space="preserve">who were </w:t>
      </w:r>
      <w:r w:rsidRPr="00EA3458">
        <w:rPr>
          <w:rFonts w:eastAsia="Times New Roman"/>
        </w:rPr>
        <w:t>not prescribed a</w:t>
      </w:r>
      <w:r w:rsidR="00FA5167" w:rsidRPr="00EA3458">
        <w:rPr>
          <w:rFonts w:eastAsia="Times New Roman"/>
        </w:rPr>
        <w:t>n O</w:t>
      </w:r>
      <w:r w:rsidR="00DD7862">
        <w:rPr>
          <w:rFonts w:eastAsia="Times New Roman"/>
        </w:rPr>
        <w:t>D</w:t>
      </w:r>
      <w:r w:rsidR="00FA5167" w:rsidRPr="00EA3458">
        <w:rPr>
          <w:rFonts w:eastAsia="Times New Roman"/>
        </w:rPr>
        <w:t>T</w:t>
      </w:r>
      <w:r w:rsidRPr="00EA3458">
        <w:rPr>
          <w:rFonts w:eastAsia="Times New Roman"/>
        </w:rPr>
        <w:t xml:space="preserve"> medicine.</w:t>
      </w:r>
      <w:r w:rsidR="003A3C32">
        <w:rPr>
          <w:rFonts w:eastAsia="Times New Roman"/>
        </w:rPr>
        <w:t xml:space="preserve"> This data </w:t>
      </w:r>
      <w:r w:rsidR="003A3C32">
        <w:t>gives insight to the broader mental and physical health issues experienced by ODT consumers and supports other Review findings that treatment for opioid dependence should be considered holistically in the context of a person’s broader environment and wellbeing.</w:t>
      </w:r>
    </w:p>
    <w:p w14:paraId="2A65E504" w14:textId="75C3B092" w:rsidR="00DA49F8" w:rsidRDefault="00FA5167">
      <w:r w:rsidRPr="00EA3458">
        <w:t>According to Med</w:t>
      </w:r>
      <w:r w:rsidR="00F9271B">
        <w:t>i</w:t>
      </w:r>
      <w:r w:rsidRPr="00EA3458">
        <w:t>cineInsight,</w:t>
      </w:r>
      <w:r w:rsidR="004036BF" w:rsidRPr="00EA3458">
        <w:t xml:space="preserve"> </w:t>
      </w:r>
      <w:bookmarkStart w:id="240" w:name="_Hlk119405193"/>
      <w:r w:rsidRPr="00EA3458">
        <w:t>a</w:t>
      </w:r>
      <w:r w:rsidR="00434810" w:rsidRPr="00EA3458">
        <w:t>pproximately 10% of prescribers</w:t>
      </w:r>
      <w:r w:rsidRPr="00EA3458">
        <w:t xml:space="preserve"> (</w:t>
      </w:r>
      <w:r w:rsidR="00434810" w:rsidRPr="00EA3458">
        <w:t>fewer than 10 practices</w:t>
      </w:r>
      <w:r w:rsidRPr="00EA3458">
        <w:t>)</w:t>
      </w:r>
      <w:r w:rsidR="00434810" w:rsidRPr="00EA3458">
        <w:t xml:space="preserve"> were responsible for 80% of the prescribing of O</w:t>
      </w:r>
      <w:r w:rsidR="00DD7862">
        <w:t>D</w:t>
      </w:r>
      <w:r w:rsidRPr="00EA3458">
        <w:t>T</w:t>
      </w:r>
      <w:r w:rsidR="00434810" w:rsidRPr="00EA3458">
        <w:t xml:space="preserve"> medicines. The final 20% of prescribing was done by </w:t>
      </w:r>
      <w:r w:rsidR="004036BF" w:rsidRPr="00EA3458">
        <w:t>approximately 89-95% of</w:t>
      </w:r>
      <w:r w:rsidR="00434810" w:rsidRPr="00EA3458">
        <w:t xml:space="preserve"> prescribing practices</w:t>
      </w:r>
      <w:bookmarkEnd w:id="240"/>
      <w:r w:rsidR="001957C9">
        <w:t xml:space="preserve">. </w:t>
      </w:r>
      <w:r w:rsidR="004036BF" w:rsidRPr="00EA3458">
        <w:t xml:space="preserve">This means it is likely there is only a small number of prescribers servicing the bulk of population accessing ODT which is consistent with comments arising from other inputs to the review. </w:t>
      </w:r>
      <w:bookmarkStart w:id="241" w:name="_Toc99542083"/>
    </w:p>
    <w:p w14:paraId="2CFA43FA" w14:textId="77777777" w:rsidR="00117A41" w:rsidRDefault="00117A41">
      <w:pPr>
        <w:spacing w:after="160" w:line="259" w:lineRule="auto"/>
        <w:jc w:val="left"/>
        <w:rPr>
          <w:rFonts w:eastAsiaTheme="majorEastAsia" w:cstheme="majorBidi"/>
          <w:b/>
          <w:iCs/>
        </w:rPr>
      </w:pPr>
      <w:r>
        <w:br w:type="page"/>
      </w:r>
    </w:p>
    <w:p w14:paraId="0AB4EF85" w14:textId="45738E77" w:rsidR="00434810" w:rsidRPr="00EA3458" w:rsidRDefault="00434810">
      <w:pPr>
        <w:pStyle w:val="Tables"/>
      </w:pPr>
      <w:bookmarkStart w:id="242" w:name="_Toc132823422"/>
      <w:bookmarkStart w:id="243" w:name="_Toc120183434"/>
      <w:r w:rsidRPr="00EA3458">
        <w:lastRenderedPageBreak/>
        <w:t xml:space="preserve">Table </w:t>
      </w:r>
      <w:r w:rsidR="005756A2" w:rsidRPr="00EA3458">
        <w:t>2</w:t>
      </w:r>
      <w:r w:rsidR="001957C9">
        <w:t>.</w:t>
      </w:r>
      <w:r w:rsidRPr="00EA3458">
        <w:t xml:space="preserve"> Description of people </w:t>
      </w:r>
      <w:r w:rsidR="00DD7862">
        <w:t>receiving</w:t>
      </w:r>
      <w:r w:rsidRPr="00EA3458">
        <w:t xml:space="preserve"> O</w:t>
      </w:r>
      <w:r w:rsidR="00DD7862">
        <w:t>D</w:t>
      </w:r>
      <w:r w:rsidRPr="00EA3458">
        <w:t>T</w:t>
      </w:r>
      <w:r w:rsidR="00DD7862">
        <w:t xml:space="preserve"> medicines</w:t>
      </w:r>
      <w:r w:rsidRPr="00EA3458">
        <w:t xml:space="preserve"> in Australia, </w:t>
      </w:r>
      <w:r w:rsidRPr="000B6BFB">
        <w:t>202</w:t>
      </w:r>
      <w:bookmarkEnd w:id="241"/>
      <w:r w:rsidRPr="000B6BFB">
        <w:t xml:space="preserve">1 </w:t>
      </w:r>
      <w:r w:rsidR="002565E6" w:rsidRPr="000B6BFB">
        <w:fldChar w:fldCharType="begin"/>
      </w:r>
      <w:r w:rsidR="002565E6">
        <w:instrText xml:space="preserve"> ADDIN EN.CITE &lt;EndNote&gt;&lt;Cite&gt;&lt;Author&gt;Australian Institute of Health and Welfare&lt;/Author&gt;&lt;Year&gt;2022&lt;/Year&gt;&lt;RecNum&gt;19&lt;/RecNum&gt;&lt;DisplayText&gt;&lt;style face="superscript"&gt;19&lt;/style&gt;&lt;/DisplayText&gt;&lt;record&gt;&lt;rec-number&gt;19&lt;/rec-number&gt;&lt;foreign-keys&gt;&lt;key app="EN" db-id="xssz590sx9vzw4ewpzdv0s5sret50aexdtd9" timestamp="1668645320"&gt;19&lt;/key&gt;&lt;/foreign-keys&gt;&lt;ref-type name="Report"&gt;27&lt;/ref-type&gt;&lt;contributors&gt;&lt;authors&gt;&lt;author&gt;Australian Institute of Health and Welfare,&lt;/author&gt;&lt;/authors&gt;&lt;/contributors&gt;&lt;titles&gt;&lt;title&gt;NOPSAD collection: Supplementary Table S4.&lt;/title&gt;&lt;/titles&gt;&lt;volume&gt;Cat. no. PHE 266&lt;/volume&gt;&lt;dates&gt;&lt;year&gt;2022&lt;/year&gt;&lt;pub-dates&gt;&lt;date&gt;2022/11/21/&lt;/date&gt;&lt;/pub-dates&gt;&lt;/dates&gt;&lt;pub-location&gt;Canberra&lt;/pub-location&gt;&lt;publisher&gt;AIHW&lt;/publisher&gt;&lt;label&gt;BibEntry2022Feb&lt;/label&gt;&lt;urls&gt;&lt;related-urls&gt;&lt;url&gt;https://www.aihw.gov.au/reports/alcohol-other-drug-treatment-services/national-opioidpharmacotherapy-statistics&lt;/url&gt;&lt;/related-urls&gt;&lt;/urls&gt;&lt;language&gt;English&lt;/language&gt;&lt;/record&gt;&lt;/Cite&gt;&lt;/EndNote&gt;</w:instrText>
      </w:r>
      <w:r w:rsidR="002565E6" w:rsidRPr="000B6BFB">
        <w:fldChar w:fldCharType="separate"/>
      </w:r>
      <w:r w:rsidR="002565E6" w:rsidRPr="00646D54">
        <w:rPr>
          <w:noProof/>
          <w:vertAlign w:val="superscript"/>
        </w:rPr>
        <w:t>19</w:t>
      </w:r>
      <w:bookmarkEnd w:id="242"/>
      <w:r w:rsidR="002565E6" w:rsidRPr="000B6BFB">
        <w:fldChar w:fldCharType="end"/>
      </w:r>
      <w:bookmarkEnd w:id="243"/>
    </w:p>
    <w:tbl>
      <w:tblPr>
        <w:tblStyle w:val="TableGrid"/>
        <w:tblW w:w="5000" w:type="pct"/>
        <w:tblInd w:w="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Caption w:val="Description of people engaged in OAT in Australia, 2021 "/>
        <w:tblDescription w:val="The table lists a range of demographic characteristics for people engaged in OAT in Australia, with the number and percentage of patients matching each of these characteristics. OAT patient population is broken down by type of medicine, age, sex, Aboriginal or Torres Strait Islander status, prescriber type from which they receive their scripts, and opioid drug of dependence."/>
      </w:tblPr>
      <w:tblGrid>
        <w:gridCol w:w="5690"/>
        <w:gridCol w:w="3336"/>
      </w:tblGrid>
      <w:tr w:rsidR="00434810" w:rsidRPr="00257F28" w14:paraId="470AED30" w14:textId="77777777" w:rsidTr="00CE03C3">
        <w:trPr>
          <w:trHeight w:val="20"/>
        </w:trPr>
        <w:tc>
          <w:tcPr>
            <w:tcW w:w="3152" w:type="pct"/>
            <w:tcBorders>
              <w:top w:val="single" w:sz="4" w:space="0" w:color="auto"/>
              <w:left w:val="nil"/>
              <w:bottom w:val="single" w:sz="4" w:space="0" w:color="auto"/>
              <w:right w:val="nil"/>
            </w:tcBorders>
            <w:shd w:val="clear" w:color="auto" w:fill="D9D9D9" w:themeFill="background1" w:themeFillShade="D9"/>
          </w:tcPr>
          <w:p w14:paraId="5A557FCE" w14:textId="77777777" w:rsidR="00434810" w:rsidRPr="00257F28" w:rsidRDefault="00434810" w:rsidP="00780238">
            <w:pPr>
              <w:tabs>
                <w:tab w:val="left" w:pos="285"/>
              </w:tabs>
              <w:spacing w:line="256" w:lineRule="auto"/>
              <w:jc w:val="left"/>
              <w:rPr>
                <w:rFonts w:cstheme="minorHAnsi"/>
                <w:sz w:val="20"/>
                <w:szCs w:val="20"/>
              </w:rPr>
            </w:pPr>
          </w:p>
        </w:tc>
        <w:tc>
          <w:tcPr>
            <w:tcW w:w="1848" w:type="pct"/>
            <w:tcBorders>
              <w:top w:val="single" w:sz="4" w:space="0" w:color="auto"/>
              <w:left w:val="nil"/>
              <w:bottom w:val="single" w:sz="4" w:space="0" w:color="auto"/>
              <w:right w:val="nil"/>
            </w:tcBorders>
            <w:shd w:val="clear" w:color="auto" w:fill="D9D9D9" w:themeFill="background1" w:themeFillShade="D9"/>
            <w:hideMark/>
          </w:tcPr>
          <w:p w14:paraId="1D14EE69" w14:textId="77777777" w:rsidR="00434810" w:rsidRPr="00257F28" w:rsidRDefault="00434810" w:rsidP="00780238">
            <w:pPr>
              <w:spacing w:line="256" w:lineRule="auto"/>
              <w:jc w:val="left"/>
              <w:rPr>
                <w:rFonts w:cstheme="minorHAnsi"/>
                <w:b/>
                <w:sz w:val="20"/>
                <w:szCs w:val="20"/>
              </w:rPr>
            </w:pPr>
            <w:r w:rsidRPr="00257F28">
              <w:rPr>
                <w:rFonts w:cstheme="minorHAnsi"/>
                <w:b/>
                <w:sz w:val="20"/>
                <w:szCs w:val="20"/>
              </w:rPr>
              <w:t xml:space="preserve">N (%) </w:t>
            </w:r>
          </w:p>
        </w:tc>
      </w:tr>
      <w:tr w:rsidR="00434810" w:rsidRPr="00257F28" w14:paraId="3FF0942F" w14:textId="77777777" w:rsidTr="00CE03C3">
        <w:trPr>
          <w:trHeight w:val="20"/>
        </w:trPr>
        <w:tc>
          <w:tcPr>
            <w:tcW w:w="3152" w:type="pct"/>
            <w:tcBorders>
              <w:top w:val="single" w:sz="4" w:space="0" w:color="auto"/>
              <w:left w:val="nil"/>
              <w:bottom w:val="nil"/>
              <w:right w:val="nil"/>
            </w:tcBorders>
            <w:hideMark/>
          </w:tcPr>
          <w:p w14:paraId="093A2960" w14:textId="162C6EAF" w:rsidR="00434810" w:rsidRPr="00257F28" w:rsidRDefault="00434810" w:rsidP="00780238">
            <w:pPr>
              <w:tabs>
                <w:tab w:val="left" w:pos="285"/>
              </w:tabs>
              <w:spacing w:after="0" w:line="256" w:lineRule="auto"/>
              <w:jc w:val="left"/>
              <w:rPr>
                <w:rFonts w:cstheme="minorHAnsi"/>
                <w:b/>
                <w:sz w:val="20"/>
                <w:szCs w:val="20"/>
              </w:rPr>
            </w:pPr>
            <w:r w:rsidRPr="00257F28">
              <w:rPr>
                <w:rFonts w:cstheme="minorHAnsi"/>
                <w:b/>
                <w:sz w:val="20"/>
                <w:szCs w:val="20"/>
              </w:rPr>
              <w:t>Number of people receiving O</w:t>
            </w:r>
            <w:r w:rsidR="00DD7862">
              <w:rPr>
                <w:rFonts w:cstheme="minorHAnsi"/>
                <w:b/>
                <w:sz w:val="20"/>
                <w:szCs w:val="20"/>
              </w:rPr>
              <w:t>D</w:t>
            </w:r>
            <w:r w:rsidRPr="00257F28">
              <w:rPr>
                <w:rFonts w:cstheme="minorHAnsi"/>
                <w:b/>
                <w:sz w:val="20"/>
                <w:szCs w:val="20"/>
              </w:rPr>
              <w:t>T</w:t>
            </w:r>
            <w:r w:rsidR="00DD7862">
              <w:rPr>
                <w:rFonts w:cstheme="minorHAnsi"/>
                <w:b/>
                <w:sz w:val="20"/>
                <w:szCs w:val="20"/>
              </w:rPr>
              <w:t xml:space="preserve"> medicines</w:t>
            </w:r>
          </w:p>
        </w:tc>
        <w:tc>
          <w:tcPr>
            <w:tcW w:w="1848" w:type="pct"/>
            <w:tcBorders>
              <w:top w:val="single" w:sz="4" w:space="0" w:color="auto"/>
              <w:left w:val="nil"/>
              <w:bottom w:val="nil"/>
              <w:right w:val="nil"/>
            </w:tcBorders>
          </w:tcPr>
          <w:p w14:paraId="175200AC" w14:textId="77777777" w:rsidR="00434810" w:rsidRPr="00257F28" w:rsidRDefault="00434810" w:rsidP="00780238">
            <w:pPr>
              <w:spacing w:after="0" w:line="256" w:lineRule="auto"/>
              <w:jc w:val="left"/>
              <w:rPr>
                <w:rFonts w:cstheme="minorHAnsi"/>
                <w:b/>
                <w:sz w:val="20"/>
                <w:szCs w:val="20"/>
              </w:rPr>
            </w:pPr>
          </w:p>
        </w:tc>
      </w:tr>
      <w:tr w:rsidR="00434810" w:rsidRPr="00257F28" w14:paraId="053F7461" w14:textId="77777777" w:rsidTr="00CE03C3">
        <w:trPr>
          <w:trHeight w:val="20"/>
        </w:trPr>
        <w:tc>
          <w:tcPr>
            <w:tcW w:w="3152" w:type="pct"/>
            <w:tcBorders>
              <w:top w:val="nil"/>
              <w:left w:val="nil"/>
              <w:bottom w:val="nil"/>
              <w:right w:val="nil"/>
            </w:tcBorders>
            <w:hideMark/>
          </w:tcPr>
          <w:p w14:paraId="0B71B6C7" w14:textId="77777777" w:rsidR="00434810" w:rsidRPr="00257F28" w:rsidRDefault="00434810" w:rsidP="00780238">
            <w:pPr>
              <w:tabs>
                <w:tab w:val="left" w:pos="285"/>
              </w:tabs>
              <w:spacing w:after="0" w:line="256" w:lineRule="auto"/>
              <w:jc w:val="left"/>
              <w:rPr>
                <w:rFonts w:cstheme="minorHAnsi"/>
                <w:sz w:val="20"/>
                <w:szCs w:val="20"/>
              </w:rPr>
            </w:pPr>
            <w:r w:rsidRPr="00257F28">
              <w:rPr>
                <w:rFonts w:cstheme="minorHAnsi"/>
                <w:sz w:val="20"/>
                <w:szCs w:val="20"/>
              </w:rPr>
              <w:tab/>
              <w:t>Methadone</w:t>
            </w:r>
          </w:p>
        </w:tc>
        <w:tc>
          <w:tcPr>
            <w:tcW w:w="1848" w:type="pct"/>
            <w:tcBorders>
              <w:top w:val="nil"/>
              <w:left w:val="nil"/>
              <w:bottom w:val="nil"/>
              <w:right w:val="nil"/>
            </w:tcBorders>
            <w:hideMark/>
          </w:tcPr>
          <w:p w14:paraId="247DB2C2" w14:textId="77777777" w:rsidR="00434810" w:rsidRPr="00257F28" w:rsidRDefault="00434810" w:rsidP="00780238">
            <w:pPr>
              <w:spacing w:after="0" w:line="256" w:lineRule="auto"/>
              <w:jc w:val="left"/>
              <w:rPr>
                <w:rFonts w:cstheme="minorHAnsi"/>
                <w:sz w:val="20"/>
                <w:szCs w:val="20"/>
              </w:rPr>
            </w:pPr>
            <w:r w:rsidRPr="00257F28">
              <w:rPr>
                <w:rFonts w:cstheme="minorHAnsi"/>
                <w:sz w:val="20"/>
                <w:szCs w:val="20"/>
              </w:rPr>
              <w:t>27,732 (58%)</w:t>
            </w:r>
          </w:p>
        </w:tc>
      </w:tr>
      <w:tr w:rsidR="00434810" w:rsidRPr="00257F28" w14:paraId="78938753" w14:textId="77777777" w:rsidTr="00CE03C3">
        <w:trPr>
          <w:trHeight w:val="20"/>
        </w:trPr>
        <w:tc>
          <w:tcPr>
            <w:tcW w:w="3152" w:type="pct"/>
            <w:tcBorders>
              <w:top w:val="nil"/>
              <w:left w:val="nil"/>
              <w:bottom w:val="nil"/>
              <w:right w:val="nil"/>
            </w:tcBorders>
            <w:hideMark/>
          </w:tcPr>
          <w:p w14:paraId="6E604DAE" w14:textId="6369ACEA" w:rsidR="00434810" w:rsidRPr="00257F28" w:rsidRDefault="00434810" w:rsidP="00780238">
            <w:pPr>
              <w:tabs>
                <w:tab w:val="left" w:pos="285"/>
              </w:tabs>
              <w:spacing w:after="0" w:line="256" w:lineRule="auto"/>
              <w:jc w:val="left"/>
              <w:rPr>
                <w:rFonts w:cstheme="minorHAnsi"/>
                <w:sz w:val="20"/>
                <w:szCs w:val="20"/>
              </w:rPr>
            </w:pPr>
            <w:r w:rsidRPr="00257F28">
              <w:rPr>
                <w:rFonts w:cstheme="minorHAnsi"/>
                <w:sz w:val="20"/>
                <w:szCs w:val="20"/>
              </w:rPr>
              <w:tab/>
              <w:t>Buprenorphine</w:t>
            </w:r>
            <w:r w:rsidR="00986146">
              <w:rPr>
                <w:rFonts w:cstheme="minorHAnsi"/>
                <w:sz w:val="20"/>
                <w:szCs w:val="20"/>
              </w:rPr>
              <w:t xml:space="preserve"> (all formulations)</w:t>
            </w:r>
          </w:p>
        </w:tc>
        <w:tc>
          <w:tcPr>
            <w:tcW w:w="1848" w:type="pct"/>
            <w:tcBorders>
              <w:top w:val="nil"/>
              <w:left w:val="nil"/>
              <w:bottom w:val="nil"/>
              <w:right w:val="nil"/>
            </w:tcBorders>
            <w:hideMark/>
          </w:tcPr>
          <w:p w14:paraId="7F90FEFF" w14:textId="346495CF" w:rsidR="00434810" w:rsidRPr="00257F28" w:rsidRDefault="00434810" w:rsidP="00780238">
            <w:pPr>
              <w:spacing w:after="0" w:line="256" w:lineRule="auto"/>
              <w:jc w:val="left"/>
              <w:rPr>
                <w:rFonts w:cstheme="minorHAnsi"/>
                <w:sz w:val="20"/>
                <w:szCs w:val="20"/>
              </w:rPr>
            </w:pPr>
            <w:r w:rsidRPr="00257F28">
              <w:rPr>
                <w:rFonts w:cstheme="minorHAnsi"/>
                <w:sz w:val="20"/>
                <w:szCs w:val="20"/>
              </w:rPr>
              <w:t>1</w:t>
            </w:r>
            <w:r w:rsidR="00681BBC">
              <w:rPr>
                <w:rFonts w:cstheme="minorHAnsi"/>
                <w:sz w:val="20"/>
                <w:szCs w:val="20"/>
              </w:rPr>
              <w:t>9</w:t>
            </w:r>
            <w:r w:rsidRPr="00257F28">
              <w:rPr>
                <w:rFonts w:cstheme="minorHAnsi"/>
                <w:sz w:val="20"/>
                <w:szCs w:val="20"/>
              </w:rPr>
              <w:t>,</w:t>
            </w:r>
            <w:r w:rsidR="00681BBC">
              <w:rPr>
                <w:rFonts w:cstheme="minorHAnsi"/>
                <w:sz w:val="20"/>
                <w:szCs w:val="20"/>
              </w:rPr>
              <w:t>831</w:t>
            </w:r>
            <w:r w:rsidRPr="00257F28">
              <w:rPr>
                <w:rFonts w:cstheme="minorHAnsi"/>
                <w:sz w:val="20"/>
                <w:szCs w:val="20"/>
              </w:rPr>
              <w:t xml:space="preserve"> (</w:t>
            </w:r>
            <w:r w:rsidR="00681BBC">
              <w:rPr>
                <w:rFonts w:cstheme="minorHAnsi"/>
                <w:sz w:val="20"/>
                <w:szCs w:val="20"/>
              </w:rPr>
              <w:t>42</w:t>
            </w:r>
            <w:r w:rsidRPr="00257F28">
              <w:rPr>
                <w:rFonts w:cstheme="minorHAnsi"/>
                <w:sz w:val="20"/>
                <w:szCs w:val="20"/>
              </w:rPr>
              <w:t>%)</w:t>
            </w:r>
          </w:p>
        </w:tc>
      </w:tr>
      <w:tr w:rsidR="00434810" w:rsidRPr="00257F28" w14:paraId="15BC1925" w14:textId="77777777" w:rsidTr="00CE03C3">
        <w:trPr>
          <w:trHeight w:val="20"/>
        </w:trPr>
        <w:tc>
          <w:tcPr>
            <w:tcW w:w="3152" w:type="pct"/>
            <w:tcBorders>
              <w:top w:val="nil"/>
              <w:left w:val="nil"/>
              <w:bottom w:val="nil"/>
              <w:right w:val="nil"/>
            </w:tcBorders>
            <w:hideMark/>
          </w:tcPr>
          <w:p w14:paraId="27E03CFB" w14:textId="6E4BAC5A" w:rsidR="00434810" w:rsidRPr="00257F28" w:rsidRDefault="00434810" w:rsidP="00780238">
            <w:pPr>
              <w:tabs>
                <w:tab w:val="left" w:pos="285"/>
              </w:tabs>
              <w:spacing w:after="0" w:line="256" w:lineRule="auto"/>
              <w:jc w:val="left"/>
              <w:rPr>
                <w:rFonts w:cstheme="minorHAnsi"/>
                <w:b/>
                <w:sz w:val="20"/>
                <w:szCs w:val="20"/>
              </w:rPr>
            </w:pPr>
            <w:r w:rsidRPr="00257F28">
              <w:rPr>
                <w:rFonts w:cstheme="minorHAnsi"/>
                <w:b/>
                <w:sz w:val="20"/>
                <w:szCs w:val="20"/>
              </w:rPr>
              <w:t>Age, median [IQR]</w:t>
            </w:r>
            <w:r w:rsidR="002565E6" w:rsidRPr="00BF2586">
              <w:rPr>
                <w:rFonts w:cstheme="minorHAnsi"/>
                <w:b/>
                <w:sz w:val="20"/>
                <w:szCs w:val="20"/>
              </w:rPr>
              <w:fldChar w:fldCharType="begin"/>
            </w:r>
            <w:r w:rsidR="002565E6">
              <w:rPr>
                <w:rFonts w:cstheme="minorHAnsi"/>
                <w:b/>
                <w:sz w:val="20"/>
                <w:szCs w:val="20"/>
              </w:rPr>
              <w:instrText xml:space="preserve"> ADDIN EN.CITE &lt;EndNote&gt;&lt;Cite&gt;&lt;Author&gt;Australian Institute of Health and Welfare&lt;/Author&gt;&lt;Year&gt;2022&lt;/Year&gt;&lt;RecNum&gt;20&lt;/RecNum&gt;&lt;DisplayText&gt;&lt;style face="superscript"&gt;20&lt;/style&gt;&lt;/DisplayText&gt;&lt;record&gt;&lt;rec-number&gt;20&lt;/rec-number&gt;&lt;foreign-keys&gt;&lt;key app="EN" db-id="xssz590sx9vzw4ewpzdv0s5sret50aexdtd9" timestamp="1668645325"&gt;20&lt;/key&gt;&lt;/foreign-keys&gt;&lt;ref-type name="Report"&gt;27&lt;/ref-type&gt;&lt;contributors&gt;&lt;authors&gt;&lt;author&gt;Australian Institute of Health and Welfare,&lt;/author&gt;&lt;/authors&gt;&lt;/contributors&gt;&lt;titles&gt;&lt;title&gt;NOPSAD collection: Supplementary Table S5.&lt;/title&gt;&lt;/titles&gt;&lt;volume&gt;Cat. no. PHE 266&lt;/volume&gt;&lt;dates&gt;&lt;year&gt;2022&lt;/year&gt;&lt;pub-dates&gt;&lt;date&gt;2022/11/21&lt;/date&gt;&lt;/pub-dates&gt;&lt;/dates&gt;&lt;pub-location&gt;Canberra&lt;/pub-location&gt;&lt;publisher&gt;AIHW&lt;/publisher&gt;&lt;label&gt;BibEntry2022Feb&lt;/label&gt;&lt;urls&gt;&lt;related-urls&gt;&lt;url&gt;https://www.aihw.gov.au/reports/alcohol-other-drug-treatment-services/national-opioidpharmacotherapy-statistics&lt;/url&gt;&lt;/related-urls&gt;&lt;/urls&gt;&lt;language&gt;English&lt;/language&gt;&lt;/record&gt;&lt;/Cite&gt;&lt;/EndNote&gt;</w:instrText>
            </w:r>
            <w:r w:rsidR="002565E6" w:rsidRPr="00BF2586">
              <w:rPr>
                <w:rFonts w:cstheme="minorHAnsi"/>
                <w:b/>
                <w:sz w:val="20"/>
                <w:szCs w:val="20"/>
              </w:rPr>
              <w:fldChar w:fldCharType="separate"/>
            </w:r>
            <w:r w:rsidR="002565E6" w:rsidRPr="00646D54">
              <w:rPr>
                <w:rFonts w:cstheme="minorHAnsi"/>
                <w:b/>
                <w:noProof/>
                <w:sz w:val="20"/>
                <w:szCs w:val="20"/>
                <w:vertAlign w:val="superscript"/>
              </w:rPr>
              <w:t>20</w:t>
            </w:r>
            <w:r w:rsidR="002565E6" w:rsidRPr="00BF2586">
              <w:rPr>
                <w:rFonts w:cstheme="minorHAnsi"/>
                <w:b/>
                <w:sz w:val="20"/>
                <w:szCs w:val="20"/>
              </w:rPr>
              <w:fldChar w:fldCharType="end"/>
            </w:r>
          </w:p>
        </w:tc>
        <w:tc>
          <w:tcPr>
            <w:tcW w:w="1848" w:type="pct"/>
            <w:tcBorders>
              <w:top w:val="nil"/>
              <w:left w:val="nil"/>
              <w:bottom w:val="nil"/>
              <w:right w:val="nil"/>
            </w:tcBorders>
            <w:hideMark/>
          </w:tcPr>
          <w:p w14:paraId="60902A85" w14:textId="77777777" w:rsidR="00434810" w:rsidRPr="00257F28" w:rsidRDefault="00434810" w:rsidP="00780238">
            <w:pPr>
              <w:spacing w:after="0" w:line="256" w:lineRule="auto"/>
              <w:jc w:val="left"/>
              <w:rPr>
                <w:rFonts w:cstheme="minorHAnsi"/>
                <w:sz w:val="20"/>
                <w:szCs w:val="20"/>
              </w:rPr>
            </w:pPr>
            <w:r w:rsidRPr="00257F28">
              <w:rPr>
                <w:rFonts w:cstheme="minorHAnsi"/>
                <w:sz w:val="20"/>
                <w:szCs w:val="20"/>
              </w:rPr>
              <w:t>44 [N/A]</w:t>
            </w:r>
          </w:p>
        </w:tc>
      </w:tr>
      <w:tr w:rsidR="00434810" w:rsidRPr="00257F28" w14:paraId="7D5F5702" w14:textId="77777777" w:rsidTr="00CE03C3">
        <w:trPr>
          <w:trHeight w:val="20"/>
        </w:trPr>
        <w:tc>
          <w:tcPr>
            <w:tcW w:w="3152" w:type="pct"/>
            <w:tcBorders>
              <w:top w:val="nil"/>
              <w:left w:val="nil"/>
              <w:bottom w:val="nil"/>
              <w:right w:val="nil"/>
            </w:tcBorders>
            <w:hideMark/>
          </w:tcPr>
          <w:p w14:paraId="6C1D5856" w14:textId="2D8B2214" w:rsidR="00434810" w:rsidRPr="00257F28" w:rsidRDefault="00434810" w:rsidP="00780238">
            <w:pPr>
              <w:tabs>
                <w:tab w:val="left" w:pos="285"/>
              </w:tabs>
              <w:spacing w:after="0" w:line="256" w:lineRule="auto"/>
              <w:jc w:val="left"/>
              <w:rPr>
                <w:rFonts w:cstheme="minorHAnsi"/>
                <w:b/>
                <w:sz w:val="20"/>
                <w:szCs w:val="20"/>
              </w:rPr>
            </w:pPr>
            <w:r w:rsidRPr="00257F28">
              <w:rPr>
                <w:rFonts w:cstheme="minorHAnsi"/>
                <w:b/>
                <w:sz w:val="20"/>
                <w:szCs w:val="20"/>
              </w:rPr>
              <w:t>Age category</w:t>
            </w:r>
            <w:r w:rsidR="002565E6" w:rsidRPr="00257F28">
              <w:rPr>
                <w:rFonts w:cstheme="minorHAnsi"/>
                <w:b/>
                <w:sz w:val="20"/>
                <w:szCs w:val="20"/>
              </w:rPr>
              <w:fldChar w:fldCharType="begin"/>
            </w:r>
            <w:r w:rsidR="002565E6">
              <w:rPr>
                <w:rFonts w:cstheme="minorHAnsi"/>
                <w:b/>
                <w:sz w:val="20"/>
                <w:szCs w:val="20"/>
              </w:rPr>
              <w:instrText xml:space="preserve"> ADDIN EN.CITE &lt;EndNote&gt;&lt;Cite&gt;&lt;Author&gt;Australian Institute of Health and Welfare&lt;/Author&gt;&lt;Year&gt;2022&lt;/Year&gt;&lt;RecNum&gt;21&lt;/RecNum&gt;&lt;DisplayText&gt;&lt;style face="superscript"&gt;21&lt;/style&gt;&lt;/DisplayText&gt;&lt;record&gt;&lt;rec-number&gt;21&lt;/rec-number&gt;&lt;foreign-keys&gt;&lt;key app="EN" db-id="xssz590sx9vzw4ewpzdv0s5sret50aexdtd9" timestamp="1668645330"&gt;21&lt;/key&gt;&lt;/foreign-keys&gt;&lt;ref-type name="Report"&gt;27&lt;/ref-type&gt;&lt;contributors&gt;&lt;authors&gt;&lt;author&gt;Australian Institute of Health and Welfare,&lt;/author&gt;&lt;/authors&gt;&lt;/contributors&gt;&lt;titles&gt;&lt;title&gt;NOPSAD collection: Supplementary Table S6.&lt;/title&gt;&lt;/titles&gt;&lt;volume&gt;Cat. no. PHE 266&lt;/volume&gt;&lt;dates&gt;&lt;year&gt;2022&lt;/year&gt;&lt;pub-dates&gt;&lt;date&gt;2022/11/21/&lt;/date&gt;&lt;/pub-dates&gt;&lt;/dates&gt;&lt;pub-location&gt;Canberra&lt;/pub-location&gt;&lt;publisher&gt;AIHW&lt;/publisher&gt;&lt;label&gt;BibEntry2022Feb&lt;/label&gt;&lt;urls&gt;&lt;related-urls&gt;&lt;url&gt;https://www.aihw.gov.au/reports/alcohol-other-drug-treatment-services/national-opioidpharmacotherapy-statistics&lt;/url&gt;&lt;/related-urls&gt;&lt;/urls&gt;&lt;language&gt;English&lt;/language&gt;&lt;/record&gt;&lt;/Cite&gt;&lt;/EndNote&gt;</w:instrText>
            </w:r>
            <w:r w:rsidR="002565E6" w:rsidRPr="00257F28">
              <w:rPr>
                <w:rFonts w:cstheme="minorHAnsi"/>
                <w:b/>
                <w:sz w:val="20"/>
                <w:szCs w:val="20"/>
              </w:rPr>
              <w:fldChar w:fldCharType="separate"/>
            </w:r>
            <w:r w:rsidR="002565E6" w:rsidRPr="00646D54">
              <w:rPr>
                <w:rFonts w:cstheme="minorHAnsi"/>
                <w:b/>
                <w:noProof/>
                <w:sz w:val="20"/>
                <w:szCs w:val="20"/>
                <w:vertAlign w:val="superscript"/>
              </w:rPr>
              <w:t>21</w:t>
            </w:r>
            <w:r w:rsidR="002565E6" w:rsidRPr="00257F28">
              <w:rPr>
                <w:rFonts w:cstheme="minorHAnsi"/>
                <w:b/>
                <w:sz w:val="20"/>
                <w:szCs w:val="20"/>
              </w:rPr>
              <w:fldChar w:fldCharType="end"/>
            </w:r>
          </w:p>
        </w:tc>
        <w:tc>
          <w:tcPr>
            <w:tcW w:w="1848" w:type="pct"/>
            <w:tcBorders>
              <w:top w:val="nil"/>
              <w:left w:val="nil"/>
              <w:bottom w:val="nil"/>
              <w:right w:val="nil"/>
            </w:tcBorders>
          </w:tcPr>
          <w:p w14:paraId="3CD2C86A" w14:textId="77777777" w:rsidR="00434810" w:rsidRPr="00257F28" w:rsidRDefault="00434810" w:rsidP="00780238">
            <w:pPr>
              <w:spacing w:after="0" w:line="256" w:lineRule="auto"/>
              <w:jc w:val="left"/>
              <w:rPr>
                <w:rFonts w:cstheme="minorHAnsi"/>
                <w:b/>
                <w:sz w:val="20"/>
                <w:szCs w:val="20"/>
              </w:rPr>
            </w:pPr>
          </w:p>
        </w:tc>
      </w:tr>
      <w:tr w:rsidR="00434810" w:rsidRPr="00257F28" w14:paraId="65BAF53E" w14:textId="77777777" w:rsidTr="00CE03C3">
        <w:trPr>
          <w:trHeight w:val="20"/>
        </w:trPr>
        <w:tc>
          <w:tcPr>
            <w:tcW w:w="3152" w:type="pct"/>
            <w:tcBorders>
              <w:top w:val="nil"/>
              <w:left w:val="nil"/>
              <w:bottom w:val="nil"/>
              <w:right w:val="nil"/>
            </w:tcBorders>
            <w:hideMark/>
          </w:tcPr>
          <w:p w14:paraId="4D99D306" w14:textId="77777777" w:rsidR="00434810" w:rsidRPr="00257F28" w:rsidRDefault="00434810" w:rsidP="00780238">
            <w:pPr>
              <w:tabs>
                <w:tab w:val="left" w:pos="285"/>
              </w:tabs>
              <w:spacing w:after="0" w:line="256" w:lineRule="auto"/>
              <w:ind w:left="285"/>
              <w:jc w:val="left"/>
              <w:rPr>
                <w:rFonts w:cstheme="minorHAnsi"/>
                <w:sz w:val="20"/>
                <w:szCs w:val="20"/>
              </w:rPr>
            </w:pPr>
            <w:r w:rsidRPr="00257F28">
              <w:rPr>
                <w:sz w:val="20"/>
                <w:szCs w:val="20"/>
              </w:rPr>
              <w:t>Under 30 years</w:t>
            </w:r>
          </w:p>
        </w:tc>
        <w:tc>
          <w:tcPr>
            <w:tcW w:w="1848" w:type="pct"/>
            <w:tcBorders>
              <w:top w:val="nil"/>
              <w:left w:val="nil"/>
              <w:bottom w:val="nil"/>
              <w:right w:val="nil"/>
            </w:tcBorders>
            <w:vAlign w:val="center"/>
            <w:hideMark/>
          </w:tcPr>
          <w:p w14:paraId="21416B38" w14:textId="77777777" w:rsidR="00434810" w:rsidRPr="00257F28" w:rsidRDefault="00434810" w:rsidP="00780238">
            <w:pPr>
              <w:spacing w:after="0" w:line="256" w:lineRule="auto"/>
              <w:jc w:val="left"/>
              <w:rPr>
                <w:rFonts w:cstheme="minorHAnsi"/>
                <w:sz w:val="20"/>
                <w:szCs w:val="20"/>
              </w:rPr>
            </w:pPr>
            <w:r w:rsidRPr="00257F28">
              <w:rPr>
                <w:rFonts w:cstheme="minorHAnsi"/>
                <w:sz w:val="20"/>
                <w:szCs w:val="20"/>
              </w:rPr>
              <w:t>3,824 (8%)</w:t>
            </w:r>
          </w:p>
        </w:tc>
      </w:tr>
      <w:tr w:rsidR="00434810" w:rsidRPr="00257F28" w14:paraId="657B8971" w14:textId="77777777" w:rsidTr="00CE03C3">
        <w:trPr>
          <w:trHeight w:val="20"/>
        </w:trPr>
        <w:tc>
          <w:tcPr>
            <w:tcW w:w="3152" w:type="pct"/>
            <w:tcBorders>
              <w:top w:val="nil"/>
              <w:left w:val="nil"/>
              <w:bottom w:val="nil"/>
              <w:right w:val="nil"/>
            </w:tcBorders>
            <w:hideMark/>
          </w:tcPr>
          <w:p w14:paraId="505F4AAD" w14:textId="77777777" w:rsidR="00434810" w:rsidRPr="00257F28" w:rsidRDefault="00434810" w:rsidP="00780238">
            <w:pPr>
              <w:tabs>
                <w:tab w:val="left" w:pos="285"/>
              </w:tabs>
              <w:spacing w:after="0" w:line="256" w:lineRule="auto"/>
              <w:ind w:left="285"/>
              <w:jc w:val="left"/>
              <w:rPr>
                <w:sz w:val="20"/>
                <w:szCs w:val="20"/>
              </w:rPr>
            </w:pPr>
            <w:r w:rsidRPr="00257F28">
              <w:rPr>
                <w:sz w:val="20"/>
                <w:szCs w:val="20"/>
              </w:rPr>
              <w:t>30-39 years</w:t>
            </w:r>
          </w:p>
        </w:tc>
        <w:tc>
          <w:tcPr>
            <w:tcW w:w="1848" w:type="pct"/>
            <w:tcBorders>
              <w:top w:val="nil"/>
              <w:left w:val="nil"/>
              <w:bottom w:val="nil"/>
              <w:right w:val="nil"/>
            </w:tcBorders>
            <w:vAlign w:val="center"/>
            <w:hideMark/>
          </w:tcPr>
          <w:p w14:paraId="72C0B20D" w14:textId="77777777" w:rsidR="00434810" w:rsidRPr="00257F28" w:rsidRDefault="00434810" w:rsidP="00780238">
            <w:pPr>
              <w:spacing w:after="0" w:line="256" w:lineRule="auto"/>
              <w:jc w:val="left"/>
              <w:rPr>
                <w:rFonts w:cstheme="minorHAnsi"/>
                <w:sz w:val="20"/>
                <w:szCs w:val="20"/>
              </w:rPr>
            </w:pPr>
            <w:r w:rsidRPr="00257F28">
              <w:rPr>
                <w:rFonts w:cstheme="minorHAnsi"/>
                <w:sz w:val="20"/>
                <w:szCs w:val="20"/>
              </w:rPr>
              <w:t>11,479 (24%)</w:t>
            </w:r>
          </w:p>
        </w:tc>
      </w:tr>
      <w:tr w:rsidR="00434810" w:rsidRPr="00257F28" w14:paraId="6C4C6966" w14:textId="77777777" w:rsidTr="00CE03C3">
        <w:trPr>
          <w:trHeight w:val="20"/>
        </w:trPr>
        <w:tc>
          <w:tcPr>
            <w:tcW w:w="3152" w:type="pct"/>
            <w:tcBorders>
              <w:top w:val="nil"/>
              <w:left w:val="nil"/>
              <w:bottom w:val="nil"/>
              <w:right w:val="nil"/>
            </w:tcBorders>
            <w:hideMark/>
          </w:tcPr>
          <w:p w14:paraId="4F54A378" w14:textId="77777777" w:rsidR="00434810" w:rsidRPr="00257F28" w:rsidRDefault="00434810" w:rsidP="00780238">
            <w:pPr>
              <w:tabs>
                <w:tab w:val="left" w:pos="285"/>
              </w:tabs>
              <w:spacing w:after="0" w:line="256" w:lineRule="auto"/>
              <w:ind w:left="285"/>
              <w:jc w:val="left"/>
              <w:rPr>
                <w:rFonts w:cstheme="minorHAnsi"/>
                <w:sz w:val="20"/>
                <w:szCs w:val="20"/>
              </w:rPr>
            </w:pPr>
            <w:r w:rsidRPr="00257F28">
              <w:rPr>
                <w:sz w:val="20"/>
                <w:szCs w:val="20"/>
              </w:rPr>
              <w:t>40-49 years</w:t>
            </w:r>
          </w:p>
        </w:tc>
        <w:tc>
          <w:tcPr>
            <w:tcW w:w="1848" w:type="pct"/>
            <w:tcBorders>
              <w:top w:val="nil"/>
              <w:left w:val="nil"/>
              <w:bottom w:val="nil"/>
              <w:right w:val="nil"/>
            </w:tcBorders>
            <w:vAlign w:val="center"/>
            <w:hideMark/>
          </w:tcPr>
          <w:p w14:paraId="7D101040" w14:textId="77777777" w:rsidR="00434810" w:rsidRPr="00257F28" w:rsidRDefault="00434810" w:rsidP="00780238">
            <w:pPr>
              <w:spacing w:after="0" w:line="256" w:lineRule="auto"/>
              <w:jc w:val="left"/>
              <w:rPr>
                <w:rFonts w:cstheme="minorHAnsi"/>
                <w:sz w:val="20"/>
                <w:szCs w:val="20"/>
              </w:rPr>
            </w:pPr>
            <w:r w:rsidRPr="00257F28">
              <w:rPr>
                <w:rFonts w:cstheme="minorHAnsi"/>
                <w:sz w:val="20"/>
                <w:szCs w:val="20"/>
              </w:rPr>
              <w:t>16,963 (36%)</w:t>
            </w:r>
          </w:p>
        </w:tc>
      </w:tr>
      <w:tr w:rsidR="00434810" w:rsidRPr="00257F28" w14:paraId="1D234FE7" w14:textId="77777777" w:rsidTr="00CE03C3">
        <w:trPr>
          <w:trHeight w:val="20"/>
        </w:trPr>
        <w:tc>
          <w:tcPr>
            <w:tcW w:w="3152" w:type="pct"/>
            <w:tcBorders>
              <w:top w:val="nil"/>
              <w:left w:val="nil"/>
              <w:bottom w:val="nil"/>
              <w:right w:val="nil"/>
            </w:tcBorders>
            <w:hideMark/>
          </w:tcPr>
          <w:p w14:paraId="4A745B86" w14:textId="77777777" w:rsidR="00434810" w:rsidRPr="00257F28" w:rsidRDefault="00434810" w:rsidP="00780238">
            <w:pPr>
              <w:tabs>
                <w:tab w:val="left" w:pos="285"/>
              </w:tabs>
              <w:spacing w:after="0"/>
              <w:ind w:left="285"/>
              <w:jc w:val="left"/>
              <w:rPr>
                <w:sz w:val="20"/>
                <w:szCs w:val="20"/>
              </w:rPr>
            </w:pPr>
            <w:r w:rsidRPr="00257F28">
              <w:rPr>
                <w:sz w:val="20"/>
                <w:szCs w:val="20"/>
              </w:rPr>
              <w:t>50-59 years</w:t>
            </w:r>
          </w:p>
        </w:tc>
        <w:tc>
          <w:tcPr>
            <w:tcW w:w="1848" w:type="pct"/>
            <w:tcBorders>
              <w:top w:val="nil"/>
              <w:left w:val="nil"/>
              <w:bottom w:val="nil"/>
              <w:right w:val="nil"/>
            </w:tcBorders>
            <w:vAlign w:val="center"/>
            <w:hideMark/>
          </w:tcPr>
          <w:p w14:paraId="6CE80C0D" w14:textId="77777777" w:rsidR="00434810" w:rsidRPr="00257F28" w:rsidRDefault="00434810" w:rsidP="00780238">
            <w:pPr>
              <w:spacing w:after="0"/>
              <w:jc w:val="left"/>
              <w:rPr>
                <w:rFonts w:cstheme="minorHAnsi"/>
                <w:sz w:val="20"/>
                <w:szCs w:val="20"/>
              </w:rPr>
            </w:pPr>
            <w:r w:rsidRPr="00257F28">
              <w:rPr>
                <w:rFonts w:cstheme="minorHAnsi"/>
                <w:sz w:val="20"/>
                <w:szCs w:val="20"/>
              </w:rPr>
              <w:t>10,276 (22%)</w:t>
            </w:r>
          </w:p>
        </w:tc>
      </w:tr>
      <w:tr w:rsidR="00434810" w:rsidRPr="00257F28" w14:paraId="51BE0104" w14:textId="77777777" w:rsidTr="00CE03C3">
        <w:trPr>
          <w:trHeight w:val="20"/>
        </w:trPr>
        <w:tc>
          <w:tcPr>
            <w:tcW w:w="3152" w:type="pct"/>
            <w:tcBorders>
              <w:top w:val="nil"/>
              <w:left w:val="nil"/>
              <w:bottom w:val="nil"/>
              <w:right w:val="nil"/>
            </w:tcBorders>
            <w:hideMark/>
          </w:tcPr>
          <w:p w14:paraId="6EBD0A16" w14:textId="77777777" w:rsidR="00434810" w:rsidRPr="00257F28" w:rsidRDefault="00434810" w:rsidP="00780238">
            <w:pPr>
              <w:tabs>
                <w:tab w:val="left" w:pos="285"/>
              </w:tabs>
              <w:spacing w:after="0" w:line="256" w:lineRule="auto"/>
              <w:ind w:left="285"/>
              <w:jc w:val="left"/>
              <w:rPr>
                <w:rFonts w:cstheme="minorHAnsi"/>
                <w:sz w:val="20"/>
                <w:szCs w:val="20"/>
              </w:rPr>
            </w:pPr>
            <w:r w:rsidRPr="00257F28">
              <w:rPr>
                <w:sz w:val="20"/>
                <w:szCs w:val="20"/>
              </w:rPr>
              <w:t>60 and over</w:t>
            </w:r>
          </w:p>
        </w:tc>
        <w:tc>
          <w:tcPr>
            <w:tcW w:w="1848" w:type="pct"/>
            <w:tcBorders>
              <w:top w:val="nil"/>
              <w:left w:val="nil"/>
              <w:bottom w:val="nil"/>
              <w:right w:val="nil"/>
            </w:tcBorders>
            <w:hideMark/>
          </w:tcPr>
          <w:p w14:paraId="6538DE88" w14:textId="77777777" w:rsidR="00434810" w:rsidRPr="00257F28" w:rsidRDefault="00434810" w:rsidP="00780238">
            <w:pPr>
              <w:spacing w:after="0" w:line="256" w:lineRule="auto"/>
              <w:jc w:val="left"/>
              <w:rPr>
                <w:sz w:val="20"/>
                <w:szCs w:val="20"/>
              </w:rPr>
            </w:pPr>
            <w:r w:rsidRPr="00257F28">
              <w:rPr>
                <w:sz w:val="20"/>
                <w:szCs w:val="20"/>
              </w:rPr>
              <w:t>5,020 (11%)</w:t>
            </w:r>
          </w:p>
        </w:tc>
      </w:tr>
      <w:tr w:rsidR="00434810" w:rsidRPr="00257F28" w14:paraId="7E79CCD8" w14:textId="77777777" w:rsidTr="00CE03C3">
        <w:trPr>
          <w:trHeight w:val="20"/>
        </w:trPr>
        <w:tc>
          <w:tcPr>
            <w:tcW w:w="3152" w:type="pct"/>
            <w:tcBorders>
              <w:top w:val="nil"/>
              <w:left w:val="nil"/>
              <w:bottom w:val="nil"/>
              <w:right w:val="nil"/>
            </w:tcBorders>
            <w:hideMark/>
          </w:tcPr>
          <w:p w14:paraId="0139C8BB" w14:textId="214F50C5" w:rsidR="00434810" w:rsidRPr="00257F28" w:rsidRDefault="00434810" w:rsidP="00780238">
            <w:pPr>
              <w:tabs>
                <w:tab w:val="left" w:pos="285"/>
              </w:tabs>
              <w:spacing w:after="0" w:line="256" w:lineRule="auto"/>
              <w:jc w:val="left"/>
              <w:rPr>
                <w:rFonts w:cstheme="minorHAnsi"/>
                <w:b/>
                <w:sz w:val="20"/>
                <w:szCs w:val="20"/>
              </w:rPr>
            </w:pPr>
            <w:r w:rsidRPr="00257F28">
              <w:rPr>
                <w:rFonts w:cstheme="minorHAnsi"/>
                <w:b/>
                <w:sz w:val="20"/>
                <w:szCs w:val="20"/>
              </w:rPr>
              <w:t>Sex</w:t>
            </w:r>
            <w:r w:rsidR="002565E6" w:rsidRPr="00257F28">
              <w:rPr>
                <w:rFonts w:cstheme="minorHAnsi"/>
                <w:b/>
                <w:sz w:val="20"/>
                <w:szCs w:val="20"/>
              </w:rPr>
              <w:fldChar w:fldCharType="begin"/>
            </w:r>
            <w:r w:rsidR="002565E6">
              <w:rPr>
                <w:rFonts w:cstheme="minorHAnsi"/>
                <w:b/>
                <w:sz w:val="20"/>
                <w:szCs w:val="20"/>
              </w:rPr>
              <w:instrText xml:space="preserve"> ADDIN EN.CITE &lt;EndNote&gt;&lt;Cite&gt;&lt;Author&gt;Australian Institute of Health and Welfare&lt;/Author&gt;&lt;Year&gt;2022&lt;/Year&gt;&lt;RecNum&gt;22&lt;/RecNum&gt;&lt;DisplayText&gt;&lt;style face="superscript"&gt;22&lt;/style&gt;&lt;/DisplayText&gt;&lt;record&gt;&lt;rec-number&gt;22&lt;/rec-number&gt;&lt;foreign-keys&gt;&lt;key app="EN" db-id="xssz590sx9vzw4ewpzdv0s5sret50aexdtd9" timestamp="1668645334"&gt;22&lt;/key&gt;&lt;/foreign-keys&gt;&lt;ref-type name="Report"&gt;27&lt;/ref-type&gt;&lt;contributors&gt;&lt;authors&gt;&lt;author&gt;Australian Institute of Health and Welfare,&lt;/author&gt;&lt;/authors&gt;&lt;/contributors&gt;&lt;titles&gt;&lt;title&gt;NOPSAD collection: Supplementary Table S7.&lt;/title&gt;&lt;/titles&gt;&lt;volume&gt;Cat. no. PHE 266&lt;/volume&gt;&lt;dates&gt;&lt;year&gt;2022&lt;/year&gt;&lt;pub-dates&gt;&lt;date&gt;2022/11/21/&lt;/date&gt;&lt;/pub-dates&gt;&lt;/dates&gt;&lt;pub-location&gt;Canberra&lt;/pub-location&gt;&lt;publisher&gt;AIHW&lt;/publisher&gt;&lt;label&gt;BibEntry2022Feb&lt;/label&gt;&lt;urls&gt;&lt;related-urls&gt;&lt;url&gt;https://www.aihw.gov.au/reports/alcohol-other-drug-treatment-services/national-opioidpharmacotherapy-statistics&lt;/url&gt;&lt;/related-urls&gt;&lt;/urls&gt;&lt;language&gt;English&lt;/language&gt;&lt;/record&gt;&lt;/Cite&gt;&lt;/EndNote&gt;</w:instrText>
            </w:r>
            <w:r w:rsidR="002565E6" w:rsidRPr="00257F28">
              <w:rPr>
                <w:rFonts w:cstheme="minorHAnsi"/>
                <w:b/>
                <w:sz w:val="20"/>
                <w:szCs w:val="20"/>
              </w:rPr>
              <w:fldChar w:fldCharType="separate"/>
            </w:r>
            <w:r w:rsidR="002565E6" w:rsidRPr="00646D54">
              <w:rPr>
                <w:rFonts w:cstheme="minorHAnsi"/>
                <w:b/>
                <w:noProof/>
                <w:sz w:val="20"/>
                <w:szCs w:val="20"/>
                <w:vertAlign w:val="superscript"/>
              </w:rPr>
              <w:t>22</w:t>
            </w:r>
            <w:r w:rsidR="002565E6" w:rsidRPr="00257F28">
              <w:rPr>
                <w:rFonts w:cstheme="minorHAnsi"/>
                <w:b/>
                <w:sz w:val="20"/>
                <w:szCs w:val="20"/>
              </w:rPr>
              <w:fldChar w:fldCharType="end"/>
            </w:r>
          </w:p>
          <w:p w14:paraId="20D64BFB" w14:textId="77777777" w:rsidR="00434810" w:rsidRPr="00257F28" w:rsidRDefault="00434810" w:rsidP="00780238">
            <w:pPr>
              <w:tabs>
                <w:tab w:val="left" w:pos="285"/>
              </w:tabs>
              <w:spacing w:after="0" w:line="256" w:lineRule="auto"/>
              <w:jc w:val="left"/>
              <w:rPr>
                <w:rFonts w:cstheme="minorHAnsi"/>
                <w:sz w:val="20"/>
                <w:szCs w:val="20"/>
              </w:rPr>
            </w:pPr>
            <w:r w:rsidRPr="00257F28">
              <w:rPr>
                <w:rFonts w:cstheme="minorHAnsi"/>
                <w:sz w:val="20"/>
                <w:szCs w:val="20"/>
              </w:rPr>
              <w:t xml:space="preserve">       Women</w:t>
            </w:r>
          </w:p>
        </w:tc>
        <w:tc>
          <w:tcPr>
            <w:tcW w:w="1848" w:type="pct"/>
            <w:tcBorders>
              <w:top w:val="nil"/>
              <w:left w:val="nil"/>
              <w:bottom w:val="nil"/>
              <w:right w:val="nil"/>
            </w:tcBorders>
          </w:tcPr>
          <w:p w14:paraId="582DAFCE" w14:textId="77777777" w:rsidR="00434810" w:rsidRPr="00257F28" w:rsidRDefault="00434810" w:rsidP="00780238">
            <w:pPr>
              <w:spacing w:after="0" w:line="256" w:lineRule="auto"/>
              <w:jc w:val="left"/>
              <w:rPr>
                <w:rFonts w:cstheme="minorHAnsi"/>
                <w:sz w:val="20"/>
                <w:szCs w:val="20"/>
              </w:rPr>
            </w:pPr>
          </w:p>
          <w:p w14:paraId="6BBE4C16" w14:textId="77777777" w:rsidR="00434810" w:rsidRPr="00257F28" w:rsidRDefault="00434810" w:rsidP="00780238">
            <w:pPr>
              <w:spacing w:after="0" w:line="256" w:lineRule="auto"/>
              <w:jc w:val="left"/>
              <w:rPr>
                <w:rFonts w:cstheme="minorHAnsi"/>
                <w:sz w:val="20"/>
                <w:szCs w:val="20"/>
              </w:rPr>
            </w:pPr>
            <w:r w:rsidRPr="00257F28">
              <w:rPr>
                <w:rFonts w:cstheme="minorHAnsi"/>
                <w:sz w:val="20"/>
                <w:szCs w:val="20"/>
              </w:rPr>
              <w:t>14,934 (31%)</w:t>
            </w:r>
          </w:p>
        </w:tc>
      </w:tr>
      <w:tr w:rsidR="00434810" w:rsidRPr="00257F28" w14:paraId="6DED2E37" w14:textId="77777777" w:rsidTr="00CE03C3">
        <w:trPr>
          <w:trHeight w:val="20"/>
        </w:trPr>
        <w:tc>
          <w:tcPr>
            <w:tcW w:w="3152" w:type="pct"/>
            <w:tcBorders>
              <w:top w:val="nil"/>
              <w:left w:val="nil"/>
              <w:bottom w:val="nil"/>
              <w:right w:val="nil"/>
            </w:tcBorders>
            <w:hideMark/>
          </w:tcPr>
          <w:p w14:paraId="21B46731" w14:textId="77777777" w:rsidR="00434810" w:rsidRPr="00257F28" w:rsidRDefault="00434810" w:rsidP="00780238">
            <w:pPr>
              <w:tabs>
                <w:tab w:val="left" w:pos="285"/>
              </w:tabs>
              <w:spacing w:after="0" w:line="256" w:lineRule="auto"/>
              <w:jc w:val="left"/>
              <w:rPr>
                <w:rFonts w:cstheme="minorHAnsi"/>
                <w:sz w:val="20"/>
                <w:szCs w:val="20"/>
              </w:rPr>
            </w:pPr>
            <w:r w:rsidRPr="00257F28">
              <w:rPr>
                <w:rFonts w:cstheme="minorHAnsi"/>
                <w:sz w:val="20"/>
                <w:szCs w:val="20"/>
              </w:rPr>
              <w:t xml:space="preserve">       Men</w:t>
            </w:r>
          </w:p>
        </w:tc>
        <w:tc>
          <w:tcPr>
            <w:tcW w:w="1848" w:type="pct"/>
            <w:tcBorders>
              <w:top w:val="nil"/>
              <w:left w:val="nil"/>
              <w:bottom w:val="nil"/>
              <w:right w:val="nil"/>
            </w:tcBorders>
            <w:hideMark/>
          </w:tcPr>
          <w:p w14:paraId="20E78BDC" w14:textId="77777777" w:rsidR="00434810" w:rsidRPr="00257F28" w:rsidRDefault="00434810" w:rsidP="00780238">
            <w:pPr>
              <w:spacing w:after="0" w:line="256" w:lineRule="auto"/>
              <w:jc w:val="left"/>
              <w:rPr>
                <w:rFonts w:cstheme="minorHAnsi"/>
                <w:sz w:val="20"/>
                <w:szCs w:val="20"/>
              </w:rPr>
            </w:pPr>
            <w:r w:rsidRPr="00257F28">
              <w:rPr>
                <w:rFonts w:cstheme="minorHAnsi"/>
                <w:sz w:val="20"/>
                <w:szCs w:val="20"/>
              </w:rPr>
              <w:t>32,576 (69%)</w:t>
            </w:r>
          </w:p>
        </w:tc>
      </w:tr>
      <w:tr w:rsidR="00434810" w:rsidRPr="00257F28" w14:paraId="273799CE" w14:textId="77777777" w:rsidTr="00CE03C3">
        <w:trPr>
          <w:trHeight w:val="20"/>
        </w:trPr>
        <w:tc>
          <w:tcPr>
            <w:tcW w:w="3152" w:type="pct"/>
            <w:tcBorders>
              <w:top w:val="nil"/>
              <w:left w:val="nil"/>
              <w:bottom w:val="nil"/>
              <w:right w:val="nil"/>
            </w:tcBorders>
            <w:hideMark/>
          </w:tcPr>
          <w:p w14:paraId="3F12F622" w14:textId="244D8FDE" w:rsidR="00434810" w:rsidRPr="00257F28" w:rsidRDefault="00434810" w:rsidP="00780238">
            <w:pPr>
              <w:tabs>
                <w:tab w:val="left" w:pos="285"/>
              </w:tabs>
              <w:spacing w:after="0" w:line="256" w:lineRule="auto"/>
              <w:jc w:val="left"/>
              <w:rPr>
                <w:rFonts w:cstheme="minorHAnsi"/>
                <w:b/>
                <w:sz w:val="20"/>
                <w:szCs w:val="20"/>
              </w:rPr>
            </w:pPr>
            <w:r w:rsidRPr="00257F28">
              <w:rPr>
                <w:rFonts w:cstheme="minorHAnsi"/>
                <w:b/>
                <w:sz w:val="20"/>
                <w:szCs w:val="20"/>
              </w:rPr>
              <w:t>Aboriginal and/or Torres Strait Islander</w:t>
            </w:r>
            <w:r w:rsidR="002565E6" w:rsidRPr="00257F28">
              <w:rPr>
                <w:rFonts w:cstheme="minorHAnsi"/>
                <w:b/>
                <w:sz w:val="20"/>
                <w:szCs w:val="20"/>
              </w:rPr>
              <w:fldChar w:fldCharType="begin"/>
            </w:r>
            <w:r w:rsidR="002565E6">
              <w:rPr>
                <w:rFonts w:cstheme="minorHAnsi"/>
                <w:b/>
                <w:sz w:val="20"/>
                <w:szCs w:val="20"/>
              </w:rPr>
              <w:instrText xml:space="preserve"> ADDIN EN.CITE &lt;EndNote&gt;&lt;Cite&gt;&lt;Author&gt;Australian Institute of Health and Welfare&lt;/Author&gt;&lt;Year&gt;2022&lt;/Year&gt;&lt;RecNum&gt;23&lt;/RecNum&gt;&lt;DisplayText&gt;&lt;style face="superscript"&gt;23&lt;/style&gt;&lt;/DisplayText&gt;&lt;record&gt;&lt;rec-number&gt;23&lt;/rec-number&gt;&lt;foreign-keys&gt;&lt;key app="EN" db-id="xssz590sx9vzw4ewpzdv0s5sret50aexdtd9" timestamp="1668645339"&gt;23&lt;/key&gt;&lt;/foreign-keys&gt;&lt;ref-type name="Report"&gt;27&lt;/ref-type&gt;&lt;contributors&gt;&lt;authors&gt;&lt;author&gt;Australian Institute of Health and Welfare,&lt;/author&gt;&lt;/authors&gt;&lt;/contributors&gt;&lt;titles&gt;&lt;title&gt;NOPSAD collection: Supplementary Table S9.&lt;/title&gt;&lt;/titles&gt;&lt;volume&gt;Cat. no. PHE 266&lt;/volume&gt;&lt;dates&gt;&lt;year&gt;2022&lt;/year&gt;&lt;pub-dates&gt;&lt;date&gt;2022/11/21/&lt;/date&gt;&lt;/pub-dates&gt;&lt;/dates&gt;&lt;pub-location&gt;Canberra&lt;/pub-location&gt;&lt;publisher&gt;AIHW&lt;/publisher&gt;&lt;label&gt;BibEntry2022Feb&lt;/label&gt;&lt;urls&gt;&lt;related-urls&gt;&lt;url&gt;https://www.aihw.gov.au/reports/alcohol-other-drug-treatment-services/national-opioidpharmacotherapy-statistics&lt;/url&gt;&lt;/related-urls&gt;&lt;/urls&gt;&lt;language&gt;English&lt;/language&gt;&lt;/record&gt;&lt;/Cite&gt;&lt;/EndNote&gt;</w:instrText>
            </w:r>
            <w:r w:rsidR="002565E6" w:rsidRPr="00257F28">
              <w:rPr>
                <w:rFonts w:cstheme="minorHAnsi"/>
                <w:b/>
                <w:sz w:val="20"/>
                <w:szCs w:val="20"/>
              </w:rPr>
              <w:fldChar w:fldCharType="separate"/>
            </w:r>
            <w:r w:rsidR="002565E6" w:rsidRPr="00646D54">
              <w:rPr>
                <w:rFonts w:cstheme="minorHAnsi"/>
                <w:b/>
                <w:noProof/>
                <w:sz w:val="20"/>
                <w:szCs w:val="20"/>
                <w:vertAlign w:val="superscript"/>
              </w:rPr>
              <w:t>23</w:t>
            </w:r>
            <w:r w:rsidR="002565E6" w:rsidRPr="00257F28">
              <w:rPr>
                <w:rFonts w:cstheme="minorHAnsi"/>
                <w:b/>
                <w:sz w:val="20"/>
                <w:szCs w:val="20"/>
              </w:rPr>
              <w:fldChar w:fldCharType="end"/>
            </w:r>
          </w:p>
        </w:tc>
        <w:tc>
          <w:tcPr>
            <w:tcW w:w="1848" w:type="pct"/>
            <w:tcBorders>
              <w:top w:val="nil"/>
              <w:left w:val="nil"/>
              <w:bottom w:val="nil"/>
              <w:right w:val="nil"/>
            </w:tcBorders>
          </w:tcPr>
          <w:p w14:paraId="55793D75" w14:textId="77777777" w:rsidR="00434810" w:rsidRPr="00257F28" w:rsidRDefault="00434810" w:rsidP="00780238">
            <w:pPr>
              <w:spacing w:after="0" w:line="256" w:lineRule="auto"/>
              <w:jc w:val="left"/>
              <w:rPr>
                <w:rFonts w:cstheme="minorHAnsi"/>
                <w:b/>
                <w:sz w:val="20"/>
                <w:szCs w:val="20"/>
              </w:rPr>
            </w:pPr>
          </w:p>
        </w:tc>
      </w:tr>
      <w:tr w:rsidR="00434810" w:rsidRPr="00257F28" w14:paraId="75302B73" w14:textId="77777777" w:rsidTr="00CE03C3">
        <w:trPr>
          <w:trHeight w:val="20"/>
        </w:trPr>
        <w:tc>
          <w:tcPr>
            <w:tcW w:w="3152" w:type="pct"/>
            <w:tcBorders>
              <w:top w:val="nil"/>
              <w:left w:val="nil"/>
              <w:bottom w:val="nil"/>
              <w:right w:val="nil"/>
            </w:tcBorders>
            <w:hideMark/>
          </w:tcPr>
          <w:p w14:paraId="1B1447AF" w14:textId="77777777" w:rsidR="00434810" w:rsidRPr="00257F28" w:rsidRDefault="00434810" w:rsidP="00780238">
            <w:pPr>
              <w:tabs>
                <w:tab w:val="left" w:pos="285"/>
              </w:tabs>
              <w:spacing w:after="0" w:line="256" w:lineRule="auto"/>
              <w:jc w:val="left"/>
              <w:rPr>
                <w:rFonts w:cstheme="minorHAnsi"/>
                <w:sz w:val="20"/>
                <w:szCs w:val="20"/>
              </w:rPr>
            </w:pPr>
            <w:r w:rsidRPr="00257F28">
              <w:rPr>
                <w:rFonts w:cstheme="minorHAnsi"/>
                <w:sz w:val="20"/>
                <w:szCs w:val="20"/>
              </w:rPr>
              <w:t xml:space="preserve">       No</w:t>
            </w:r>
          </w:p>
        </w:tc>
        <w:tc>
          <w:tcPr>
            <w:tcW w:w="1848" w:type="pct"/>
            <w:tcBorders>
              <w:top w:val="nil"/>
              <w:left w:val="nil"/>
              <w:bottom w:val="nil"/>
              <w:right w:val="nil"/>
            </w:tcBorders>
            <w:hideMark/>
          </w:tcPr>
          <w:p w14:paraId="740EC1DD" w14:textId="77777777" w:rsidR="00434810" w:rsidRPr="00257F28" w:rsidRDefault="00434810" w:rsidP="00780238">
            <w:pPr>
              <w:spacing w:after="0" w:line="256" w:lineRule="auto"/>
              <w:jc w:val="left"/>
              <w:rPr>
                <w:rFonts w:cstheme="minorHAnsi"/>
                <w:sz w:val="20"/>
                <w:szCs w:val="20"/>
              </w:rPr>
            </w:pPr>
            <w:r w:rsidRPr="00257F28">
              <w:rPr>
                <w:sz w:val="20"/>
                <w:szCs w:val="20"/>
              </w:rPr>
              <w:t>39,110 (82%)</w:t>
            </w:r>
          </w:p>
        </w:tc>
      </w:tr>
      <w:tr w:rsidR="00434810" w:rsidRPr="00257F28" w14:paraId="5F1D4B69" w14:textId="77777777" w:rsidTr="00CE03C3">
        <w:trPr>
          <w:trHeight w:val="20"/>
        </w:trPr>
        <w:tc>
          <w:tcPr>
            <w:tcW w:w="3152" w:type="pct"/>
            <w:tcBorders>
              <w:top w:val="nil"/>
              <w:left w:val="nil"/>
              <w:bottom w:val="nil"/>
              <w:right w:val="nil"/>
            </w:tcBorders>
            <w:hideMark/>
          </w:tcPr>
          <w:p w14:paraId="53FFD7D5" w14:textId="77777777" w:rsidR="00434810" w:rsidRPr="00257F28" w:rsidRDefault="00434810" w:rsidP="00780238">
            <w:pPr>
              <w:tabs>
                <w:tab w:val="left" w:pos="285"/>
              </w:tabs>
              <w:spacing w:after="0" w:line="256" w:lineRule="auto"/>
              <w:jc w:val="left"/>
              <w:rPr>
                <w:rFonts w:cstheme="minorHAnsi"/>
                <w:sz w:val="20"/>
                <w:szCs w:val="20"/>
              </w:rPr>
            </w:pPr>
            <w:r w:rsidRPr="00257F28">
              <w:rPr>
                <w:rFonts w:cstheme="minorHAnsi"/>
                <w:sz w:val="20"/>
                <w:szCs w:val="20"/>
              </w:rPr>
              <w:t xml:space="preserve">       Yes</w:t>
            </w:r>
          </w:p>
        </w:tc>
        <w:tc>
          <w:tcPr>
            <w:tcW w:w="1848" w:type="pct"/>
            <w:tcBorders>
              <w:top w:val="nil"/>
              <w:left w:val="nil"/>
              <w:bottom w:val="nil"/>
              <w:right w:val="nil"/>
            </w:tcBorders>
            <w:hideMark/>
          </w:tcPr>
          <w:p w14:paraId="1907E65D" w14:textId="77777777" w:rsidR="00434810" w:rsidRPr="00257F28" w:rsidRDefault="00434810" w:rsidP="00780238">
            <w:pPr>
              <w:spacing w:after="0" w:line="256" w:lineRule="auto"/>
              <w:jc w:val="left"/>
              <w:rPr>
                <w:rFonts w:cstheme="minorHAnsi"/>
                <w:sz w:val="20"/>
                <w:szCs w:val="20"/>
              </w:rPr>
            </w:pPr>
            <w:r w:rsidRPr="00257F28">
              <w:rPr>
                <w:sz w:val="20"/>
                <w:szCs w:val="20"/>
              </w:rPr>
              <w:t>5,715 (12%)</w:t>
            </w:r>
          </w:p>
        </w:tc>
      </w:tr>
      <w:tr w:rsidR="00434810" w:rsidRPr="00257F28" w14:paraId="3D7DE0AD" w14:textId="77777777" w:rsidTr="00CE03C3">
        <w:trPr>
          <w:trHeight w:val="20"/>
        </w:trPr>
        <w:tc>
          <w:tcPr>
            <w:tcW w:w="3152" w:type="pct"/>
            <w:tcBorders>
              <w:top w:val="nil"/>
              <w:left w:val="nil"/>
              <w:bottom w:val="nil"/>
              <w:right w:val="nil"/>
            </w:tcBorders>
            <w:hideMark/>
          </w:tcPr>
          <w:p w14:paraId="01E2DBE2" w14:textId="77777777" w:rsidR="00434810" w:rsidRPr="00257F28" w:rsidRDefault="00434810" w:rsidP="00780238">
            <w:pPr>
              <w:tabs>
                <w:tab w:val="left" w:pos="285"/>
              </w:tabs>
              <w:spacing w:after="0" w:line="256" w:lineRule="auto"/>
              <w:jc w:val="left"/>
              <w:rPr>
                <w:rFonts w:cstheme="minorHAnsi"/>
                <w:sz w:val="20"/>
                <w:szCs w:val="20"/>
              </w:rPr>
            </w:pPr>
            <w:r w:rsidRPr="00257F28">
              <w:rPr>
                <w:rFonts w:cstheme="minorHAnsi"/>
                <w:sz w:val="20"/>
                <w:szCs w:val="20"/>
              </w:rPr>
              <w:t xml:space="preserve">       Not stated</w:t>
            </w:r>
          </w:p>
        </w:tc>
        <w:tc>
          <w:tcPr>
            <w:tcW w:w="1848" w:type="pct"/>
            <w:tcBorders>
              <w:top w:val="nil"/>
              <w:left w:val="nil"/>
              <w:bottom w:val="nil"/>
              <w:right w:val="nil"/>
            </w:tcBorders>
            <w:hideMark/>
          </w:tcPr>
          <w:p w14:paraId="771A0D51" w14:textId="77777777" w:rsidR="00434810" w:rsidRPr="00257F28" w:rsidRDefault="00434810" w:rsidP="00780238">
            <w:pPr>
              <w:spacing w:after="0" w:line="256" w:lineRule="auto"/>
              <w:jc w:val="left"/>
              <w:rPr>
                <w:sz w:val="20"/>
                <w:szCs w:val="20"/>
              </w:rPr>
            </w:pPr>
            <w:r w:rsidRPr="00257F28">
              <w:rPr>
                <w:sz w:val="20"/>
                <w:szCs w:val="20"/>
              </w:rPr>
              <w:t>2,738 (6%)</w:t>
            </w:r>
          </w:p>
        </w:tc>
      </w:tr>
      <w:tr w:rsidR="00434810" w:rsidRPr="00257F28" w14:paraId="333D3A21" w14:textId="77777777" w:rsidTr="00CE03C3">
        <w:trPr>
          <w:trHeight w:val="20"/>
        </w:trPr>
        <w:tc>
          <w:tcPr>
            <w:tcW w:w="3152" w:type="pct"/>
            <w:tcBorders>
              <w:top w:val="nil"/>
              <w:left w:val="nil"/>
              <w:bottom w:val="nil"/>
              <w:right w:val="nil"/>
            </w:tcBorders>
            <w:hideMark/>
          </w:tcPr>
          <w:p w14:paraId="21212E2F" w14:textId="441824C2" w:rsidR="00434810" w:rsidRPr="00257F28" w:rsidRDefault="00434810" w:rsidP="00780238">
            <w:pPr>
              <w:tabs>
                <w:tab w:val="left" w:pos="285"/>
              </w:tabs>
              <w:spacing w:after="0" w:line="256" w:lineRule="auto"/>
              <w:jc w:val="left"/>
              <w:rPr>
                <w:rFonts w:cstheme="minorHAnsi"/>
                <w:b/>
                <w:sz w:val="20"/>
                <w:szCs w:val="20"/>
              </w:rPr>
            </w:pPr>
            <w:r w:rsidRPr="00257F28">
              <w:rPr>
                <w:rFonts w:cstheme="minorHAnsi"/>
                <w:b/>
                <w:sz w:val="20"/>
                <w:szCs w:val="20"/>
              </w:rPr>
              <w:t>Prescriber type</w:t>
            </w:r>
            <w:r w:rsidR="002565E6" w:rsidRPr="00257F28">
              <w:rPr>
                <w:rFonts w:cstheme="minorHAnsi"/>
                <w:b/>
                <w:sz w:val="20"/>
                <w:szCs w:val="20"/>
              </w:rPr>
              <w:fldChar w:fldCharType="begin"/>
            </w:r>
            <w:r w:rsidR="002565E6">
              <w:rPr>
                <w:rFonts w:cstheme="minorHAnsi"/>
                <w:b/>
                <w:sz w:val="20"/>
                <w:szCs w:val="20"/>
              </w:rPr>
              <w:instrText xml:space="preserve"> ADDIN EN.CITE &lt;EndNote&gt;&lt;Cite&gt;&lt;Author&gt;Australian Institute of Health and Welfare&lt;/Author&gt;&lt;Year&gt;2022&lt;/Year&gt;&lt;RecNum&gt;24&lt;/RecNum&gt;&lt;DisplayText&gt;&lt;style face="superscript"&gt;24&lt;/style&gt;&lt;/DisplayText&gt;&lt;record&gt;&lt;rec-number&gt;24&lt;/rec-number&gt;&lt;foreign-keys&gt;&lt;key app="EN" db-id="xssz590sx9vzw4ewpzdv0s5sret50aexdtd9" timestamp="1668645344"&gt;24&lt;/key&gt;&lt;/foreign-keys&gt;&lt;ref-type name="Report"&gt;27&lt;/ref-type&gt;&lt;contributors&gt;&lt;authors&gt;&lt;author&gt;Australian Institute of Health and Welfare,&lt;/author&gt;&lt;/authors&gt;&lt;/contributors&gt;&lt;titles&gt;&lt;title&gt;NOPSAD collection: Supplementary Table S3.&lt;/title&gt;&lt;/titles&gt;&lt;volume&gt;Cat. no. PHE 266&lt;/volume&gt;&lt;dates&gt;&lt;year&gt;2022&lt;/year&gt;&lt;pub-dates&gt;&lt;date&gt;2022/11/21/&lt;/date&gt;&lt;/pub-dates&gt;&lt;/dates&gt;&lt;pub-location&gt;Canberra&lt;/pub-location&gt;&lt;publisher&gt;AIHW&lt;/publisher&gt;&lt;label&gt;BibEntry2022Feb&lt;/label&gt;&lt;urls&gt;&lt;related-urls&gt;&lt;url&gt;https://www.aihw.gov.au/reports/alcohol-other-drug-treatment-services/national-opioidpharmacotherapy-statistics&lt;/url&gt;&lt;/related-urls&gt;&lt;/urls&gt;&lt;language&gt;English&lt;/language&gt;&lt;/record&gt;&lt;/Cite&gt;&lt;/EndNote&gt;</w:instrText>
            </w:r>
            <w:r w:rsidR="002565E6" w:rsidRPr="00257F28">
              <w:rPr>
                <w:rFonts w:cstheme="minorHAnsi"/>
                <w:b/>
                <w:sz w:val="20"/>
                <w:szCs w:val="20"/>
              </w:rPr>
              <w:fldChar w:fldCharType="separate"/>
            </w:r>
            <w:r w:rsidR="002565E6" w:rsidRPr="00646D54">
              <w:rPr>
                <w:rFonts w:cstheme="minorHAnsi"/>
                <w:b/>
                <w:noProof/>
                <w:sz w:val="20"/>
                <w:szCs w:val="20"/>
                <w:vertAlign w:val="superscript"/>
              </w:rPr>
              <w:t>24</w:t>
            </w:r>
            <w:r w:rsidR="002565E6" w:rsidRPr="00257F28">
              <w:rPr>
                <w:rFonts w:cstheme="minorHAnsi"/>
                <w:b/>
                <w:sz w:val="20"/>
                <w:szCs w:val="20"/>
              </w:rPr>
              <w:fldChar w:fldCharType="end"/>
            </w:r>
          </w:p>
        </w:tc>
        <w:tc>
          <w:tcPr>
            <w:tcW w:w="1848" w:type="pct"/>
            <w:tcBorders>
              <w:top w:val="nil"/>
              <w:left w:val="nil"/>
              <w:bottom w:val="nil"/>
              <w:right w:val="nil"/>
            </w:tcBorders>
          </w:tcPr>
          <w:p w14:paraId="10F572AE" w14:textId="77777777" w:rsidR="00434810" w:rsidRPr="00257F28" w:rsidRDefault="00434810" w:rsidP="00780238">
            <w:pPr>
              <w:spacing w:after="0" w:line="256" w:lineRule="auto"/>
              <w:jc w:val="left"/>
              <w:rPr>
                <w:rFonts w:cstheme="minorHAnsi"/>
                <w:b/>
                <w:sz w:val="20"/>
                <w:szCs w:val="20"/>
              </w:rPr>
            </w:pPr>
          </w:p>
        </w:tc>
      </w:tr>
      <w:tr w:rsidR="00434810" w:rsidRPr="00257F28" w14:paraId="25082897" w14:textId="77777777" w:rsidTr="00CE03C3">
        <w:trPr>
          <w:trHeight w:val="20"/>
        </w:trPr>
        <w:tc>
          <w:tcPr>
            <w:tcW w:w="3152" w:type="pct"/>
            <w:tcBorders>
              <w:top w:val="nil"/>
              <w:left w:val="nil"/>
              <w:bottom w:val="nil"/>
              <w:right w:val="nil"/>
            </w:tcBorders>
            <w:vAlign w:val="bottom"/>
            <w:hideMark/>
          </w:tcPr>
          <w:p w14:paraId="4EEBD150" w14:textId="77777777" w:rsidR="00434810" w:rsidRPr="00257F28" w:rsidRDefault="00434810" w:rsidP="00780238">
            <w:pPr>
              <w:tabs>
                <w:tab w:val="left" w:pos="285"/>
              </w:tabs>
              <w:spacing w:after="0" w:line="256" w:lineRule="auto"/>
              <w:jc w:val="left"/>
              <w:rPr>
                <w:rFonts w:cstheme="minorHAnsi"/>
                <w:sz w:val="20"/>
                <w:szCs w:val="20"/>
              </w:rPr>
            </w:pPr>
            <w:r w:rsidRPr="00257F28">
              <w:rPr>
                <w:rFonts w:cstheme="minorHAnsi"/>
                <w:sz w:val="20"/>
                <w:szCs w:val="20"/>
              </w:rPr>
              <w:t xml:space="preserve">       Public prescriber</w:t>
            </w:r>
          </w:p>
        </w:tc>
        <w:tc>
          <w:tcPr>
            <w:tcW w:w="1848" w:type="pct"/>
            <w:tcBorders>
              <w:top w:val="nil"/>
              <w:left w:val="nil"/>
              <w:bottom w:val="nil"/>
              <w:right w:val="nil"/>
            </w:tcBorders>
            <w:hideMark/>
          </w:tcPr>
          <w:p w14:paraId="47C9D549" w14:textId="77777777" w:rsidR="00434810" w:rsidRPr="00257F28" w:rsidRDefault="00434810" w:rsidP="00780238">
            <w:pPr>
              <w:spacing w:after="0" w:line="256" w:lineRule="auto"/>
              <w:jc w:val="left"/>
              <w:rPr>
                <w:rFonts w:cstheme="minorHAnsi"/>
                <w:sz w:val="20"/>
                <w:szCs w:val="20"/>
              </w:rPr>
            </w:pPr>
            <w:r w:rsidRPr="00257F28">
              <w:rPr>
                <w:rFonts w:cstheme="minorHAnsi"/>
                <w:sz w:val="20"/>
                <w:szCs w:val="20"/>
              </w:rPr>
              <w:t>11,752 (25%)</w:t>
            </w:r>
          </w:p>
        </w:tc>
      </w:tr>
      <w:tr w:rsidR="00434810" w:rsidRPr="00257F28" w14:paraId="04025CE6" w14:textId="77777777" w:rsidTr="00CE03C3">
        <w:trPr>
          <w:trHeight w:val="20"/>
        </w:trPr>
        <w:tc>
          <w:tcPr>
            <w:tcW w:w="3152" w:type="pct"/>
            <w:tcBorders>
              <w:top w:val="nil"/>
              <w:left w:val="nil"/>
              <w:bottom w:val="nil"/>
              <w:right w:val="nil"/>
            </w:tcBorders>
            <w:vAlign w:val="bottom"/>
            <w:hideMark/>
          </w:tcPr>
          <w:p w14:paraId="4509DEE1" w14:textId="77777777" w:rsidR="00434810" w:rsidRPr="00257F28" w:rsidRDefault="00434810" w:rsidP="00780238">
            <w:pPr>
              <w:tabs>
                <w:tab w:val="left" w:pos="285"/>
              </w:tabs>
              <w:spacing w:after="0" w:line="256" w:lineRule="auto"/>
              <w:jc w:val="left"/>
              <w:rPr>
                <w:rFonts w:cstheme="minorHAnsi"/>
                <w:sz w:val="20"/>
                <w:szCs w:val="20"/>
              </w:rPr>
            </w:pPr>
            <w:r w:rsidRPr="00257F28">
              <w:rPr>
                <w:rFonts w:cstheme="minorHAnsi"/>
                <w:sz w:val="20"/>
                <w:szCs w:val="20"/>
              </w:rPr>
              <w:t xml:space="preserve">       Private prescriber</w:t>
            </w:r>
          </w:p>
        </w:tc>
        <w:tc>
          <w:tcPr>
            <w:tcW w:w="1848" w:type="pct"/>
            <w:tcBorders>
              <w:top w:val="nil"/>
              <w:left w:val="nil"/>
              <w:bottom w:val="nil"/>
              <w:right w:val="nil"/>
            </w:tcBorders>
            <w:hideMark/>
          </w:tcPr>
          <w:p w14:paraId="26B83628" w14:textId="77777777" w:rsidR="00434810" w:rsidRPr="00257F28" w:rsidRDefault="00434810" w:rsidP="00780238">
            <w:pPr>
              <w:spacing w:after="0" w:line="256" w:lineRule="auto"/>
              <w:jc w:val="left"/>
              <w:rPr>
                <w:rFonts w:cstheme="minorHAnsi"/>
                <w:sz w:val="20"/>
                <w:szCs w:val="20"/>
              </w:rPr>
            </w:pPr>
            <w:r w:rsidRPr="00257F28">
              <w:rPr>
                <w:rFonts w:cstheme="minorHAnsi"/>
                <w:sz w:val="20"/>
                <w:szCs w:val="20"/>
              </w:rPr>
              <w:t>30,678 (65%)</w:t>
            </w:r>
          </w:p>
        </w:tc>
      </w:tr>
      <w:tr w:rsidR="00434810" w:rsidRPr="00257F28" w14:paraId="79A63E83" w14:textId="77777777" w:rsidTr="00CE03C3">
        <w:trPr>
          <w:trHeight w:val="20"/>
        </w:trPr>
        <w:tc>
          <w:tcPr>
            <w:tcW w:w="3152" w:type="pct"/>
            <w:tcBorders>
              <w:top w:val="nil"/>
              <w:left w:val="nil"/>
              <w:bottom w:val="nil"/>
              <w:right w:val="nil"/>
            </w:tcBorders>
            <w:vAlign w:val="bottom"/>
            <w:hideMark/>
          </w:tcPr>
          <w:p w14:paraId="69B29827" w14:textId="77777777" w:rsidR="00434810" w:rsidRPr="00257F28" w:rsidRDefault="00434810" w:rsidP="00780238">
            <w:pPr>
              <w:tabs>
                <w:tab w:val="left" w:pos="285"/>
              </w:tabs>
              <w:spacing w:after="0" w:line="256" w:lineRule="auto"/>
              <w:jc w:val="left"/>
              <w:rPr>
                <w:rFonts w:cstheme="minorHAnsi"/>
                <w:sz w:val="20"/>
                <w:szCs w:val="20"/>
              </w:rPr>
            </w:pPr>
            <w:r w:rsidRPr="00257F28">
              <w:rPr>
                <w:rFonts w:cstheme="minorHAnsi"/>
                <w:sz w:val="20"/>
                <w:szCs w:val="20"/>
              </w:rPr>
              <w:t xml:space="preserve">       Public/private prescriber</w:t>
            </w:r>
          </w:p>
        </w:tc>
        <w:tc>
          <w:tcPr>
            <w:tcW w:w="1848" w:type="pct"/>
            <w:tcBorders>
              <w:top w:val="nil"/>
              <w:left w:val="nil"/>
              <w:bottom w:val="nil"/>
              <w:right w:val="nil"/>
            </w:tcBorders>
            <w:hideMark/>
          </w:tcPr>
          <w:p w14:paraId="0383FDA4" w14:textId="77777777" w:rsidR="00434810" w:rsidRPr="00257F28" w:rsidRDefault="00434810" w:rsidP="00780238">
            <w:pPr>
              <w:spacing w:after="0" w:line="256" w:lineRule="auto"/>
              <w:jc w:val="left"/>
              <w:rPr>
                <w:rFonts w:cstheme="minorHAnsi"/>
                <w:sz w:val="20"/>
                <w:szCs w:val="20"/>
              </w:rPr>
            </w:pPr>
            <w:r w:rsidRPr="00257F28">
              <w:rPr>
                <w:rFonts w:cstheme="minorHAnsi"/>
                <w:sz w:val="20"/>
                <w:szCs w:val="20"/>
              </w:rPr>
              <w:t>121 (&lt;1%)</w:t>
            </w:r>
          </w:p>
        </w:tc>
      </w:tr>
      <w:tr w:rsidR="00434810" w:rsidRPr="00257F28" w14:paraId="4C0C72F4" w14:textId="77777777" w:rsidTr="00CE03C3">
        <w:trPr>
          <w:trHeight w:val="20"/>
        </w:trPr>
        <w:tc>
          <w:tcPr>
            <w:tcW w:w="3152" w:type="pct"/>
            <w:tcBorders>
              <w:top w:val="nil"/>
              <w:left w:val="nil"/>
              <w:bottom w:val="nil"/>
              <w:right w:val="nil"/>
            </w:tcBorders>
            <w:vAlign w:val="bottom"/>
            <w:hideMark/>
          </w:tcPr>
          <w:p w14:paraId="79B921CB" w14:textId="77777777" w:rsidR="00434810" w:rsidRPr="00257F28" w:rsidRDefault="00434810" w:rsidP="00780238">
            <w:pPr>
              <w:tabs>
                <w:tab w:val="left" w:pos="285"/>
              </w:tabs>
              <w:spacing w:after="0" w:line="256" w:lineRule="auto"/>
              <w:jc w:val="left"/>
              <w:rPr>
                <w:rFonts w:cstheme="minorHAnsi"/>
                <w:sz w:val="20"/>
                <w:szCs w:val="20"/>
              </w:rPr>
            </w:pPr>
            <w:r w:rsidRPr="00257F28">
              <w:rPr>
                <w:rFonts w:cstheme="minorHAnsi"/>
                <w:sz w:val="20"/>
                <w:szCs w:val="20"/>
              </w:rPr>
              <w:t xml:space="preserve">       Correctional facility</w:t>
            </w:r>
          </w:p>
        </w:tc>
        <w:tc>
          <w:tcPr>
            <w:tcW w:w="1848" w:type="pct"/>
            <w:tcBorders>
              <w:top w:val="nil"/>
              <w:left w:val="nil"/>
              <w:bottom w:val="nil"/>
              <w:right w:val="nil"/>
            </w:tcBorders>
            <w:hideMark/>
          </w:tcPr>
          <w:p w14:paraId="4E5272D7" w14:textId="77777777" w:rsidR="00434810" w:rsidRPr="00257F28" w:rsidRDefault="00434810" w:rsidP="00780238">
            <w:pPr>
              <w:spacing w:after="0" w:line="256" w:lineRule="auto"/>
              <w:jc w:val="left"/>
              <w:rPr>
                <w:rFonts w:cstheme="minorHAnsi"/>
                <w:sz w:val="20"/>
                <w:szCs w:val="20"/>
              </w:rPr>
            </w:pPr>
            <w:r w:rsidRPr="00257F28">
              <w:rPr>
                <w:rFonts w:cstheme="minorHAnsi"/>
                <w:sz w:val="20"/>
                <w:szCs w:val="20"/>
              </w:rPr>
              <w:t>5,012 (10%)</w:t>
            </w:r>
          </w:p>
        </w:tc>
      </w:tr>
      <w:tr w:rsidR="00434810" w:rsidRPr="00257F28" w14:paraId="07F11F00" w14:textId="77777777" w:rsidTr="00CE03C3">
        <w:trPr>
          <w:trHeight w:val="20"/>
        </w:trPr>
        <w:tc>
          <w:tcPr>
            <w:tcW w:w="3152" w:type="pct"/>
            <w:tcBorders>
              <w:top w:val="nil"/>
              <w:left w:val="nil"/>
              <w:bottom w:val="nil"/>
              <w:right w:val="nil"/>
            </w:tcBorders>
            <w:vAlign w:val="bottom"/>
            <w:hideMark/>
          </w:tcPr>
          <w:p w14:paraId="14A2D41C" w14:textId="5A67D821" w:rsidR="00434810" w:rsidRPr="00257F28" w:rsidRDefault="00434810" w:rsidP="00780238">
            <w:pPr>
              <w:tabs>
                <w:tab w:val="left" w:pos="285"/>
              </w:tabs>
              <w:spacing w:after="0" w:line="256" w:lineRule="auto"/>
              <w:jc w:val="left"/>
              <w:rPr>
                <w:rFonts w:cstheme="minorHAnsi"/>
                <w:b/>
                <w:sz w:val="20"/>
                <w:szCs w:val="20"/>
              </w:rPr>
            </w:pPr>
            <w:r w:rsidRPr="00257F28">
              <w:rPr>
                <w:rFonts w:cstheme="minorHAnsi"/>
                <w:b/>
                <w:sz w:val="20"/>
                <w:szCs w:val="20"/>
              </w:rPr>
              <w:t>Opioid drug of dependence</w:t>
            </w:r>
            <w:r w:rsidR="002565E6" w:rsidRPr="00257F28">
              <w:rPr>
                <w:rFonts w:cstheme="minorHAnsi"/>
                <w:b/>
                <w:sz w:val="20"/>
                <w:szCs w:val="20"/>
              </w:rPr>
              <w:fldChar w:fldCharType="begin"/>
            </w:r>
            <w:r w:rsidR="002565E6">
              <w:rPr>
                <w:rFonts w:cstheme="minorHAnsi"/>
                <w:b/>
                <w:sz w:val="20"/>
                <w:szCs w:val="20"/>
              </w:rPr>
              <w:instrText xml:space="preserve"> ADDIN EN.CITE &lt;EndNote&gt;&lt;Cite&gt;&lt;Author&gt;Australian Institute of Health and Welfare&lt;/Author&gt;&lt;Year&gt;2022&lt;/Year&gt;&lt;RecNum&gt;25&lt;/RecNum&gt;&lt;DisplayText&gt;&lt;style face="superscript"&gt;25&lt;/style&gt;&lt;/DisplayText&gt;&lt;record&gt;&lt;rec-number&gt;25&lt;/rec-number&gt;&lt;foreign-keys&gt;&lt;key app="EN" db-id="xssz590sx9vzw4ewpzdv0s5sret50aexdtd9" timestamp="1668645350"&gt;25&lt;/key&gt;&lt;/foreign-keys&gt;&lt;ref-type name="Report"&gt;27&lt;/ref-type&gt;&lt;contributors&gt;&lt;authors&gt;&lt;author&gt;Australian Institute of Health and Welfare,&lt;/author&gt;&lt;/authors&gt;&lt;/contributors&gt;&lt;titles&gt;&lt;title&gt;NOPSAD collection: Supplementary Table S10.&lt;/title&gt;&lt;/titles&gt;&lt;volume&gt;Cat. no. PHE 266&lt;/volume&gt;&lt;dates&gt;&lt;year&gt;2022&lt;/year&gt;&lt;pub-dates&gt;&lt;date&gt;2022/11/21/&lt;/date&gt;&lt;/pub-dates&gt;&lt;/dates&gt;&lt;pub-location&gt;Canberra&lt;/pub-location&gt;&lt;publisher&gt;AIHW&lt;/publisher&gt;&lt;label&gt;BibEntry2022Feb&lt;/label&gt;&lt;urls&gt;&lt;related-urls&gt;&lt;url&gt;https://www.aihw.gov.au/reports/alcohol-other-drug-treatment-services/national-opioidpharmacotherapy-statistics&lt;/url&gt;&lt;/related-urls&gt;&lt;/urls&gt;&lt;language&gt;English&lt;/language&gt;&lt;/record&gt;&lt;/Cite&gt;&lt;/EndNote&gt;</w:instrText>
            </w:r>
            <w:r w:rsidR="002565E6" w:rsidRPr="00257F28">
              <w:rPr>
                <w:rFonts w:cstheme="minorHAnsi"/>
                <w:b/>
                <w:sz w:val="20"/>
                <w:szCs w:val="20"/>
              </w:rPr>
              <w:fldChar w:fldCharType="separate"/>
            </w:r>
            <w:r w:rsidR="002565E6" w:rsidRPr="00646D54">
              <w:rPr>
                <w:rFonts w:cstheme="minorHAnsi"/>
                <w:b/>
                <w:noProof/>
                <w:sz w:val="20"/>
                <w:szCs w:val="20"/>
                <w:vertAlign w:val="superscript"/>
              </w:rPr>
              <w:t>25</w:t>
            </w:r>
            <w:r w:rsidR="002565E6" w:rsidRPr="00257F28">
              <w:rPr>
                <w:rFonts w:cstheme="minorHAnsi"/>
                <w:b/>
                <w:sz w:val="20"/>
                <w:szCs w:val="20"/>
              </w:rPr>
              <w:fldChar w:fldCharType="end"/>
            </w:r>
          </w:p>
        </w:tc>
        <w:tc>
          <w:tcPr>
            <w:tcW w:w="1848" w:type="pct"/>
            <w:tcBorders>
              <w:top w:val="nil"/>
              <w:left w:val="nil"/>
              <w:bottom w:val="nil"/>
              <w:right w:val="nil"/>
            </w:tcBorders>
          </w:tcPr>
          <w:p w14:paraId="45AFE501" w14:textId="77777777" w:rsidR="00434810" w:rsidRPr="00257F28" w:rsidRDefault="00434810" w:rsidP="00780238">
            <w:pPr>
              <w:spacing w:after="0" w:line="256" w:lineRule="auto"/>
              <w:jc w:val="left"/>
              <w:rPr>
                <w:rFonts w:cstheme="minorHAnsi"/>
                <w:b/>
                <w:sz w:val="20"/>
                <w:szCs w:val="20"/>
              </w:rPr>
            </w:pPr>
          </w:p>
        </w:tc>
      </w:tr>
      <w:tr w:rsidR="00434810" w:rsidRPr="00257F28" w14:paraId="48BFB058" w14:textId="77777777" w:rsidTr="00CE03C3">
        <w:trPr>
          <w:trHeight w:val="20"/>
        </w:trPr>
        <w:tc>
          <w:tcPr>
            <w:tcW w:w="3152" w:type="pct"/>
            <w:tcBorders>
              <w:top w:val="nil"/>
              <w:left w:val="nil"/>
              <w:bottom w:val="nil"/>
              <w:right w:val="nil"/>
            </w:tcBorders>
            <w:hideMark/>
          </w:tcPr>
          <w:p w14:paraId="483EE8FD" w14:textId="77777777" w:rsidR="00434810" w:rsidRPr="00257F28" w:rsidRDefault="00434810" w:rsidP="00780238">
            <w:pPr>
              <w:tabs>
                <w:tab w:val="left" w:pos="285"/>
              </w:tabs>
              <w:spacing w:after="0" w:line="256" w:lineRule="auto"/>
              <w:ind w:left="285"/>
              <w:jc w:val="left"/>
              <w:rPr>
                <w:rFonts w:cstheme="minorHAnsi"/>
                <w:sz w:val="20"/>
                <w:szCs w:val="20"/>
              </w:rPr>
            </w:pPr>
            <w:r w:rsidRPr="00257F28">
              <w:rPr>
                <w:sz w:val="20"/>
                <w:szCs w:val="20"/>
              </w:rPr>
              <w:t xml:space="preserve"> Heroin</w:t>
            </w:r>
          </w:p>
        </w:tc>
        <w:tc>
          <w:tcPr>
            <w:tcW w:w="1848" w:type="pct"/>
            <w:tcBorders>
              <w:top w:val="nil"/>
              <w:left w:val="nil"/>
              <w:bottom w:val="nil"/>
              <w:right w:val="nil"/>
            </w:tcBorders>
            <w:hideMark/>
          </w:tcPr>
          <w:p w14:paraId="307D0F46" w14:textId="77777777" w:rsidR="00434810" w:rsidRPr="00257F28" w:rsidRDefault="00434810" w:rsidP="00780238">
            <w:pPr>
              <w:spacing w:after="0" w:line="256" w:lineRule="auto"/>
              <w:jc w:val="left"/>
              <w:rPr>
                <w:rFonts w:cstheme="minorHAnsi"/>
                <w:sz w:val="20"/>
                <w:szCs w:val="20"/>
              </w:rPr>
            </w:pPr>
            <w:r w:rsidRPr="00257F28">
              <w:rPr>
                <w:sz w:val="20"/>
                <w:szCs w:val="20"/>
              </w:rPr>
              <w:t>21,058 (44%)</w:t>
            </w:r>
          </w:p>
        </w:tc>
      </w:tr>
      <w:tr w:rsidR="00434810" w:rsidRPr="00257F28" w14:paraId="15ACB0DE" w14:textId="77777777" w:rsidTr="00CE03C3">
        <w:trPr>
          <w:trHeight w:val="20"/>
        </w:trPr>
        <w:tc>
          <w:tcPr>
            <w:tcW w:w="3152" w:type="pct"/>
            <w:tcBorders>
              <w:top w:val="nil"/>
              <w:left w:val="nil"/>
              <w:bottom w:val="nil"/>
              <w:right w:val="nil"/>
            </w:tcBorders>
            <w:hideMark/>
          </w:tcPr>
          <w:p w14:paraId="7CDCF77B" w14:textId="77777777" w:rsidR="00434810" w:rsidRPr="00257F28" w:rsidRDefault="00434810" w:rsidP="00780238">
            <w:pPr>
              <w:tabs>
                <w:tab w:val="left" w:pos="285"/>
              </w:tabs>
              <w:spacing w:after="0" w:line="256" w:lineRule="auto"/>
              <w:jc w:val="left"/>
              <w:rPr>
                <w:rFonts w:cstheme="minorHAnsi"/>
                <w:sz w:val="20"/>
                <w:szCs w:val="20"/>
              </w:rPr>
            </w:pPr>
            <w:r w:rsidRPr="00257F28">
              <w:rPr>
                <w:rFonts w:cstheme="minorHAnsi"/>
                <w:sz w:val="20"/>
                <w:szCs w:val="20"/>
              </w:rPr>
              <w:t xml:space="preserve">       </w:t>
            </w:r>
            <w:r w:rsidRPr="00257F28">
              <w:rPr>
                <w:sz w:val="20"/>
                <w:szCs w:val="20"/>
              </w:rPr>
              <w:t>Morphine</w:t>
            </w:r>
          </w:p>
        </w:tc>
        <w:tc>
          <w:tcPr>
            <w:tcW w:w="1848" w:type="pct"/>
            <w:tcBorders>
              <w:top w:val="nil"/>
              <w:left w:val="nil"/>
              <w:bottom w:val="nil"/>
              <w:right w:val="nil"/>
            </w:tcBorders>
            <w:hideMark/>
          </w:tcPr>
          <w:p w14:paraId="440F2FE1" w14:textId="77777777" w:rsidR="00434810" w:rsidRPr="00257F28" w:rsidRDefault="00434810" w:rsidP="00780238">
            <w:pPr>
              <w:spacing w:after="0" w:line="256" w:lineRule="auto"/>
              <w:jc w:val="left"/>
              <w:rPr>
                <w:rFonts w:cstheme="minorHAnsi"/>
                <w:sz w:val="20"/>
                <w:szCs w:val="20"/>
              </w:rPr>
            </w:pPr>
            <w:r w:rsidRPr="00257F28">
              <w:rPr>
                <w:sz w:val="20"/>
                <w:szCs w:val="20"/>
              </w:rPr>
              <w:t>1,263 (3%)</w:t>
            </w:r>
          </w:p>
        </w:tc>
      </w:tr>
      <w:tr w:rsidR="00434810" w:rsidRPr="00257F28" w14:paraId="55FF73BE" w14:textId="77777777" w:rsidTr="00CE03C3">
        <w:trPr>
          <w:trHeight w:val="20"/>
        </w:trPr>
        <w:tc>
          <w:tcPr>
            <w:tcW w:w="3152" w:type="pct"/>
            <w:tcBorders>
              <w:top w:val="nil"/>
              <w:left w:val="nil"/>
              <w:bottom w:val="nil"/>
              <w:right w:val="nil"/>
            </w:tcBorders>
            <w:hideMark/>
          </w:tcPr>
          <w:p w14:paraId="1D09FE3B" w14:textId="77777777" w:rsidR="00434810" w:rsidRPr="00257F28" w:rsidRDefault="00434810" w:rsidP="00780238">
            <w:pPr>
              <w:tabs>
                <w:tab w:val="left" w:pos="285"/>
              </w:tabs>
              <w:spacing w:after="0" w:line="256" w:lineRule="auto"/>
              <w:jc w:val="left"/>
              <w:rPr>
                <w:rFonts w:cstheme="minorHAnsi"/>
                <w:sz w:val="20"/>
                <w:szCs w:val="20"/>
              </w:rPr>
            </w:pPr>
            <w:r w:rsidRPr="00257F28">
              <w:rPr>
                <w:rFonts w:cstheme="minorHAnsi"/>
                <w:sz w:val="20"/>
                <w:szCs w:val="20"/>
              </w:rPr>
              <w:t xml:space="preserve">       </w:t>
            </w:r>
            <w:r w:rsidRPr="00257F28">
              <w:rPr>
                <w:sz w:val="20"/>
                <w:szCs w:val="20"/>
              </w:rPr>
              <w:t>Methadone</w:t>
            </w:r>
          </w:p>
        </w:tc>
        <w:tc>
          <w:tcPr>
            <w:tcW w:w="1848" w:type="pct"/>
            <w:tcBorders>
              <w:top w:val="nil"/>
              <w:left w:val="nil"/>
              <w:bottom w:val="nil"/>
              <w:right w:val="nil"/>
            </w:tcBorders>
            <w:hideMark/>
          </w:tcPr>
          <w:p w14:paraId="236ADF26" w14:textId="77777777" w:rsidR="00434810" w:rsidRPr="00257F28" w:rsidRDefault="00434810" w:rsidP="00780238">
            <w:pPr>
              <w:spacing w:after="0" w:line="256" w:lineRule="auto"/>
              <w:jc w:val="left"/>
              <w:rPr>
                <w:rFonts w:cstheme="minorHAnsi"/>
                <w:sz w:val="20"/>
                <w:szCs w:val="20"/>
              </w:rPr>
            </w:pPr>
            <w:r w:rsidRPr="00257F28">
              <w:rPr>
                <w:sz w:val="20"/>
                <w:szCs w:val="20"/>
              </w:rPr>
              <w:t>1,582 (3%)</w:t>
            </w:r>
          </w:p>
        </w:tc>
      </w:tr>
      <w:tr w:rsidR="00434810" w:rsidRPr="00257F28" w14:paraId="59967407" w14:textId="77777777" w:rsidTr="00CE03C3">
        <w:trPr>
          <w:trHeight w:val="20"/>
        </w:trPr>
        <w:tc>
          <w:tcPr>
            <w:tcW w:w="3152" w:type="pct"/>
            <w:tcBorders>
              <w:top w:val="nil"/>
              <w:left w:val="nil"/>
              <w:bottom w:val="nil"/>
              <w:right w:val="nil"/>
            </w:tcBorders>
            <w:hideMark/>
          </w:tcPr>
          <w:p w14:paraId="4408300B" w14:textId="77777777" w:rsidR="00434810" w:rsidRPr="00257F28" w:rsidRDefault="00434810" w:rsidP="00780238">
            <w:pPr>
              <w:tabs>
                <w:tab w:val="left" w:pos="285"/>
              </w:tabs>
              <w:spacing w:after="0" w:line="256" w:lineRule="auto"/>
              <w:jc w:val="left"/>
              <w:rPr>
                <w:rFonts w:cstheme="minorHAnsi"/>
                <w:sz w:val="20"/>
                <w:szCs w:val="20"/>
              </w:rPr>
            </w:pPr>
            <w:r w:rsidRPr="00257F28">
              <w:rPr>
                <w:rFonts w:cstheme="minorHAnsi"/>
                <w:sz w:val="20"/>
                <w:szCs w:val="20"/>
              </w:rPr>
              <w:t xml:space="preserve">       </w:t>
            </w:r>
            <w:r w:rsidRPr="00257F28">
              <w:rPr>
                <w:sz w:val="20"/>
                <w:szCs w:val="20"/>
              </w:rPr>
              <w:t>Buprenorphine</w:t>
            </w:r>
          </w:p>
        </w:tc>
        <w:tc>
          <w:tcPr>
            <w:tcW w:w="1848" w:type="pct"/>
            <w:tcBorders>
              <w:top w:val="nil"/>
              <w:left w:val="nil"/>
              <w:bottom w:val="nil"/>
              <w:right w:val="nil"/>
            </w:tcBorders>
            <w:hideMark/>
          </w:tcPr>
          <w:p w14:paraId="0927DEAE" w14:textId="77777777" w:rsidR="00434810" w:rsidRPr="00257F28" w:rsidRDefault="00434810" w:rsidP="00780238">
            <w:pPr>
              <w:spacing w:after="0" w:line="256" w:lineRule="auto"/>
              <w:jc w:val="left"/>
              <w:rPr>
                <w:rFonts w:cstheme="minorHAnsi"/>
                <w:sz w:val="20"/>
                <w:szCs w:val="20"/>
              </w:rPr>
            </w:pPr>
            <w:r w:rsidRPr="00257F28">
              <w:rPr>
                <w:sz w:val="20"/>
                <w:szCs w:val="20"/>
              </w:rPr>
              <w:t>2,024 (4%)</w:t>
            </w:r>
          </w:p>
        </w:tc>
      </w:tr>
      <w:tr w:rsidR="00434810" w:rsidRPr="00257F28" w14:paraId="334D8EFC" w14:textId="77777777" w:rsidTr="00CE03C3">
        <w:trPr>
          <w:trHeight w:val="20"/>
        </w:trPr>
        <w:tc>
          <w:tcPr>
            <w:tcW w:w="3152" w:type="pct"/>
            <w:tcBorders>
              <w:top w:val="nil"/>
              <w:left w:val="nil"/>
              <w:bottom w:val="nil"/>
              <w:right w:val="nil"/>
            </w:tcBorders>
            <w:hideMark/>
          </w:tcPr>
          <w:p w14:paraId="7BEE20EF" w14:textId="77777777" w:rsidR="00434810" w:rsidRPr="00257F28" w:rsidRDefault="00434810" w:rsidP="00780238">
            <w:pPr>
              <w:tabs>
                <w:tab w:val="left" w:pos="285"/>
              </w:tabs>
              <w:spacing w:after="0" w:line="256" w:lineRule="auto"/>
              <w:jc w:val="left"/>
              <w:rPr>
                <w:rFonts w:cstheme="minorHAnsi"/>
                <w:sz w:val="20"/>
                <w:szCs w:val="20"/>
              </w:rPr>
            </w:pPr>
            <w:r w:rsidRPr="00257F28">
              <w:rPr>
                <w:rFonts w:cstheme="minorHAnsi"/>
                <w:sz w:val="20"/>
                <w:szCs w:val="20"/>
              </w:rPr>
              <w:t xml:space="preserve">       </w:t>
            </w:r>
            <w:r w:rsidRPr="00257F28">
              <w:rPr>
                <w:sz w:val="20"/>
                <w:szCs w:val="20"/>
              </w:rPr>
              <w:t>Codeine</w:t>
            </w:r>
          </w:p>
        </w:tc>
        <w:tc>
          <w:tcPr>
            <w:tcW w:w="1848" w:type="pct"/>
            <w:tcBorders>
              <w:top w:val="nil"/>
              <w:left w:val="nil"/>
              <w:bottom w:val="nil"/>
              <w:right w:val="nil"/>
            </w:tcBorders>
            <w:hideMark/>
          </w:tcPr>
          <w:p w14:paraId="79725C58" w14:textId="77777777" w:rsidR="00434810" w:rsidRPr="00257F28" w:rsidRDefault="00434810" w:rsidP="00780238">
            <w:pPr>
              <w:spacing w:after="0" w:line="256" w:lineRule="auto"/>
              <w:jc w:val="left"/>
              <w:rPr>
                <w:rFonts w:cstheme="minorHAnsi"/>
                <w:sz w:val="20"/>
                <w:szCs w:val="20"/>
              </w:rPr>
            </w:pPr>
            <w:r w:rsidRPr="00257F28">
              <w:rPr>
                <w:sz w:val="20"/>
                <w:szCs w:val="20"/>
              </w:rPr>
              <w:t>1,131 (2%)</w:t>
            </w:r>
          </w:p>
        </w:tc>
      </w:tr>
      <w:tr w:rsidR="00434810" w:rsidRPr="00257F28" w14:paraId="6AC6EEA9" w14:textId="77777777" w:rsidTr="00CE03C3">
        <w:trPr>
          <w:trHeight w:val="20"/>
        </w:trPr>
        <w:tc>
          <w:tcPr>
            <w:tcW w:w="3152" w:type="pct"/>
            <w:tcBorders>
              <w:top w:val="nil"/>
              <w:left w:val="nil"/>
              <w:bottom w:val="nil"/>
              <w:right w:val="nil"/>
            </w:tcBorders>
            <w:hideMark/>
          </w:tcPr>
          <w:p w14:paraId="41732C7E" w14:textId="77777777" w:rsidR="00434810" w:rsidRPr="00257F28" w:rsidRDefault="00434810" w:rsidP="00780238">
            <w:pPr>
              <w:tabs>
                <w:tab w:val="left" w:pos="285"/>
              </w:tabs>
              <w:spacing w:after="0" w:line="256" w:lineRule="auto"/>
              <w:jc w:val="left"/>
              <w:rPr>
                <w:rFonts w:cstheme="minorHAnsi"/>
                <w:sz w:val="20"/>
                <w:szCs w:val="20"/>
              </w:rPr>
            </w:pPr>
            <w:r w:rsidRPr="00257F28">
              <w:rPr>
                <w:rFonts w:cstheme="minorHAnsi"/>
                <w:sz w:val="20"/>
                <w:szCs w:val="20"/>
              </w:rPr>
              <w:t xml:space="preserve">       </w:t>
            </w:r>
            <w:r w:rsidRPr="00257F28">
              <w:rPr>
                <w:sz w:val="20"/>
                <w:szCs w:val="20"/>
              </w:rPr>
              <w:t>Oxycodone</w:t>
            </w:r>
          </w:p>
        </w:tc>
        <w:tc>
          <w:tcPr>
            <w:tcW w:w="1848" w:type="pct"/>
            <w:tcBorders>
              <w:top w:val="nil"/>
              <w:left w:val="nil"/>
              <w:bottom w:val="nil"/>
              <w:right w:val="nil"/>
            </w:tcBorders>
            <w:hideMark/>
          </w:tcPr>
          <w:p w14:paraId="7A7EBA88" w14:textId="77777777" w:rsidR="00434810" w:rsidRPr="00257F28" w:rsidRDefault="00434810" w:rsidP="00780238">
            <w:pPr>
              <w:spacing w:after="0" w:line="256" w:lineRule="auto"/>
              <w:jc w:val="left"/>
              <w:rPr>
                <w:rFonts w:cstheme="minorHAnsi"/>
                <w:sz w:val="20"/>
                <w:szCs w:val="20"/>
              </w:rPr>
            </w:pPr>
            <w:r w:rsidRPr="00257F28">
              <w:rPr>
                <w:sz w:val="20"/>
                <w:szCs w:val="20"/>
              </w:rPr>
              <w:t>2,228 (5%)</w:t>
            </w:r>
          </w:p>
        </w:tc>
      </w:tr>
      <w:tr w:rsidR="00434810" w:rsidRPr="00257F28" w14:paraId="08927A1B" w14:textId="77777777" w:rsidTr="00CE03C3">
        <w:trPr>
          <w:trHeight w:val="20"/>
        </w:trPr>
        <w:tc>
          <w:tcPr>
            <w:tcW w:w="3152" w:type="pct"/>
            <w:tcBorders>
              <w:top w:val="nil"/>
              <w:left w:val="nil"/>
              <w:bottom w:val="nil"/>
              <w:right w:val="nil"/>
            </w:tcBorders>
            <w:hideMark/>
          </w:tcPr>
          <w:p w14:paraId="6CBEC1F4" w14:textId="77777777" w:rsidR="00434810" w:rsidRPr="00257F28" w:rsidRDefault="00434810" w:rsidP="00780238">
            <w:pPr>
              <w:tabs>
                <w:tab w:val="left" w:pos="285"/>
              </w:tabs>
              <w:spacing w:after="0" w:line="256" w:lineRule="auto"/>
              <w:jc w:val="left"/>
              <w:rPr>
                <w:rFonts w:cstheme="minorHAnsi"/>
                <w:sz w:val="20"/>
                <w:szCs w:val="20"/>
              </w:rPr>
            </w:pPr>
            <w:r w:rsidRPr="00257F28">
              <w:rPr>
                <w:rFonts w:cstheme="minorHAnsi"/>
                <w:sz w:val="20"/>
                <w:szCs w:val="20"/>
              </w:rPr>
              <w:t xml:space="preserve">       </w:t>
            </w:r>
            <w:r w:rsidRPr="00257F28">
              <w:rPr>
                <w:sz w:val="20"/>
                <w:szCs w:val="20"/>
              </w:rPr>
              <w:t>Other pharmaceutical opioids</w:t>
            </w:r>
          </w:p>
        </w:tc>
        <w:tc>
          <w:tcPr>
            <w:tcW w:w="1848" w:type="pct"/>
            <w:tcBorders>
              <w:top w:val="nil"/>
              <w:left w:val="nil"/>
              <w:bottom w:val="nil"/>
              <w:right w:val="nil"/>
            </w:tcBorders>
            <w:hideMark/>
          </w:tcPr>
          <w:p w14:paraId="6D239185" w14:textId="77777777" w:rsidR="00434810" w:rsidRPr="00257F28" w:rsidRDefault="00434810" w:rsidP="00780238">
            <w:pPr>
              <w:spacing w:after="0" w:line="256" w:lineRule="auto"/>
              <w:jc w:val="left"/>
              <w:rPr>
                <w:rFonts w:cstheme="minorHAnsi"/>
                <w:sz w:val="20"/>
                <w:szCs w:val="20"/>
              </w:rPr>
            </w:pPr>
            <w:r w:rsidRPr="00257F28">
              <w:rPr>
                <w:sz w:val="20"/>
                <w:szCs w:val="20"/>
              </w:rPr>
              <w:t>1,740 (4%)</w:t>
            </w:r>
          </w:p>
        </w:tc>
      </w:tr>
      <w:tr w:rsidR="00434810" w:rsidRPr="00257F28" w14:paraId="247BDCA8" w14:textId="77777777" w:rsidTr="00CE03C3">
        <w:trPr>
          <w:trHeight w:val="20"/>
        </w:trPr>
        <w:tc>
          <w:tcPr>
            <w:tcW w:w="3152" w:type="pct"/>
            <w:tcBorders>
              <w:top w:val="nil"/>
              <w:left w:val="nil"/>
              <w:bottom w:val="single" w:sz="4" w:space="0" w:color="auto"/>
              <w:right w:val="nil"/>
            </w:tcBorders>
            <w:hideMark/>
          </w:tcPr>
          <w:p w14:paraId="766308BD" w14:textId="77777777" w:rsidR="00434810" w:rsidRPr="00257F28" w:rsidRDefault="00434810" w:rsidP="00780238">
            <w:pPr>
              <w:tabs>
                <w:tab w:val="left" w:pos="285"/>
              </w:tabs>
              <w:spacing w:after="0" w:line="256" w:lineRule="auto"/>
              <w:jc w:val="left"/>
              <w:rPr>
                <w:rFonts w:cstheme="minorHAnsi"/>
                <w:sz w:val="20"/>
                <w:szCs w:val="20"/>
              </w:rPr>
            </w:pPr>
            <w:r w:rsidRPr="00257F28">
              <w:rPr>
                <w:rFonts w:cstheme="minorHAnsi"/>
                <w:sz w:val="20"/>
                <w:szCs w:val="20"/>
              </w:rPr>
              <w:t xml:space="preserve">       </w:t>
            </w:r>
            <w:r w:rsidRPr="00257F28">
              <w:rPr>
                <w:sz w:val="20"/>
                <w:szCs w:val="20"/>
              </w:rPr>
              <w:t>Not stated/not reported</w:t>
            </w:r>
          </w:p>
        </w:tc>
        <w:tc>
          <w:tcPr>
            <w:tcW w:w="1848" w:type="pct"/>
            <w:tcBorders>
              <w:top w:val="nil"/>
              <w:left w:val="nil"/>
              <w:bottom w:val="single" w:sz="4" w:space="0" w:color="auto"/>
              <w:right w:val="nil"/>
            </w:tcBorders>
            <w:hideMark/>
          </w:tcPr>
          <w:p w14:paraId="50533DEF" w14:textId="77777777" w:rsidR="00434810" w:rsidRPr="00257F28" w:rsidRDefault="00434810" w:rsidP="00780238">
            <w:pPr>
              <w:spacing w:after="0" w:line="256" w:lineRule="auto"/>
              <w:jc w:val="left"/>
              <w:rPr>
                <w:rFonts w:cstheme="minorHAnsi"/>
                <w:sz w:val="20"/>
                <w:szCs w:val="20"/>
              </w:rPr>
            </w:pPr>
            <w:r w:rsidRPr="00257F28">
              <w:rPr>
                <w:sz w:val="20"/>
                <w:szCs w:val="20"/>
              </w:rPr>
              <w:t>16,537 (35%)</w:t>
            </w:r>
          </w:p>
        </w:tc>
      </w:tr>
    </w:tbl>
    <w:p w14:paraId="3ECCE2E9" w14:textId="625E7257" w:rsidR="00434810" w:rsidRPr="00257F28" w:rsidRDefault="00434810" w:rsidP="00780238">
      <w:pPr>
        <w:spacing w:line="256" w:lineRule="auto"/>
        <w:jc w:val="left"/>
        <w:rPr>
          <w:sz w:val="20"/>
          <w:szCs w:val="20"/>
        </w:rPr>
      </w:pPr>
      <w:r w:rsidRPr="00257F28">
        <w:rPr>
          <w:sz w:val="20"/>
          <w:szCs w:val="20"/>
        </w:rPr>
        <w:t xml:space="preserve">Source: Australian Institute of Health and Welfare. National Opioid </w:t>
      </w:r>
      <w:r w:rsidRPr="000B6BFB">
        <w:rPr>
          <w:sz w:val="20"/>
          <w:szCs w:val="20"/>
        </w:rPr>
        <w:t>Pharmacotherapy Statistics Annual Data (NOPSAD) collection. Cat. no. PHE 266. Canberra: AIHW, 2021</w:t>
      </w:r>
      <w:r w:rsidR="000B6BFB" w:rsidRPr="000B6BFB">
        <w:rPr>
          <w:sz w:val="20"/>
          <w:szCs w:val="20"/>
        </w:rPr>
        <w:t>.</w:t>
      </w:r>
      <w:r w:rsidR="002565E6" w:rsidRPr="000B6BFB">
        <w:rPr>
          <w:sz w:val="20"/>
          <w:szCs w:val="20"/>
        </w:rPr>
        <w:fldChar w:fldCharType="begin"/>
      </w:r>
      <w:r w:rsidR="002565E6">
        <w:rPr>
          <w:sz w:val="20"/>
          <w:szCs w:val="20"/>
        </w:rPr>
        <w:instrText xml:space="preserve"> ADDIN EN.CITE &lt;EndNote&gt;&lt;Cite&gt;&lt;Author&gt;Australian Institute of Health and Welfare&lt;/Author&gt;&lt;Year&gt;2022&lt;/Year&gt;&lt;RecNum&gt;1&lt;/RecNum&gt;&lt;DisplayText&gt;&lt;style face="superscript"&gt;1&lt;/style&gt;&lt;/DisplayText&gt;&lt;record&gt;&lt;rec-number&gt;1&lt;/rec-number&gt;&lt;foreign-keys&gt;&lt;key app="EN" db-id="xssz590sx9vzw4ewpzdv0s5sret50aexdtd9" timestamp="1668645241"&gt;1&lt;/key&gt;&lt;/foreign-keys&gt;&lt;ref-type name="Report"&gt;27&lt;/ref-type&gt;&lt;contributors&gt;&lt;authors&gt;&lt;author&gt;Australian Institute of Health and Welfare,&lt;/author&gt;&lt;/authors&gt;&lt;/contributors&gt;&lt;titles&gt;&lt;title&gt;National Opioid Pharmacotherapy Statistics Annual Data (NOPSAD) collection. &lt;/title&gt;&lt;/titles&gt;&lt;volume&gt;Cat. no. PHE 266&lt;/volume&gt;&lt;dates&gt;&lt;year&gt;2022&lt;/year&gt;&lt;pub-dates&gt;&lt;date&gt;2022/11/21/&lt;/date&gt;&lt;/pub-dates&gt;&lt;/dates&gt;&lt;pub-location&gt;Canberra&lt;/pub-location&gt;&lt;publisher&gt;AIHW&lt;/publisher&gt;&lt;label&gt;BibEntry2022Feb&lt;/label&gt;&lt;urls&gt;&lt;related-urls&gt;&lt;url&gt;https://www.aihw.gov.au/reports/alcohol-other-drug-treatment-services/national-opioidpharmacotherapy-statistics&lt;/url&gt;&lt;/related-urls&gt;&lt;/urls&gt;&lt;language&gt;English&lt;/language&gt;&lt;/record&gt;&lt;/Cite&gt;&lt;/EndNote&gt;</w:instrText>
      </w:r>
      <w:r w:rsidR="002565E6" w:rsidRPr="000B6BFB">
        <w:rPr>
          <w:sz w:val="20"/>
          <w:szCs w:val="20"/>
        </w:rPr>
        <w:fldChar w:fldCharType="separate"/>
      </w:r>
      <w:r w:rsidR="002565E6" w:rsidRPr="005531C9">
        <w:rPr>
          <w:noProof/>
          <w:sz w:val="20"/>
          <w:szCs w:val="20"/>
          <w:vertAlign w:val="superscript"/>
        </w:rPr>
        <w:t>1</w:t>
      </w:r>
      <w:r w:rsidR="002565E6" w:rsidRPr="000B6BFB">
        <w:rPr>
          <w:sz w:val="20"/>
          <w:szCs w:val="20"/>
        </w:rPr>
        <w:fldChar w:fldCharType="end"/>
      </w:r>
    </w:p>
    <w:p w14:paraId="5529E23B" w14:textId="77777777" w:rsidR="00434810" w:rsidRPr="00EA3458" w:rsidRDefault="00434810">
      <w:pPr>
        <w:spacing w:after="160" w:line="259" w:lineRule="auto"/>
        <w:rPr>
          <w:rFonts w:ascii="Yu Gothic Light" w:eastAsiaTheme="majorEastAsia" w:hAnsi="Yu Gothic Light" w:cstheme="majorBidi"/>
          <w:b/>
          <w:iCs/>
        </w:rPr>
      </w:pPr>
      <w:bookmarkStart w:id="244" w:name="_Toc99542084"/>
      <w:r w:rsidRPr="00EA3458">
        <w:br w:type="page"/>
      </w:r>
    </w:p>
    <w:p w14:paraId="42D8C641" w14:textId="514A56E9" w:rsidR="00434810" w:rsidRPr="00EA3458" w:rsidRDefault="00434810">
      <w:pPr>
        <w:pStyle w:val="Tables"/>
      </w:pPr>
      <w:bookmarkStart w:id="245" w:name="_Toc120183435"/>
      <w:bookmarkStart w:id="246" w:name="_Toc132823423"/>
      <w:r w:rsidRPr="00EA3458">
        <w:lastRenderedPageBreak/>
        <w:t xml:space="preserve">Table </w:t>
      </w:r>
      <w:r w:rsidR="005756A2" w:rsidRPr="00EA3458">
        <w:t>3</w:t>
      </w:r>
      <w:r w:rsidR="001957C9">
        <w:t>.</w:t>
      </w:r>
      <w:r w:rsidRPr="00EA3458">
        <w:t xml:space="preserve"> Other characteristics of ETHOS Engage participants </w:t>
      </w:r>
      <w:r w:rsidR="00DD7862">
        <w:t>receiving</w:t>
      </w:r>
      <w:r w:rsidRPr="00EA3458">
        <w:t xml:space="preserve"> O</w:t>
      </w:r>
      <w:r w:rsidR="00DD7862">
        <w:t>D</w:t>
      </w:r>
      <w:r w:rsidRPr="00EA3458">
        <w:t>T</w:t>
      </w:r>
      <w:r w:rsidR="00DD7862">
        <w:t xml:space="preserve"> medicines</w:t>
      </w:r>
      <w:r w:rsidRPr="00EA3458">
        <w:t xml:space="preserve"> in Australia</w:t>
      </w:r>
      <w:bookmarkEnd w:id="244"/>
      <w:r w:rsidRPr="00EA3458">
        <w:t xml:space="preserve"> (N = 753)</w:t>
      </w:r>
      <w:bookmarkEnd w:id="245"/>
      <w:bookmarkEnd w:id="246"/>
      <w:r w:rsidRPr="00EA3458">
        <w:t xml:space="preserve"> </w:t>
      </w:r>
    </w:p>
    <w:tbl>
      <w:tblPr>
        <w:tblStyle w:val="TableGrid"/>
        <w:tblW w:w="5079"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Other characteristics of ETHOS Engage participants in OAT in Australia (N = 753)"/>
        <w:tblDescription w:val="Table describing characteristics of ETHOS Engage participants. Summarises employment status, proportions of paritcipants who were homeless, recently incarcerated or have received take away doses, median daily dose of medicine, and number of times a participant picked up a dose over the past week."/>
      </w:tblPr>
      <w:tblGrid>
        <w:gridCol w:w="4770"/>
        <w:gridCol w:w="4399"/>
      </w:tblGrid>
      <w:tr w:rsidR="00434810" w:rsidRPr="00257F28" w14:paraId="0AEB1E2A" w14:textId="77777777" w:rsidTr="00CE03C3">
        <w:tc>
          <w:tcPr>
            <w:tcW w:w="5000" w:type="pct"/>
            <w:gridSpan w:val="2"/>
            <w:tcBorders>
              <w:top w:val="single" w:sz="4" w:space="0" w:color="7F7F7F" w:themeColor="text1" w:themeTint="80"/>
              <w:left w:val="nil"/>
              <w:bottom w:val="single" w:sz="4" w:space="0" w:color="7F7F7F" w:themeColor="text1" w:themeTint="80"/>
              <w:right w:val="nil"/>
            </w:tcBorders>
            <w:shd w:val="clear" w:color="auto" w:fill="D9D9D9" w:themeFill="background1" w:themeFillShade="D9"/>
            <w:hideMark/>
          </w:tcPr>
          <w:p w14:paraId="113A76C5" w14:textId="77777777" w:rsidR="00434810" w:rsidRPr="00257F28" w:rsidRDefault="00434810" w:rsidP="00780238">
            <w:pPr>
              <w:spacing w:after="0" w:line="256" w:lineRule="auto"/>
              <w:jc w:val="left"/>
              <w:rPr>
                <w:b/>
                <w:bCs/>
                <w:sz w:val="20"/>
                <w:szCs w:val="20"/>
              </w:rPr>
            </w:pPr>
            <w:r w:rsidRPr="00257F28">
              <w:rPr>
                <w:b/>
                <w:bCs/>
                <w:sz w:val="20"/>
                <w:szCs w:val="20"/>
              </w:rPr>
              <w:t>n (%)</w:t>
            </w:r>
          </w:p>
        </w:tc>
      </w:tr>
      <w:tr w:rsidR="00434810" w:rsidRPr="00257F28" w14:paraId="72280A13" w14:textId="77777777" w:rsidTr="00CE03C3">
        <w:tc>
          <w:tcPr>
            <w:tcW w:w="2601" w:type="pct"/>
            <w:tcBorders>
              <w:top w:val="single" w:sz="4" w:space="0" w:color="7F7F7F" w:themeColor="text1" w:themeTint="80"/>
              <w:left w:val="nil"/>
              <w:bottom w:val="nil"/>
              <w:right w:val="nil"/>
            </w:tcBorders>
            <w:hideMark/>
          </w:tcPr>
          <w:p w14:paraId="78F0E661" w14:textId="7803FFA0" w:rsidR="00434810" w:rsidRPr="00257F28" w:rsidRDefault="006704B3" w:rsidP="00780238">
            <w:pPr>
              <w:tabs>
                <w:tab w:val="left" w:pos="285"/>
              </w:tabs>
              <w:spacing w:after="0" w:line="256" w:lineRule="auto"/>
              <w:jc w:val="left"/>
              <w:rPr>
                <w:sz w:val="20"/>
                <w:szCs w:val="20"/>
              </w:rPr>
            </w:pPr>
            <w:r w:rsidRPr="00257F28">
              <w:rPr>
                <w:b/>
                <w:sz w:val="20"/>
                <w:szCs w:val="20"/>
              </w:rPr>
              <w:t>Employed</w:t>
            </w:r>
            <w:r w:rsidR="001353F7">
              <w:rPr>
                <w:sz w:val="20"/>
                <w:szCs w:val="20"/>
                <w:vertAlign w:val="superscript"/>
              </w:rPr>
              <w:t>*</w:t>
            </w:r>
          </w:p>
        </w:tc>
        <w:tc>
          <w:tcPr>
            <w:tcW w:w="2399" w:type="pct"/>
            <w:tcBorders>
              <w:top w:val="single" w:sz="4" w:space="0" w:color="7F7F7F" w:themeColor="text1" w:themeTint="80"/>
              <w:left w:val="nil"/>
              <w:bottom w:val="nil"/>
              <w:right w:val="nil"/>
            </w:tcBorders>
            <w:hideMark/>
          </w:tcPr>
          <w:p w14:paraId="4CC30F20" w14:textId="77777777" w:rsidR="00434810" w:rsidRPr="00257F28" w:rsidRDefault="00434810" w:rsidP="00780238">
            <w:pPr>
              <w:spacing w:after="0" w:line="256" w:lineRule="auto"/>
              <w:jc w:val="left"/>
              <w:rPr>
                <w:sz w:val="20"/>
                <w:szCs w:val="20"/>
              </w:rPr>
            </w:pPr>
            <w:r w:rsidRPr="00257F28">
              <w:rPr>
                <w:sz w:val="20"/>
                <w:szCs w:val="20"/>
              </w:rPr>
              <w:t>60 (8%)</w:t>
            </w:r>
          </w:p>
        </w:tc>
      </w:tr>
      <w:tr w:rsidR="00434810" w:rsidRPr="00257F28" w14:paraId="28F146BC" w14:textId="77777777" w:rsidTr="00CE03C3">
        <w:tc>
          <w:tcPr>
            <w:tcW w:w="2601" w:type="pct"/>
            <w:hideMark/>
          </w:tcPr>
          <w:p w14:paraId="051777BD" w14:textId="4FD258AE" w:rsidR="00434810" w:rsidRPr="00257F28" w:rsidRDefault="00434810" w:rsidP="00780238">
            <w:pPr>
              <w:tabs>
                <w:tab w:val="left" w:pos="285"/>
              </w:tabs>
              <w:spacing w:after="0"/>
              <w:jc w:val="left"/>
              <w:rPr>
                <w:sz w:val="20"/>
                <w:szCs w:val="20"/>
              </w:rPr>
            </w:pPr>
            <w:r w:rsidRPr="00257F28">
              <w:rPr>
                <w:b/>
                <w:sz w:val="20"/>
                <w:szCs w:val="20"/>
              </w:rPr>
              <w:t>Lives in a major city</w:t>
            </w:r>
            <w:r w:rsidR="00AF6355">
              <w:rPr>
                <w:sz w:val="20"/>
                <w:szCs w:val="20"/>
                <w:vertAlign w:val="superscript"/>
              </w:rPr>
              <w:t>*</w:t>
            </w:r>
            <w:r w:rsidRPr="00257F28">
              <w:rPr>
                <w:sz w:val="20"/>
                <w:szCs w:val="20"/>
              </w:rPr>
              <w:t xml:space="preserve"> </w:t>
            </w:r>
          </w:p>
        </w:tc>
        <w:tc>
          <w:tcPr>
            <w:tcW w:w="2399" w:type="pct"/>
            <w:hideMark/>
          </w:tcPr>
          <w:p w14:paraId="70593273" w14:textId="77777777" w:rsidR="00434810" w:rsidRPr="00257F28" w:rsidRDefault="00434810" w:rsidP="00780238">
            <w:pPr>
              <w:spacing w:after="0"/>
              <w:jc w:val="left"/>
              <w:rPr>
                <w:sz w:val="20"/>
                <w:szCs w:val="20"/>
              </w:rPr>
            </w:pPr>
            <w:r w:rsidRPr="00257F28">
              <w:rPr>
                <w:sz w:val="20"/>
                <w:szCs w:val="20"/>
              </w:rPr>
              <w:t>635 (84%)</w:t>
            </w:r>
          </w:p>
        </w:tc>
      </w:tr>
      <w:tr w:rsidR="00434810" w:rsidRPr="00257F28" w14:paraId="10403149" w14:textId="77777777" w:rsidTr="00CE03C3">
        <w:tc>
          <w:tcPr>
            <w:tcW w:w="5000" w:type="pct"/>
            <w:gridSpan w:val="2"/>
            <w:tcBorders>
              <w:top w:val="single" w:sz="4" w:space="0" w:color="7F7F7F" w:themeColor="text1" w:themeTint="80"/>
              <w:left w:val="nil"/>
              <w:bottom w:val="single" w:sz="4" w:space="0" w:color="7F7F7F" w:themeColor="text1" w:themeTint="80"/>
              <w:right w:val="nil"/>
            </w:tcBorders>
            <w:shd w:val="clear" w:color="auto" w:fill="D9D9D9" w:themeFill="background1" w:themeFillShade="D9"/>
            <w:hideMark/>
          </w:tcPr>
          <w:p w14:paraId="4B3375EF" w14:textId="77777777" w:rsidR="00434810" w:rsidRPr="00257F28" w:rsidRDefault="00434810" w:rsidP="00780238">
            <w:pPr>
              <w:spacing w:after="0"/>
              <w:jc w:val="left"/>
              <w:rPr>
                <w:rFonts w:cstheme="minorHAnsi"/>
                <w:b/>
                <w:bCs/>
                <w:sz w:val="20"/>
                <w:szCs w:val="20"/>
              </w:rPr>
            </w:pPr>
            <w:r w:rsidRPr="00257F28">
              <w:rPr>
                <w:b/>
                <w:bCs/>
                <w:sz w:val="20"/>
                <w:szCs w:val="20"/>
              </w:rPr>
              <w:t>Proportion (95%CI)</w:t>
            </w:r>
          </w:p>
        </w:tc>
      </w:tr>
      <w:tr w:rsidR="00434810" w:rsidRPr="00257F28" w14:paraId="36046521" w14:textId="77777777" w:rsidTr="00CE03C3">
        <w:tc>
          <w:tcPr>
            <w:tcW w:w="2601" w:type="pct"/>
            <w:tcBorders>
              <w:top w:val="single" w:sz="4" w:space="0" w:color="7F7F7F" w:themeColor="text1" w:themeTint="80"/>
              <w:left w:val="nil"/>
              <w:bottom w:val="nil"/>
              <w:right w:val="nil"/>
            </w:tcBorders>
            <w:hideMark/>
          </w:tcPr>
          <w:p w14:paraId="09AF80BC" w14:textId="53A0E63F" w:rsidR="00434810" w:rsidRPr="00257F28" w:rsidRDefault="006704B3" w:rsidP="00780238">
            <w:pPr>
              <w:tabs>
                <w:tab w:val="left" w:pos="285"/>
              </w:tabs>
              <w:spacing w:after="0" w:line="256" w:lineRule="auto"/>
              <w:jc w:val="left"/>
              <w:rPr>
                <w:sz w:val="20"/>
                <w:szCs w:val="20"/>
              </w:rPr>
            </w:pPr>
            <w:r w:rsidRPr="00257F28">
              <w:rPr>
                <w:b/>
                <w:sz w:val="20"/>
                <w:szCs w:val="20"/>
              </w:rPr>
              <w:t>Homeless</w:t>
            </w:r>
          </w:p>
        </w:tc>
        <w:tc>
          <w:tcPr>
            <w:tcW w:w="2399" w:type="pct"/>
            <w:tcBorders>
              <w:top w:val="single" w:sz="4" w:space="0" w:color="7F7F7F" w:themeColor="text1" w:themeTint="80"/>
              <w:left w:val="nil"/>
              <w:bottom w:val="nil"/>
              <w:right w:val="nil"/>
            </w:tcBorders>
            <w:hideMark/>
          </w:tcPr>
          <w:p w14:paraId="2CEA5D27" w14:textId="77777777" w:rsidR="00434810" w:rsidRPr="00257F28" w:rsidRDefault="00434810" w:rsidP="00780238">
            <w:pPr>
              <w:spacing w:after="0" w:line="256" w:lineRule="auto"/>
              <w:jc w:val="left"/>
              <w:rPr>
                <w:sz w:val="20"/>
                <w:szCs w:val="20"/>
              </w:rPr>
            </w:pPr>
            <w:r w:rsidRPr="00257F28">
              <w:rPr>
                <w:sz w:val="20"/>
                <w:szCs w:val="20"/>
              </w:rPr>
              <w:t>0.08 (0.07, 0.09)</w:t>
            </w:r>
          </w:p>
        </w:tc>
      </w:tr>
      <w:tr w:rsidR="00434810" w:rsidRPr="00257F28" w14:paraId="1BF7B76F" w14:textId="77777777" w:rsidTr="00CE03C3">
        <w:tc>
          <w:tcPr>
            <w:tcW w:w="2601" w:type="pct"/>
            <w:hideMark/>
          </w:tcPr>
          <w:p w14:paraId="61A87329" w14:textId="3F51CD6E" w:rsidR="00434810" w:rsidRPr="00257F28" w:rsidRDefault="00434810" w:rsidP="00780238">
            <w:pPr>
              <w:tabs>
                <w:tab w:val="left" w:pos="285"/>
              </w:tabs>
              <w:spacing w:after="0" w:line="256" w:lineRule="auto"/>
              <w:jc w:val="left"/>
              <w:rPr>
                <w:sz w:val="20"/>
                <w:szCs w:val="20"/>
              </w:rPr>
            </w:pPr>
            <w:r w:rsidRPr="00257F28">
              <w:rPr>
                <w:b/>
                <w:sz w:val="20"/>
                <w:szCs w:val="20"/>
              </w:rPr>
              <w:t xml:space="preserve">Incarceration </w:t>
            </w:r>
            <w:r w:rsidR="006704B3" w:rsidRPr="00257F28">
              <w:rPr>
                <w:b/>
                <w:sz w:val="20"/>
                <w:szCs w:val="20"/>
              </w:rPr>
              <w:t>history</w:t>
            </w:r>
          </w:p>
        </w:tc>
        <w:tc>
          <w:tcPr>
            <w:tcW w:w="2399" w:type="pct"/>
          </w:tcPr>
          <w:p w14:paraId="1656D360" w14:textId="77777777" w:rsidR="00434810" w:rsidRPr="00257F28" w:rsidRDefault="00434810" w:rsidP="00780238">
            <w:pPr>
              <w:spacing w:after="0" w:line="256" w:lineRule="auto"/>
              <w:jc w:val="left"/>
              <w:rPr>
                <w:rFonts w:cstheme="minorHAnsi"/>
                <w:sz w:val="20"/>
                <w:szCs w:val="20"/>
              </w:rPr>
            </w:pPr>
          </w:p>
        </w:tc>
      </w:tr>
      <w:tr w:rsidR="00434810" w:rsidRPr="00257F28" w14:paraId="32937E57" w14:textId="77777777" w:rsidTr="00CE03C3">
        <w:tc>
          <w:tcPr>
            <w:tcW w:w="2601" w:type="pct"/>
            <w:hideMark/>
          </w:tcPr>
          <w:p w14:paraId="0944E196" w14:textId="77777777" w:rsidR="00434810" w:rsidRPr="00257F28" w:rsidRDefault="00434810" w:rsidP="00780238">
            <w:pPr>
              <w:tabs>
                <w:tab w:val="left" w:pos="285"/>
              </w:tabs>
              <w:spacing w:after="0" w:line="256" w:lineRule="auto"/>
              <w:jc w:val="left"/>
              <w:rPr>
                <w:rFonts w:cstheme="minorHAnsi"/>
                <w:sz w:val="20"/>
                <w:szCs w:val="20"/>
              </w:rPr>
            </w:pPr>
            <w:r w:rsidRPr="00257F28">
              <w:rPr>
                <w:rFonts w:cstheme="minorHAnsi"/>
                <w:sz w:val="20"/>
                <w:szCs w:val="20"/>
              </w:rPr>
              <w:t xml:space="preserve">       </w:t>
            </w:r>
            <w:r w:rsidRPr="00257F28">
              <w:rPr>
                <w:sz w:val="20"/>
                <w:szCs w:val="20"/>
              </w:rPr>
              <w:t>Recent (&lt; 6 months)</w:t>
            </w:r>
          </w:p>
        </w:tc>
        <w:tc>
          <w:tcPr>
            <w:tcW w:w="2399" w:type="pct"/>
            <w:hideMark/>
          </w:tcPr>
          <w:p w14:paraId="328EFD2D" w14:textId="77777777" w:rsidR="00434810" w:rsidRPr="00257F28" w:rsidRDefault="00434810" w:rsidP="00780238">
            <w:pPr>
              <w:spacing w:after="0" w:line="256" w:lineRule="auto"/>
              <w:jc w:val="left"/>
              <w:rPr>
                <w:rFonts w:cstheme="minorHAnsi"/>
                <w:sz w:val="20"/>
                <w:szCs w:val="20"/>
              </w:rPr>
            </w:pPr>
            <w:r w:rsidRPr="00257F28">
              <w:rPr>
                <w:rFonts w:cstheme="minorHAnsi"/>
                <w:sz w:val="20"/>
                <w:szCs w:val="20"/>
              </w:rPr>
              <w:t>0.37 (0.37, 0.38)</w:t>
            </w:r>
          </w:p>
        </w:tc>
      </w:tr>
      <w:tr w:rsidR="00434810" w:rsidRPr="00257F28" w14:paraId="4D3859D5" w14:textId="77777777" w:rsidTr="00CE03C3">
        <w:tc>
          <w:tcPr>
            <w:tcW w:w="2601" w:type="pct"/>
            <w:hideMark/>
          </w:tcPr>
          <w:p w14:paraId="5F62A506" w14:textId="77777777" w:rsidR="00434810" w:rsidRPr="00257F28" w:rsidRDefault="00434810" w:rsidP="00780238">
            <w:pPr>
              <w:tabs>
                <w:tab w:val="left" w:pos="285"/>
              </w:tabs>
              <w:spacing w:after="0" w:line="256" w:lineRule="auto"/>
              <w:jc w:val="left"/>
              <w:rPr>
                <w:rFonts w:cstheme="minorHAnsi"/>
                <w:sz w:val="20"/>
                <w:szCs w:val="20"/>
              </w:rPr>
            </w:pPr>
            <w:r w:rsidRPr="00257F28">
              <w:rPr>
                <w:rFonts w:cstheme="minorHAnsi"/>
                <w:sz w:val="20"/>
                <w:szCs w:val="20"/>
              </w:rPr>
              <w:t xml:space="preserve">       </w:t>
            </w:r>
            <w:r w:rsidRPr="00257F28">
              <w:rPr>
                <w:sz w:val="20"/>
                <w:szCs w:val="20"/>
              </w:rPr>
              <w:t>Ever</w:t>
            </w:r>
          </w:p>
        </w:tc>
        <w:tc>
          <w:tcPr>
            <w:tcW w:w="2399" w:type="pct"/>
            <w:hideMark/>
          </w:tcPr>
          <w:p w14:paraId="6661B3B7" w14:textId="77777777" w:rsidR="00434810" w:rsidRPr="00257F28" w:rsidRDefault="00434810" w:rsidP="00780238">
            <w:pPr>
              <w:spacing w:after="0" w:line="256" w:lineRule="auto"/>
              <w:jc w:val="left"/>
              <w:rPr>
                <w:sz w:val="20"/>
                <w:szCs w:val="20"/>
              </w:rPr>
            </w:pPr>
            <w:r w:rsidRPr="00257F28">
              <w:rPr>
                <w:sz w:val="20"/>
                <w:szCs w:val="20"/>
              </w:rPr>
              <w:t>0.71 (0.69, 0.74)</w:t>
            </w:r>
          </w:p>
        </w:tc>
      </w:tr>
      <w:tr w:rsidR="00434810" w:rsidRPr="00257F28" w14:paraId="51A4A14A" w14:textId="77777777" w:rsidTr="00CE03C3">
        <w:tc>
          <w:tcPr>
            <w:tcW w:w="2601" w:type="pct"/>
            <w:tcBorders>
              <w:top w:val="nil"/>
              <w:left w:val="nil"/>
              <w:bottom w:val="single" w:sz="4" w:space="0" w:color="7F7F7F" w:themeColor="text1" w:themeTint="80"/>
              <w:right w:val="nil"/>
            </w:tcBorders>
            <w:hideMark/>
          </w:tcPr>
          <w:p w14:paraId="05DB1EDE" w14:textId="421F216B" w:rsidR="00434810" w:rsidRPr="00257F28" w:rsidRDefault="00434810" w:rsidP="00780238">
            <w:pPr>
              <w:tabs>
                <w:tab w:val="left" w:pos="285"/>
              </w:tabs>
              <w:spacing w:after="0" w:line="256" w:lineRule="auto"/>
              <w:jc w:val="left"/>
              <w:rPr>
                <w:sz w:val="20"/>
                <w:szCs w:val="20"/>
              </w:rPr>
            </w:pPr>
            <w:r w:rsidRPr="00257F28">
              <w:rPr>
                <w:b/>
                <w:sz w:val="20"/>
                <w:szCs w:val="20"/>
              </w:rPr>
              <w:t>Received takeaway doses</w:t>
            </w:r>
          </w:p>
          <w:p w14:paraId="423BDFFF" w14:textId="77777777" w:rsidR="00434810" w:rsidRPr="00257F28" w:rsidRDefault="00434810" w:rsidP="00780238">
            <w:pPr>
              <w:tabs>
                <w:tab w:val="left" w:pos="285"/>
              </w:tabs>
              <w:spacing w:after="0" w:line="256" w:lineRule="auto"/>
              <w:jc w:val="left"/>
              <w:rPr>
                <w:sz w:val="20"/>
                <w:szCs w:val="20"/>
              </w:rPr>
            </w:pPr>
            <w:r w:rsidRPr="00257F28">
              <w:rPr>
                <w:sz w:val="20"/>
                <w:szCs w:val="20"/>
              </w:rPr>
              <w:t xml:space="preserve">       Pre-COVID</w:t>
            </w:r>
          </w:p>
          <w:p w14:paraId="0E0D2011" w14:textId="77777777" w:rsidR="00434810" w:rsidRPr="00257F28" w:rsidRDefault="00434810" w:rsidP="00780238">
            <w:pPr>
              <w:tabs>
                <w:tab w:val="left" w:pos="285"/>
              </w:tabs>
              <w:spacing w:after="0"/>
              <w:jc w:val="left"/>
              <w:rPr>
                <w:rFonts w:cstheme="minorHAnsi"/>
                <w:sz w:val="20"/>
                <w:szCs w:val="20"/>
              </w:rPr>
            </w:pPr>
            <w:r w:rsidRPr="00257F28">
              <w:rPr>
                <w:sz w:val="20"/>
                <w:szCs w:val="20"/>
              </w:rPr>
              <w:t xml:space="preserve">       During COVID</w:t>
            </w:r>
          </w:p>
        </w:tc>
        <w:tc>
          <w:tcPr>
            <w:tcW w:w="2399" w:type="pct"/>
            <w:tcBorders>
              <w:top w:val="nil"/>
              <w:left w:val="nil"/>
              <w:bottom w:val="single" w:sz="4" w:space="0" w:color="7F7F7F" w:themeColor="text1" w:themeTint="80"/>
              <w:right w:val="nil"/>
            </w:tcBorders>
          </w:tcPr>
          <w:p w14:paraId="2893EB44" w14:textId="77777777" w:rsidR="00434810" w:rsidRPr="00257F28" w:rsidRDefault="00434810" w:rsidP="00780238">
            <w:pPr>
              <w:spacing w:after="0" w:line="256" w:lineRule="auto"/>
              <w:jc w:val="left"/>
              <w:rPr>
                <w:sz w:val="20"/>
                <w:szCs w:val="20"/>
              </w:rPr>
            </w:pPr>
          </w:p>
          <w:p w14:paraId="4DB5674B" w14:textId="77777777" w:rsidR="00434810" w:rsidRPr="00257F28" w:rsidRDefault="00434810" w:rsidP="00780238">
            <w:pPr>
              <w:spacing w:after="0" w:line="256" w:lineRule="auto"/>
              <w:jc w:val="left"/>
              <w:rPr>
                <w:sz w:val="20"/>
                <w:szCs w:val="20"/>
              </w:rPr>
            </w:pPr>
            <w:r w:rsidRPr="00257F28">
              <w:rPr>
                <w:sz w:val="20"/>
                <w:szCs w:val="20"/>
              </w:rPr>
              <w:t>0.32 (0.29, 0.36)</w:t>
            </w:r>
          </w:p>
          <w:p w14:paraId="43488F0C" w14:textId="77777777" w:rsidR="00434810" w:rsidRPr="00257F28" w:rsidRDefault="00434810" w:rsidP="00780238">
            <w:pPr>
              <w:spacing w:after="0"/>
              <w:jc w:val="left"/>
              <w:rPr>
                <w:sz w:val="20"/>
                <w:szCs w:val="20"/>
              </w:rPr>
            </w:pPr>
            <w:r w:rsidRPr="00257F28">
              <w:rPr>
                <w:sz w:val="20"/>
                <w:szCs w:val="20"/>
              </w:rPr>
              <w:t>0.47 (0.44, 0.51)</w:t>
            </w:r>
          </w:p>
        </w:tc>
      </w:tr>
      <w:tr w:rsidR="00434810" w:rsidRPr="00257F28" w14:paraId="46ED291C" w14:textId="77777777" w:rsidTr="00CE03C3">
        <w:tc>
          <w:tcPr>
            <w:tcW w:w="5000" w:type="pct"/>
            <w:gridSpan w:val="2"/>
            <w:tcBorders>
              <w:top w:val="single" w:sz="4" w:space="0" w:color="7F7F7F" w:themeColor="text1" w:themeTint="80"/>
              <w:left w:val="nil"/>
              <w:bottom w:val="single" w:sz="4" w:space="0" w:color="7F7F7F" w:themeColor="text1" w:themeTint="80"/>
              <w:right w:val="nil"/>
            </w:tcBorders>
            <w:shd w:val="clear" w:color="auto" w:fill="D9D9D9" w:themeFill="background1" w:themeFillShade="D9"/>
            <w:hideMark/>
          </w:tcPr>
          <w:p w14:paraId="33CC7D3C" w14:textId="77777777" w:rsidR="00434810" w:rsidRPr="00257F28" w:rsidRDefault="00434810" w:rsidP="00780238">
            <w:pPr>
              <w:spacing w:after="0"/>
              <w:jc w:val="left"/>
              <w:rPr>
                <w:rFonts w:cstheme="minorHAnsi"/>
                <w:b/>
                <w:bCs/>
                <w:sz w:val="20"/>
                <w:szCs w:val="20"/>
              </w:rPr>
            </w:pPr>
            <w:r w:rsidRPr="00257F28">
              <w:rPr>
                <w:rFonts w:cstheme="minorHAnsi"/>
                <w:b/>
                <w:bCs/>
                <w:sz w:val="20"/>
                <w:szCs w:val="20"/>
              </w:rPr>
              <w:t>Median [95%CI]</w:t>
            </w:r>
          </w:p>
        </w:tc>
      </w:tr>
      <w:tr w:rsidR="00434810" w:rsidRPr="00257F28" w14:paraId="720D771D" w14:textId="77777777" w:rsidTr="00CE03C3">
        <w:tc>
          <w:tcPr>
            <w:tcW w:w="2601" w:type="pct"/>
            <w:tcBorders>
              <w:top w:val="single" w:sz="4" w:space="0" w:color="7F7F7F" w:themeColor="text1" w:themeTint="80"/>
              <w:left w:val="nil"/>
              <w:bottom w:val="nil"/>
              <w:right w:val="nil"/>
            </w:tcBorders>
            <w:hideMark/>
          </w:tcPr>
          <w:p w14:paraId="134EE780" w14:textId="063F369F" w:rsidR="00434810" w:rsidRPr="00257F28" w:rsidRDefault="00434810" w:rsidP="00780238">
            <w:pPr>
              <w:tabs>
                <w:tab w:val="left" w:pos="285"/>
              </w:tabs>
              <w:spacing w:after="0" w:line="256" w:lineRule="auto"/>
              <w:jc w:val="left"/>
              <w:rPr>
                <w:sz w:val="20"/>
                <w:szCs w:val="20"/>
              </w:rPr>
            </w:pPr>
            <w:r w:rsidRPr="00257F28">
              <w:rPr>
                <w:b/>
                <w:sz w:val="20"/>
                <w:szCs w:val="20"/>
              </w:rPr>
              <w:t xml:space="preserve">Median daily </w:t>
            </w:r>
            <w:r w:rsidR="006704B3" w:rsidRPr="00257F28">
              <w:rPr>
                <w:b/>
                <w:sz w:val="20"/>
                <w:szCs w:val="20"/>
              </w:rPr>
              <w:t>dose</w:t>
            </w:r>
          </w:p>
        </w:tc>
        <w:tc>
          <w:tcPr>
            <w:tcW w:w="2399" w:type="pct"/>
            <w:tcBorders>
              <w:top w:val="single" w:sz="4" w:space="0" w:color="7F7F7F" w:themeColor="text1" w:themeTint="80"/>
              <w:left w:val="nil"/>
              <w:bottom w:val="nil"/>
              <w:right w:val="nil"/>
            </w:tcBorders>
          </w:tcPr>
          <w:p w14:paraId="5513C22F" w14:textId="77777777" w:rsidR="00434810" w:rsidRPr="00257F28" w:rsidRDefault="00434810" w:rsidP="00780238">
            <w:pPr>
              <w:spacing w:after="0" w:line="256" w:lineRule="auto"/>
              <w:jc w:val="left"/>
              <w:rPr>
                <w:rFonts w:cstheme="minorHAnsi"/>
                <w:sz w:val="20"/>
                <w:szCs w:val="20"/>
              </w:rPr>
            </w:pPr>
          </w:p>
        </w:tc>
      </w:tr>
      <w:tr w:rsidR="00434810" w:rsidRPr="00257F28" w14:paraId="5EC0F788" w14:textId="77777777" w:rsidTr="00CE03C3">
        <w:tc>
          <w:tcPr>
            <w:tcW w:w="2601" w:type="pct"/>
            <w:hideMark/>
          </w:tcPr>
          <w:p w14:paraId="099F7EE9" w14:textId="77777777" w:rsidR="00434810" w:rsidRPr="00257F28" w:rsidRDefault="00434810" w:rsidP="00780238">
            <w:pPr>
              <w:tabs>
                <w:tab w:val="left" w:pos="285"/>
              </w:tabs>
              <w:spacing w:after="0" w:line="256" w:lineRule="auto"/>
              <w:jc w:val="left"/>
              <w:rPr>
                <w:sz w:val="20"/>
                <w:szCs w:val="20"/>
              </w:rPr>
            </w:pPr>
            <w:r w:rsidRPr="00257F28">
              <w:rPr>
                <w:rFonts w:cstheme="minorHAnsi"/>
                <w:sz w:val="20"/>
                <w:szCs w:val="20"/>
              </w:rPr>
              <w:tab/>
            </w:r>
            <w:r w:rsidRPr="00257F28">
              <w:rPr>
                <w:sz w:val="20"/>
                <w:szCs w:val="20"/>
              </w:rPr>
              <w:t xml:space="preserve"> Methadone (mg)</w:t>
            </w:r>
          </w:p>
        </w:tc>
        <w:tc>
          <w:tcPr>
            <w:tcW w:w="2399" w:type="pct"/>
            <w:hideMark/>
          </w:tcPr>
          <w:p w14:paraId="46D46F5C" w14:textId="77777777" w:rsidR="00434810" w:rsidRPr="00257F28" w:rsidRDefault="00434810" w:rsidP="00780238">
            <w:pPr>
              <w:spacing w:after="0" w:line="256" w:lineRule="auto"/>
              <w:jc w:val="left"/>
              <w:rPr>
                <w:rFonts w:cstheme="minorHAnsi"/>
                <w:sz w:val="20"/>
                <w:szCs w:val="20"/>
              </w:rPr>
            </w:pPr>
            <w:r w:rsidRPr="00257F28">
              <w:rPr>
                <w:rFonts w:cstheme="minorHAnsi"/>
                <w:sz w:val="20"/>
                <w:szCs w:val="20"/>
              </w:rPr>
              <w:t>75 (47, 75)</w:t>
            </w:r>
          </w:p>
        </w:tc>
      </w:tr>
      <w:tr w:rsidR="00434810" w:rsidRPr="00257F28" w14:paraId="45A0B65B" w14:textId="77777777" w:rsidTr="00CE03C3">
        <w:tc>
          <w:tcPr>
            <w:tcW w:w="2601" w:type="pct"/>
            <w:tcBorders>
              <w:top w:val="nil"/>
              <w:left w:val="nil"/>
              <w:bottom w:val="single" w:sz="4" w:space="0" w:color="7F7F7F" w:themeColor="text1" w:themeTint="80"/>
              <w:right w:val="nil"/>
            </w:tcBorders>
            <w:hideMark/>
          </w:tcPr>
          <w:p w14:paraId="2BE517D1" w14:textId="77777777" w:rsidR="00434810" w:rsidRPr="00257F28" w:rsidRDefault="00434810" w:rsidP="00780238">
            <w:pPr>
              <w:tabs>
                <w:tab w:val="left" w:pos="285"/>
              </w:tabs>
              <w:spacing w:after="0" w:line="256" w:lineRule="auto"/>
              <w:jc w:val="left"/>
              <w:rPr>
                <w:sz w:val="20"/>
                <w:szCs w:val="20"/>
              </w:rPr>
            </w:pPr>
            <w:r w:rsidRPr="00257F28">
              <w:rPr>
                <w:rFonts w:cstheme="minorHAnsi"/>
                <w:sz w:val="20"/>
                <w:szCs w:val="20"/>
              </w:rPr>
              <w:tab/>
            </w:r>
            <w:r w:rsidRPr="00257F28">
              <w:rPr>
                <w:sz w:val="20"/>
                <w:szCs w:val="20"/>
              </w:rPr>
              <w:t xml:space="preserve"> Buprenorphine sublingual- (mg)</w:t>
            </w:r>
          </w:p>
        </w:tc>
        <w:tc>
          <w:tcPr>
            <w:tcW w:w="2399" w:type="pct"/>
            <w:tcBorders>
              <w:top w:val="nil"/>
              <w:left w:val="nil"/>
              <w:bottom w:val="single" w:sz="4" w:space="0" w:color="7F7F7F" w:themeColor="text1" w:themeTint="80"/>
              <w:right w:val="nil"/>
            </w:tcBorders>
            <w:hideMark/>
          </w:tcPr>
          <w:p w14:paraId="0ECF66A0" w14:textId="77777777" w:rsidR="00434810" w:rsidRPr="00257F28" w:rsidRDefault="00434810" w:rsidP="00780238">
            <w:pPr>
              <w:spacing w:after="0" w:line="256" w:lineRule="auto"/>
              <w:jc w:val="left"/>
              <w:rPr>
                <w:rFonts w:cstheme="minorHAnsi"/>
                <w:sz w:val="20"/>
                <w:szCs w:val="20"/>
              </w:rPr>
            </w:pPr>
            <w:r w:rsidRPr="00257F28">
              <w:rPr>
                <w:rFonts w:cstheme="minorHAnsi"/>
                <w:sz w:val="20"/>
                <w:szCs w:val="20"/>
              </w:rPr>
              <w:t>13 (13, 61)</w:t>
            </w:r>
          </w:p>
        </w:tc>
      </w:tr>
    </w:tbl>
    <w:p w14:paraId="10A1E56D" w14:textId="45BFE019" w:rsidR="00434810" w:rsidRDefault="001353F7" w:rsidP="00AF6355">
      <w:pPr>
        <w:spacing w:after="0" w:line="256" w:lineRule="auto"/>
        <w:jc w:val="left"/>
      </w:pPr>
      <w:r>
        <w:rPr>
          <w:sz w:val="20"/>
          <w:szCs w:val="20"/>
          <w:vertAlign w:val="superscript"/>
        </w:rPr>
        <w:t>*</w:t>
      </w:r>
      <w:r w:rsidR="00434810" w:rsidRPr="00257F28">
        <w:rPr>
          <w:sz w:val="20"/>
          <w:szCs w:val="20"/>
        </w:rPr>
        <w:t>The ETHOS cohort is a sample of people with a history of injecting drug use, recruited from public and private drug treatment clinics, high case-load GPs, and NSPs</w:t>
      </w:r>
      <w:r w:rsidR="00434810" w:rsidRPr="00257F28">
        <w:rPr>
          <w:rFonts w:ascii="Source Sans Pro" w:hAnsi="Source Sans Pro"/>
          <w:color w:val="000000"/>
          <w:sz w:val="20"/>
          <w:szCs w:val="20"/>
          <w:shd w:val="clear" w:color="auto" w:fill="FFFFFF"/>
        </w:rPr>
        <w:t>.</w:t>
      </w:r>
      <w:bookmarkStart w:id="247" w:name="_Hlk127947804"/>
      <w:r w:rsidR="002565E6" w:rsidRPr="00257F28">
        <w:rPr>
          <w:rFonts w:ascii="Source Sans Pro" w:hAnsi="Source Sans Pro"/>
          <w:color w:val="000000"/>
          <w:sz w:val="20"/>
          <w:szCs w:val="20"/>
          <w:shd w:val="clear" w:color="auto" w:fill="FFFFFF"/>
        </w:rPr>
        <w:fldChar w:fldCharType="begin">
          <w:fldData xml:space="preserve">PEVuZE5vdGU+PENpdGU+PEF1dGhvcj5WYWxlcmlvPC9BdXRob3I+PFllYXI+MjAyMTwvWWVhcj48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</w:fldData>
        </w:fldChar>
      </w:r>
      <w:r w:rsidR="002565E6">
        <w:rPr>
          <w:rFonts w:ascii="Source Sans Pro" w:hAnsi="Source Sans Pro"/>
          <w:color w:val="000000"/>
          <w:sz w:val="20"/>
          <w:szCs w:val="20"/>
          <w:shd w:val="clear" w:color="auto" w:fill="FFFFFF"/>
        </w:rPr>
        <w:instrText xml:space="preserve"> ADDIN EN.CITE </w:instrText>
      </w:r>
      <w:r w:rsidR="002565E6">
        <w:rPr>
          <w:rFonts w:ascii="Source Sans Pro" w:hAnsi="Source Sans Pro"/>
          <w:color w:val="000000"/>
          <w:sz w:val="20"/>
          <w:szCs w:val="20"/>
          <w:shd w:val="clear" w:color="auto" w:fill="FFFFFF"/>
        </w:rPr>
        <w:fldChar w:fldCharType="begin">
          <w:fldData xml:space="preserve">PEVuZE5vdGU+PENpdGU+PEF1dGhvcj5WYWxlcmlvPC9BdXRob3I+PFllYXI+MjAyMTwvWWVhcj48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</w:fldData>
        </w:fldChar>
      </w:r>
      <w:r w:rsidR="002565E6">
        <w:rPr>
          <w:rFonts w:ascii="Source Sans Pro" w:hAnsi="Source Sans Pro"/>
          <w:color w:val="000000"/>
          <w:sz w:val="20"/>
          <w:szCs w:val="20"/>
          <w:shd w:val="clear" w:color="auto" w:fill="FFFFFF"/>
        </w:rPr>
        <w:instrText xml:space="preserve"> ADDIN EN.CITE.DATA </w:instrText>
      </w:r>
      <w:r w:rsidR="002565E6">
        <w:rPr>
          <w:rFonts w:ascii="Source Sans Pro" w:hAnsi="Source Sans Pro"/>
          <w:color w:val="000000"/>
          <w:sz w:val="20"/>
          <w:szCs w:val="20"/>
          <w:shd w:val="clear" w:color="auto" w:fill="FFFFFF"/>
        </w:rPr>
      </w:r>
      <w:r w:rsidR="002565E6">
        <w:rPr>
          <w:rFonts w:ascii="Source Sans Pro" w:hAnsi="Source Sans Pro"/>
          <w:color w:val="000000"/>
          <w:sz w:val="20"/>
          <w:szCs w:val="20"/>
          <w:shd w:val="clear" w:color="auto" w:fill="FFFFFF"/>
        </w:rPr>
        <w:fldChar w:fldCharType="end"/>
      </w:r>
      <w:r w:rsidR="002565E6" w:rsidRPr="00257F28">
        <w:rPr>
          <w:rFonts w:ascii="Source Sans Pro" w:hAnsi="Source Sans Pro"/>
          <w:color w:val="000000"/>
          <w:sz w:val="20"/>
          <w:szCs w:val="20"/>
          <w:shd w:val="clear" w:color="auto" w:fill="FFFFFF"/>
        </w:rPr>
      </w:r>
      <w:r w:rsidR="002565E6" w:rsidRPr="00257F28">
        <w:rPr>
          <w:rFonts w:ascii="Source Sans Pro" w:hAnsi="Source Sans Pro"/>
          <w:color w:val="000000"/>
          <w:sz w:val="20"/>
          <w:szCs w:val="20"/>
          <w:shd w:val="clear" w:color="auto" w:fill="FFFFFF"/>
        </w:rPr>
        <w:fldChar w:fldCharType="separate"/>
      </w:r>
      <w:r w:rsidR="002565E6" w:rsidRPr="005531C9">
        <w:rPr>
          <w:rFonts w:ascii="Source Sans Pro" w:hAnsi="Source Sans Pro"/>
          <w:noProof/>
          <w:color w:val="000000"/>
          <w:sz w:val="20"/>
          <w:szCs w:val="20"/>
          <w:shd w:val="clear" w:color="auto" w:fill="FFFFFF"/>
          <w:vertAlign w:val="superscript"/>
        </w:rPr>
        <w:t>7</w:t>
      </w:r>
      <w:r w:rsidR="002565E6" w:rsidRPr="00257F28">
        <w:rPr>
          <w:rFonts w:ascii="Source Sans Pro" w:hAnsi="Source Sans Pro"/>
          <w:color w:val="000000"/>
          <w:sz w:val="20"/>
          <w:szCs w:val="20"/>
          <w:shd w:val="clear" w:color="auto" w:fill="FFFFFF"/>
        </w:rPr>
        <w:fldChar w:fldCharType="end"/>
      </w:r>
      <w:bookmarkEnd w:id="247"/>
      <w:r w:rsidR="00434810" w:rsidRPr="00257F28">
        <w:rPr>
          <w:sz w:val="20"/>
          <w:szCs w:val="20"/>
        </w:rPr>
        <w:t xml:space="preserve"> </w:t>
      </w:r>
      <w:r w:rsidR="00434810" w:rsidRPr="00257F28">
        <w:rPr>
          <w:sz w:val="20"/>
          <w:szCs w:val="20"/>
        </w:rPr>
        <w:br/>
      </w:r>
    </w:p>
    <w:p w14:paraId="2E019EDA" w14:textId="31D47A9A" w:rsidR="00434810" w:rsidRPr="00EA3458" w:rsidRDefault="00434810">
      <w:pPr>
        <w:pStyle w:val="Heading3"/>
      </w:pPr>
      <w:bookmarkStart w:id="248" w:name="_Toc118719044"/>
      <w:bookmarkStart w:id="249" w:name="_Toc163221167"/>
      <w:r w:rsidRPr="00EA3458">
        <w:t>Literature Review – Australia and international guidelines</w:t>
      </w:r>
      <w:bookmarkEnd w:id="248"/>
      <w:bookmarkEnd w:id="249"/>
    </w:p>
    <w:p w14:paraId="7A5ADDC8" w14:textId="02D64F77" w:rsidR="00DA49F8" w:rsidRDefault="00434810" w:rsidP="00117A41">
      <w:pPr>
        <w:rPr>
          <w:rFonts w:asciiTheme="majorHAnsi" w:eastAsiaTheme="majorEastAsia" w:hAnsiTheme="majorHAnsi" w:cstheme="majorBidi"/>
          <w:i/>
          <w:iCs/>
          <w:color w:val="2F5496" w:themeColor="accent1" w:themeShade="BF"/>
        </w:rPr>
      </w:pPr>
      <w:r w:rsidRPr="00EA3458">
        <w:t xml:space="preserve">The literature review </w:t>
      </w:r>
      <w:r w:rsidR="008407F8" w:rsidRPr="00EA3458">
        <w:t>outline</w:t>
      </w:r>
      <w:r w:rsidR="004E1AC4">
        <w:t>d</w:t>
      </w:r>
      <w:r w:rsidR="008407F8" w:rsidRPr="00EA3458">
        <w:t xml:space="preserve"> existing Australian state-based and national treatment guidelines</w:t>
      </w:r>
      <w:r w:rsidR="004E1AC4">
        <w:t xml:space="preserve"> including the impact of COVID on service delivery</w:t>
      </w:r>
      <w:r w:rsidR="008407F8" w:rsidRPr="00EA3458">
        <w:t xml:space="preserve">. The literature review then </w:t>
      </w:r>
      <w:r w:rsidRPr="00EA3458">
        <w:t>compared O</w:t>
      </w:r>
      <w:r w:rsidR="00DD7862">
        <w:t>D</w:t>
      </w:r>
      <w:r w:rsidRPr="00EA3458">
        <w:t>T</w:t>
      </w:r>
      <w:r w:rsidR="00DD7862">
        <w:t xml:space="preserve"> medicine</w:t>
      </w:r>
      <w:r w:rsidRPr="00EA3458">
        <w:t xml:space="preserve"> service delivery across Australian jurisdictions and internationally in countries with similar national drug policy and health systems to the Australian context with the view to drawing out the essential elements. </w:t>
      </w:r>
      <w:bookmarkStart w:id="250" w:name="_Toc96963291"/>
      <w:bookmarkStart w:id="251" w:name="_Toc99135843"/>
      <w:bookmarkStart w:id="252" w:name="_Toc116025878"/>
    </w:p>
    <w:p w14:paraId="1C36B7B2" w14:textId="179CEDC8" w:rsidR="00CD0425" w:rsidRPr="00EA3458" w:rsidRDefault="00CD0425" w:rsidP="00866385">
      <w:pPr>
        <w:pStyle w:val="Heading4"/>
      </w:pPr>
      <w:r w:rsidRPr="00EA3458">
        <w:t>Australian state-based and national treatment guidelines</w:t>
      </w:r>
      <w:bookmarkEnd w:id="250"/>
      <w:bookmarkEnd w:id="251"/>
      <w:bookmarkEnd w:id="252"/>
    </w:p>
    <w:p w14:paraId="16CB7D91" w14:textId="6398F0DF" w:rsidR="00DA49F8" w:rsidRDefault="00CD0425" w:rsidP="00DA49F8">
      <w:pPr>
        <w:rPr>
          <w:rFonts w:eastAsiaTheme="majorEastAsia" w:cstheme="majorBidi"/>
          <w:b/>
          <w:iCs/>
          <w:highlight w:val="yellow"/>
        </w:rPr>
      </w:pPr>
      <w:r w:rsidRPr="00EA3458">
        <w:t xml:space="preserve">As shown in </w:t>
      </w:r>
      <w:r w:rsidRPr="00DA49F8">
        <w:t xml:space="preserve">Table </w:t>
      </w:r>
      <w:r w:rsidR="00253486" w:rsidRPr="00DA49F8">
        <w:t>4</w:t>
      </w:r>
      <w:r w:rsidRPr="00EA3458">
        <w:t xml:space="preserve">, there are </w:t>
      </w:r>
      <w:r w:rsidR="00C6260F" w:rsidRPr="00EA3458">
        <w:t>several</w:t>
      </w:r>
      <w:r w:rsidRPr="00EA3458">
        <w:t xml:space="preserve"> guidelines across Australia pertaining to the use of pharmacological treatment of opioid dependence, many of which are based on the National Guidelines</w:t>
      </w:r>
      <w:r w:rsidRPr="00EA3458">
        <w:rPr>
          <w:i/>
        </w:rPr>
        <w:t>.</w:t>
      </w:r>
      <w:r w:rsidRPr="00EA3458">
        <w:t xml:space="preserve"> </w:t>
      </w:r>
      <w:bookmarkStart w:id="253" w:name="_Toc116025678"/>
    </w:p>
    <w:p w14:paraId="342A3C15" w14:textId="77777777" w:rsidR="00117A41" w:rsidRDefault="00117A41">
      <w:pPr>
        <w:spacing w:after="160" w:line="259" w:lineRule="auto"/>
        <w:jc w:val="left"/>
        <w:rPr>
          <w:rFonts w:eastAsiaTheme="majorEastAsia" w:cstheme="majorBidi"/>
          <w:b/>
          <w:iCs/>
        </w:rPr>
      </w:pPr>
      <w:r>
        <w:br w:type="page"/>
      </w:r>
    </w:p>
    <w:p w14:paraId="6834A8C7" w14:textId="36B761A8" w:rsidR="00CD0425" w:rsidRPr="00EA3458" w:rsidRDefault="00CD0425">
      <w:pPr>
        <w:pStyle w:val="Tables"/>
      </w:pPr>
      <w:bookmarkStart w:id="254" w:name="_Toc120183436"/>
      <w:bookmarkStart w:id="255" w:name="_Toc132823424"/>
      <w:r w:rsidRPr="00DA49F8">
        <w:lastRenderedPageBreak/>
        <w:t xml:space="preserve">Table </w:t>
      </w:r>
      <w:r w:rsidR="00253486" w:rsidRPr="00DA49F8">
        <w:t>4</w:t>
      </w:r>
      <w:r w:rsidRPr="00DA49F8">
        <w:t>.</w:t>
      </w:r>
      <w:r w:rsidRPr="00EA3458">
        <w:t xml:space="preserve"> Key Australian opioid dependence treatment guidelines</w:t>
      </w:r>
      <w:bookmarkEnd w:id="253"/>
      <w:bookmarkEnd w:id="254"/>
      <w:bookmarkEnd w:id="255"/>
    </w:p>
    <w:tbl>
      <w:tblPr>
        <w:tblStyle w:val="TableGrid"/>
        <w:tblW w:w="0" w:type="auto"/>
        <w:tblInd w:w="0" w:type="dxa"/>
        <w:tblLook w:val="04A0" w:firstRow="1" w:lastRow="0" w:firstColumn="1" w:lastColumn="0" w:noHBand="0" w:noVBand="1"/>
        <w:tblCaption w:val="Key Australian opioid dependence treatment guidelines"/>
        <w:tblDescription w:val="The table lists the key ODT giudelines, broken down by which state they apply to, and shows the year in which each set of guidelines was last updated."/>
      </w:tblPr>
      <w:tblGrid>
        <w:gridCol w:w="1349"/>
        <w:gridCol w:w="773"/>
        <w:gridCol w:w="6894"/>
      </w:tblGrid>
      <w:tr w:rsidR="00CD0425" w:rsidRPr="00EA3458" w14:paraId="10FD70C9" w14:textId="77777777" w:rsidTr="00A95343">
        <w:tc>
          <w:tcPr>
            <w:tcW w:w="134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3BD7CC" w14:textId="77777777" w:rsidR="00CD0425" w:rsidRPr="00EA3458" w:rsidRDefault="00CD0425" w:rsidP="00780238">
            <w:pPr>
              <w:jc w:val="left"/>
              <w:rPr>
                <w:b/>
                <w:bCs/>
                <w:sz w:val="20"/>
                <w:szCs w:val="20"/>
              </w:rPr>
            </w:pPr>
            <w:r w:rsidRPr="00EA3458">
              <w:rPr>
                <w:b/>
                <w:bCs/>
                <w:sz w:val="20"/>
                <w:szCs w:val="20"/>
              </w:rPr>
              <w:t>Jurisdiction</w:t>
            </w:r>
          </w:p>
        </w:tc>
        <w:tc>
          <w:tcPr>
            <w:tcW w:w="77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D29076" w14:textId="77777777" w:rsidR="00CD0425" w:rsidRPr="00EA3458" w:rsidRDefault="00CD0425" w:rsidP="00780238">
            <w:pPr>
              <w:jc w:val="left"/>
              <w:rPr>
                <w:b/>
                <w:bCs/>
                <w:sz w:val="20"/>
                <w:szCs w:val="20"/>
              </w:rPr>
            </w:pPr>
            <w:r w:rsidRPr="00EA3458">
              <w:rPr>
                <w:b/>
                <w:bCs/>
                <w:sz w:val="20"/>
                <w:szCs w:val="20"/>
              </w:rPr>
              <w:t>Year</w:t>
            </w:r>
          </w:p>
        </w:tc>
        <w:tc>
          <w:tcPr>
            <w:tcW w:w="689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FCF986" w14:textId="77777777" w:rsidR="00CD0425" w:rsidRPr="00EA3458" w:rsidRDefault="00CD0425" w:rsidP="00780238">
            <w:pPr>
              <w:jc w:val="left"/>
              <w:rPr>
                <w:b/>
                <w:bCs/>
                <w:sz w:val="20"/>
                <w:szCs w:val="20"/>
              </w:rPr>
            </w:pPr>
            <w:r w:rsidRPr="00EA3458">
              <w:rPr>
                <w:b/>
                <w:bCs/>
                <w:sz w:val="20"/>
                <w:szCs w:val="20"/>
              </w:rPr>
              <w:t>Guideline</w:t>
            </w:r>
          </w:p>
        </w:tc>
      </w:tr>
      <w:tr w:rsidR="00CD0425" w:rsidRPr="00EA3458" w14:paraId="3291F998" w14:textId="77777777" w:rsidTr="00A95343">
        <w:tc>
          <w:tcPr>
            <w:tcW w:w="1349" w:type="dxa"/>
            <w:tcBorders>
              <w:top w:val="single" w:sz="4" w:space="0" w:color="auto"/>
              <w:left w:val="single" w:sz="4" w:space="0" w:color="auto"/>
              <w:bottom w:val="dotted" w:sz="4" w:space="0" w:color="7F7F7F" w:themeColor="text1" w:themeTint="80"/>
              <w:right w:val="single" w:sz="4" w:space="0" w:color="auto"/>
            </w:tcBorders>
            <w:hideMark/>
          </w:tcPr>
          <w:p w14:paraId="65DC8018" w14:textId="77777777" w:rsidR="00CD0425" w:rsidRPr="00EA3458" w:rsidRDefault="00CD0425" w:rsidP="00780238">
            <w:pPr>
              <w:spacing w:after="0"/>
              <w:jc w:val="left"/>
              <w:rPr>
                <w:sz w:val="20"/>
                <w:szCs w:val="20"/>
              </w:rPr>
            </w:pPr>
            <w:r w:rsidRPr="00EA3458">
              <w:rPr>
                <w:sz w:val="20"/>
                <w:szCs w:val="20"/>
              </w:rPr>
              <w:t>National</w:t>
            </w:r>
          </w:p>
        </w:tc>
        <w:tc>
          <w:tcPr>
            <w:tcW w:w="773" w:type="dxa"/>
            <w:tcBorders>
              <w:top w:val="single" w:sz="4" w:space="0" w:color="auto"/>
              <w:left w:val="single" w:sz="4" w:space="0" w:color="auto"/>
              <w:bottom w:val="dotted" w:sz="4" w:space="0" w:color="7F7F7F" w:themeColor="text1" w:themeTint="80"/>
              <w:right w:val="single" w:sz="4" w:space="0" w:color="auto"/>
            </w:tcBorders>
            <w:hideMark/>
          </w:tcPr>
          <w:p w14:paraId="572B17F2" w14:textId="77777777" w:rsidR="00CD0425" w:rsidRPr="00EA3458" w:rsidRDefault="00CD0425" w:rsidP="00780238">
            <w:pPr>
              <w:spacing w:after="0"/>
              <w:jc w:val="left"/>
              <w:rPr>
                <w:sz w:val="20"/>
                <w:szCs w:val="20"/>
              </w:rPr>
            </w:pPr>
            <w:r w:rsidRPr="00EA3458">
              <w:rPr>
                <w:sz w:val="20"/>
                <w:szCs w:val="20"/>
              </w:rPr>
              <w:t>2014</w:t>
            </w:r>
          </w:p>
        </w:tc>
        <w:tc>
          <w:tcPr>
            <w:tcW w:w="6894" w:type="dxa"/>
            <w:tcBorders>
              <w:top w:val="single" w:sz="4" w:space="0" w:color="auto"/>
              <w:left w:val="single" w:sz="4" w:space="0" w:color="auto"/>
              <w:bottom w:val="dotted" w:sz="4" w:space="0" w:color="7F7F7F" w:themeColor="text1" w:themeTint="80"/>
              <w:right w:val="single" w:sz="4" w:space="0" w:color="auto"/>
            </w:tcBorders>
            <w:hideMark/>
          </w:tcPr>
          <w:p w14:paraId="2B428917" w14:textId="77777777" w:rsidR="00CD0425" w:rsidRPr="00EA3458" w:rsidRDefault="00CD0425" w:rsidP="00780238">
            <w:pPr>
              <w:spacing w:after="0"/>
              <w:jc w:val="left"/>
              <w:rPr>
                <w:sz w:val="20"/>
                <w:szCs w:val="20"/>
              </w:rPr>
            </w:pPr>
            <w:r w:rsidRPr="00EA3458">
              <w:rPr>
                <w:sz w:val="20"/>
                <w:szCs w:val="20"/>
              </w:rPr>
              <w:t>National Guidelines for Medication-Assisted Treatment of Opioid Dependence</w:t>
            </w:r>
          </w:p>
        </w:tc>
      </w:tr>
      <w:tr w:rsidR="00CD0425" w:rsidRPr="00EA3458" w14:paraId="75D6755B" w14:textId="77777777" w:rsidTr="00A95343">
        <w:tc>
          <w:tcPr>
            <w:tcW w:w="1349" w:type="dxa"/>
            <w:tcBorders>
              <w:top w:val="dotted" w:sz="4" w:space="0" w:color="7F7F7F" w:themeColor="text1" w:themeTint="80"/>
              <w:left w:val="single" w:sz="4" w:space="0" w:color="auto"/>
              <w:bottom w:val="dotted" w:sz="4" w:space="0" w:color="7F7F7F" w:themeColor="text1" w:themeTint="80"/>
              <w:right w:val="single" w:sz="4" w:space="0" w:color="auto"/>
            </w:tcBorders>
            <w:hideMark/>
          </w:tcPr>
          <w:p w14:paraId="25210593" w14:textId="77777777" w:rsidR="00CD0425" w:rsidRPr="00EA3458" w:rsidRDefault="00CD0425" w:rsidP="00780238">
            <w:pPr>
              <w:spacing w:after="0"/>
              <w:jc w:val="left"/>
              <w:rPr>
                <w:sz w:val="20"/>
                <w:szCs w:val="20"/>
              </w:rPr>
            </w:pPr>
            <w:r w:rsidRPr="00EA3458">
              <w:rPr>
                <w:sz w:val="20"/>
                <w:szCs w:val="20"/>
              </w:rPr>
              <w:t>Victoria</w:t>
            </w:r>
          </w:p>
        </w:tc>
        <w:tc>
          <w:tcPr>
            <w:tcW w:w="773" w:type="dxa"/>
            <w:tcBorders>
              <w:top w:val="dotted" w:sz="4" w:space="0" w:color="7F7F7F" w:themeColor="text1" w:themeTint="80"/>
              <w:left w:val="single" w:sz="4" w:space="0" w:color="auto"/>
              <w:bottom w:val="dotted" w:sz="4" w:space="0" w:color="7F7F7F" w:themeColor="text1" w:themeTint="80"/>
              <w:right w:val="single" w:sz="4" w:space="0" w:color="auto"/>
            </w:tcBorders>
            <w:hideMark/>
          </w:tcPr>
          <w:p w14:paraId="7EDFAB92" w14:textId="77777777" w:rsidR="00CD0425" w:rsidRPr="00EA3458" w:rsidRDefault="00CD0425" w:rsidP="00780238">
            <w:pPr>
              <w:spacing w:after="0"/>
              <w:jc w:val="left"/>
              <w:rPr>
                <w:sz w:val="20"/>
                <w:szCs w:val="20"/>
              </w:rPr>
            </w:pPr>
            <w:r w:rsidRPr="00EA3458">
              <w:rPr>
                <w:sz w:val="20"/>
                <w:szCs w:val="20"/>
              </w:rPr>
              <w:t>2016</w:t>
            </w:r>
          </w:p>
        </w:tc>
        <w:tc>
          <w:tcPr>
            <w:tcW w:w="6894" w:type="dxa"/>
            <w:tcBorders>
              <w:top w:val="dotted" w:sz="4" w:space="0" w:color="7F7F7F" w:themeColor="text1" w:themeTint="80"/>
              <w:left w:val="single" w:sz="4" w:space="0" w:color="auto"/>
              <w:bottom w:val="dotted" w:sz="4" w:space="0" w:color="7F7F7F" w:themeColor="text1" w:themeTint="80"/>
              <w:right w:val="single" w:sz="4" w:space="0" w:color="auto"/>
            </w:tcBorders>
            <w:hideMark/>
          </w:tcPr>
          <w:p w14:paraId="65C5F1B4" w14:textId="77777777" w:rsidR="00CD0425" w:rsidRPr="00EA3458" w:rsidRDefault="00CD0425" w:rsidP="00780238">
            <w:pPr>
              <w:spacing w:after="0"/>
              <w:jc w:val="left"/>
              <w:rPr>
                <w:sz w:val="20"/>
                <w:szCs w:val="20"/>
              </w:rPr>
            </w:pPr>
            <w:r w:rsidRPr="00EA3458">
              <w:rPr>
                <w:sz w:val="20"/>
                <w:szCs w:val="20"/>
              </w:rPr>
              <w:t>Policy for maintenance pharmacotherapy for opioid dependence</w:t>
            </w:r>
          </w:p>
        </w:tc>
      </w:tr>
      <w:tr w:rsidR="00CD0425" w:rsidRPr="00EA3458" w14:paraId="0F1DD9ED" w14:textId="77777777" w:rsidTr="00A95343">
        <w:tc>
          <w:tcPr>
            <w:tcW w:w="1349" w:type="dxa"/>
            <w:tcBorders>
              <w:top w:val="dotted" w:sz="4" w:space="0" w:color="7F7F7F" w:themeColor="text1" w:themeTint="80"/>
              <w:left w:val="single" w:sz="4" w:space="0" w:color="auto"/>
              <w:bottom w:val="dotted" w:sz="4" w:space="0" w:color="7F7F7F" w:themeColor="text1" w:themeTint="80"/>
              <w:right w:val="single" w:sz="4" w:space="0" w:color="auto"/>
            </w:tcBorders>
            <w:hideMark/>
          </w:tcPr>
          <w:p w14:paraId="3F6124A3" w14:textId="77777777" w:rsidR="00CD0425" w:rsidRPr="00EA3458" w:rsidRDefault="00CD0425" w:rsidP="00780238">
            <w:pPr>
              <w:spacing w:after="0"/>
              <w:jc w:val="left"/>
              <w:rPr>
                <w:sz w:val="20"/>
                <w:szCs w:val="20"/>
              </w:rPr>
            </w:pPr>
            <w:r w:rsidRPr="00EA3458">
              <w:rPr>
                <w:sz w:val="20"/>
                <w:szCs w:val="20"/>
              </w:rPr>
              <w:t>NSW</w:t>
            </w:r>
          </w:p>
        </w:tc>
        <w:tc>
          <w:tcPr>
            <w:tcW w:w="773" w:type="dxa"/>
            <w:tcBorders>
              <w:top w:val="dotted" w:sz="4" w:space="0" w:color="7F7F7F" w:themeColor="text1" w:themeTint="80"/>
              <w:left w:val="single" w:sz="4" w:space="0" w:color="auto"/>
              <w:bottom w:val="dotted" w:sz="4" w:space="0" w:color="7F7F7F" w:themeColor="text1" w:themeTint="80"/>
              <w:right w:val="single" w:sz="4" w:space="0" w:color="auto"/>
            </w:tcBorders>
            <w:hideMark/>
          </w:tcPr>
          <w:p w14:paraId="76F55846" w14:textId="77777777" w:rsidR="00CD0425" w:rsidRDefault="00CD0425" w:rsidP="00780238">
            <w:pPr>
              <w:spacing w:after="0"/>
              <w:jc w:val="left"/>
              <w:rPr>
                <w:sz w:val="20"/>
                <w:szCs w:val="20"/>
              </w:rPr>
            </w:pPr>
            <w:r w:rsidRPr="00EA3458">
              <w:rPr>
                <w:sz w:val="20"/>
                <w:szCs w:val="20"/>
              </w:rPr>
              <w:t>2018</w:t>
            </w:r>
          </w:p>
          <w:p w14:paraId="0CC74F5E" w14:textId="6AB0B712" w:rsidR="00E05B08" w:rsidRPr="00EA3458" w:rsidRDefault="00E05B08" w:rsidP="00780238">
            <w:pPr>
              <w:spacing w:after="0"/>
              <w:jc w:val="left"/>
              <w:rPr>
                <w:sz w:val="20"/>
                <w:szCs w:val="20"/>
              </w:rPr>
            </w:pPr>
            <w:r>
              <w:rPr>
                <w:sz w:val="20"/>
                <w:szCs w:val="20"/>
              </w:rPr>
              <w:t>2019</w:t>
            </w:r>
          </w:p>
        </w:tc>
        <w:tc>
          <w:tcPr>
            <w:tcW w:w="6894" w:type="dxa"/>
            <w:tcBorders>
              <w:top w:val="dotted" w:sz="4" w:space="0" w:color="7F7F7F" w:themeColor="text1" w:themeTint="80"/>
              <w:left w:val="single" w:sz="4" w:space="0" w:color="auto"/>
              <w:bottom w:val="dotted" w:sz="4" w:space="0" w:color="7F7F7F" w:themeColor="text1" w:themeTint="80"/>
              <w:right w:val="single" w:sz="4" w:space="0" w:color="auto"/>
            </w:tcBorders>
            <w:hideMark/>
          </w:tcPr>
          <w:p w14:paraId="7264B9D9" w14:textId="77777777" w:rsidR="00CD0425" w:rsidRDefault="00CD0425" w:rsidP="00780238">
            <w:pPr>
              <w:spacing w:after="0"/>
              <w:jc w:val="left"/>
              <w:rPr>
                <w:sz w:val="20"/>
                <w:szCs w:val="20"/>
              </w:rPr>
            </w:pPr>
            <w:r w:rsidRPr="00EA3458">
              <w:rPr>
                <w:sz w:val="20"/>
                <w:szCs w:val="20"/>
              </w:rPr>
              <w:t>NSW Clinical Guidelines: Treatment of Opioid Dependence – 2018</w:t>
            </w:r>
          </w:p>
          <w:p w14:paraId="553C8DEF" w14:textId="68F1198A" w:rsidR="00E05B08" w:rsidRPr="00EA3458" w:rsidRDefault="00E05B08" w:rsidP="00780238">
            <w:pPr>
              <w:spacing w:after="0"/>
              <w:jc w:val="left"/>
              <w:rPr>
                <w:sz w:val="20"/>
                <w:szCs w:val="20"/>
              </w:rPr>
            </w:pPr>
            <w:r>
              <w:rPr>
                <w:sz w:val="20"/>
                <w:szCs w:val="20"/>
              </w:rPr>
              <w:t>Clinical guidelines for use of depot buprenorphine in the treatment of opioid dependence</w:t>
            </w:r>
          </w:p>
        </w:tc>
      </w:tr>
      <w:tr w:rsidR="00CD0425" w:rsidRPr="00EA3458" w14:paraId="72DC575D" w14:textId="77777777" w:rsidTr="00A95343">
        <w:tc>
          <w:tcPr>
            <w:tcW w:w="1349" w:type="dxa"/>
            <w:tcBorders>
              <w:top w:val="dotted" w:sz="4" w:space="0" w:color="7F7F7F" w:themeColor="text1" w:themeTint="80"/>
              <w:left w:val="single" w:sz="4" w:space="0" w:color="auto"/>
              <w:bottom w:val="dotted" w:sz="4" w:space="0" w:color="7F7F7F" w:themeColor="text1" w:themeTint="80"/>
              <w:right w:val="single" w:sz="4" w:space="0" w:color="auto"/>
            </w:tcBorders>
            <w:hideMark/>
          </w:tcPr>
          <w:p w14:paraId="073E133F" w14:textId="77777777" w:rsidR="00CD0425" w:rsidRPr="00EA3458" w:rsidRDefault="00CD0425" w:rsidP="00780238">
            <w:pPr>
              <w:spacing w:after="0"/>
              <w:jc w:val="left"/>
              <w:rPr>
                <w:sz w:val="20"/>
                <w:szCs w:val="20"/>
              </w:rPr>
            </w:pPr>
            <w:r w:rsidRPr="00EA3458">
              <w:rPr>
                <w:sz w:val="20"/>
                <w:szCs w:val="20"/>
              </w:rPr>
              <w:t>QLD</w:t>
            </w:r>
          </w:p>
        </w:tc>
        <w:tc>
          <w:tcPr>
            <w:tcW w:w="773" w:type="dxa"/>
            <w:tcBorders>
              <w:top w:val="dotted" w:sz="4" w:space="0" w:color="7F7F7F" w:themeColor="text1" w:themeTint="80"/>
              <w:left w:val="single" w:sz="4" w:space="0" w:color="auto"/>
              <w:bottom w:val="dotted" w:sz="4" w:space="0" w:color="7F7F7F" w:themeColor="text1" w:themeTint="80"/>
              <w:right w:val="single" w:sz="4" w:space="0" w:color="auto"/>
            </w:tcBorders>
            <w:hideMark/>
          </w:tcPr>
          <w:p w14:paraId="73750990" w14:textId="77777777" w:rsidR="00CD0425" w:rsidRPr="00EA3458" w:rsidRDefault="00CD0425" w:rsidP="00780238">
            <w:pPr>
              <w:spacing w:after="0"/>
              <w:jc w:val="left"/>
              <w:rPr>
                <w:sz w:val="20"/>
                <w:szCs w:val="20"/>
              </w:rPr>
            </w:pPr>
            <w:r w:rsidRPr="00EA3458">
              <w:rPr>
                <w:sz w:val="20"/>
                <w:szCs w:val="20"/>
              </w:rPr>
              <w:t>2018-2019</w:t>
            </w:r>
          </w:p>
        </w:tc>
        <w:tc>
          <w:tcPr>
            <w:tcW w:w="6894" w:type="dxa"/>
            <w:tcBorders>
              <w:top w:val="dotted" w:sz="4" w:space="0" w:color="7F7F7F" w:themeColor="text1" w:themeTint="80"/>
              <w:left w:val="single" w:sz="4" w:space="0" w:color="auto"/>
              <w:bottom w:val="dotted" w:sz="4" w:space="0" w:color="7F7F7F" w:themeColor="text1" w:themeTint="80"/>
              <w:right w:val="single" w:sz="4" w:space="0" w:color="auto"/>
            </w:tcBorders>
            <w:hideMark/>
          </w:tcPr>
          <w:p w14:paraId="6BFCC38F" w14:textId="32994E8F" w:rsidR="00CD0425" w:rsidRPr="00EA3458" w:rsidRDefault="00CD0425" w:rsidP="00780238">
            <w:pPr>
              <w:spacing w:after="0"/>
              <w:jc w:val="left"/>
              <w:rPr>
                <w:sz w:val="20"/>
                <w:szCs w:val="20"/>
              </w:rPr>
            </w:pPr>
            <w:r w:rsidRPr="00EA3458">
              <w:rPr>
                <w:sz w:val="20"/>
                <w:szCs w:val="20"/>
              </w:rPr>
              <w:t>Queensland Medication-Assisted Treatment of Opioid Dependence: Clinical Guidelines 2018</w:t>
            </w:r>
          </w:p>
          <w:p w14:paraId="5AE734AA" w14:textId="3E679672" w:rsidR="00CD0425" w:rsidRPr="00EA3458" w:rsidRDefault="00CD0425" w:rsidP="00780238">
            <w:pPr>
              <w:spacing w:after="0"/>
              <w:jc w:val="left"/>
              <w:rPr>
                <w:sz w:val="20"/>
                <w:szCs w:val="20"/>
              </w:rPr>
            </w:pPr>
            <w:r w:rsidRPr="00EA3458">
              <w:rPr>
                <w:sz w:val="20"/>
                <w:szCs w:val="20"/>
              </w:rPr>
              <w:t>Long-Acting Injection Buprenorphine in the Treatment of Opioid Dependence Queensland Clinical Guidelines: 2019</w:t>
            </w:r>
          </w:p>
        </w:tc>
      </w:tr>
      <w:tr w:rsidR="00CD0425" w:rsidRPr="00EA3458" w14:paraId="7F053A62" w14:textId="77777777" w:rsidTr="00A95343">
        <w:tc>
          <w:tcPr>
            <w:tcW w:w="1349" w:type="dxa"/>
            <w:tcBorders>
              <w:top w:val="dotted" w:sz="4" w:space="0" w:color="7F7F7F" w:themeColor="text1" w:themeTint="80"/>
              <w:left w:val="single" w:sz="4" w:space="0" w:color="auto"/>
              <w:bottom w:val="dotted" w:sz="4" w:space="0" w:color="7F7F7F" w:themeColor="text1" w:themeTint="80"/>
              <w:right w:val="single" w:sz="4" w:space="0" w:color="auto"/>
            </w:tcBorders>
            <w:hideMark/>
          </w:tcPr>
          <w:p w14:paraId="0A10836C" w14:textId="77777777" w:rsidR="00CD0425" w:rsidRPr="00EA3458" w:rsidRDefault="00CD0425" w:rsidP="00780238">
            <w:pPr>
              <w:spacing w:after="0"/>
              <w:jc w:val="left"/>
              <w:rPr>
                <w:sz w:val="20"/>
                <w:szCs w:val="20"/>
              </w:rPr>
            </w:pPr>
            <w:r w:rsidRPr="00EA3458">
              <w:rPr>
                <w:sz w:val="20"/>
                <w:szCs w:val="20"/>
              </w:rPr>
              <w:t>TAS</w:t>
            </w:r>
          </w:p>
        </w:tc>
        <w:tc>
          <w:tcPr>
            <w:tcW w:w="773" w:type="dxa"/>
            <w:tcBorders>
              <w:top w:val="dotted" w:sz="4" w:space="0" w:color="7F7F7F" w:themeColor="text1" w:themeTint="80"/>
              <w:left w:val="single" w:sz="4" w:space="0" w:color="auto"/>
              <w:bottom w:val="dotted" w:sz="4" w:space="0" w:color="7F7F7F" w:themeColor="text1" w:themeTint="80"/>
              <w:right w:val="single" w:sz="4" w:space="0" w:color="auto"/>
            </w:tcBorders>
            <w:hideMark/>
          </w:tcPr>
          <w:p w14:paraId="368E8ACB" w14:textId="77777777" w:rsidR="00CD0425" w:rsidRPr="00EA3458" w:rsidRDefault="00CD0425" w:rsidP="00780238">
            <w:pPr>
              <w:spacing w:after="0"/>
              <w:jc w:val="left"/>
              <w:rPr>
                <w:sz w:val="20"/>
                <w:szCs w:val="20"/>
              </w:rPr>
            </w:pPr>
            <w:r w:rsidRPr="00EA3458">
              <w:rPr>
                <w:sz w:val="20"/>
                <w:szCs w:val="20"/>
              </w:rPr>
              <w:t>2014</w:t>
            </w:r>
          </w:p>
        </w:tc>
        <w:tc>
          <w:tcPr>
            <w:tcW w:w="6894" w:type="dxa"/>
            <w:tcBorders>
              <w:top w:val="dotted" w:sz="4" w:space="0" w:color="7F7F7F" w:themeColor="text1" w:themeTint="80"/>
              <w:left w:val="single" w:sz="4" w:space="0" w:color="auto"/>
              <w:bottom w:val="dotted" w:sz="4" w:space="0" w:color="7F7F7F" w:themeColor="text1" w:themeTint="80"/>
              <w:right w:val="single" w:sz="4" w:space="0" w:color="auto"/>
            </w:tcBorders>
            <w:hideMark/>
          </w:tcPr>
          <w:p w14:paraId="156F6F4E" w14:textId="77777777" w:rsidR="00CD0425" w:rsidRPr="00EA3458" w:rsidRDefault="00CD0425" w:rsidP="00780238">
            <w:pPr>
              <w:spacing w:after="0"/>
              <w:jc w:val="left"/>
              <w:rPr>
                <w:sz w:val="20"/>
                <w:szCs w:val="20"/>
              </w:rPr>
            </w:pPr>
            <w:r w:rsidRPr="00EA3458">
              <w:rPr>
                <w:sz w:val="20"/>
                <w:szCs w:val="20"/>
              </w:rPr>
              <w:t xml:space="preserve">Tasmanian Opioid Pharmacotherapy Program </w:t>
            </w:r>
          </w:p>
          <w:p w14:paraId="6F0DC9D7" w14:textId="77777777" w:rsidR="00CD0425" w:rsidRPr="00EA3458" w:rsidRDefault="00CD0425" w:rsidP="00780238">
            <w:pPr>
              <w:spacing w:after="0"/>
              <w:jc w:val="left"/>
              <w:rPr>
                <w:sz w:val="20"/>
                <w:szCs w:val="20"/>
              </w:rPr>
            </w:pPr>
            <w:r w:rsidRPr="00EA3458">
              <w:rPr>
                <w:sz w:val="20"/>
                <w:szCs w:val="20"/>
              </w:rPr>
              <w:t>Policy and Clinical Practice Standards</w:t>
            </w:r>
          </w:p>
        </w:tc>
      </w:tr>
      <w:tr w:rsidR="00CD0425" w:rsidRPr="00EA3458" w14:paraId="146BBFD9" w14:textId="77777777" w:rsidTr="00A95343">
        <w:tc>
          <w:tcPr>
            <w:tcW w:w="1349" w:type="dxa"/>
            <w:tcBorders>
              <w:top w:val="dotted" w:sz="4" w:space="0" w:color="7F7F7F" w:themeColor="text1" w:themeTint="80"/>
              <w:left w:val="single" w:sz="4" w:space="0" w:color="auto"/>
              <w:bottom w:val="dotted" w:sz="4" w:space="0" w:color="7F7F7F" w:themeColor="text1" w:themeTint="80"/>
              <w:right w:val="single" w:sz="4" w:space="0" w:color="auto"/>
            </w:tcBorders>
            <w:hideMark/>
          </w:tcPr>
          <w:p w14:paraId="069DB66B" w14:textId="77777777" w:rsidR="00CD0425" w:rsidRPr="00EA3458" w:rsidRDefault="00CD0425" w:rsidP="00780238">
            <w:pPr>
              <w:spacing w:after="0"/>
              <w:jc w:val="left"/>
              <w:rPr>
                <w:sz w:val="20"/>
                <w:szCs w:val="20"/>
              </w:rPr>
            </w:pPr>
            <w:r w:rsidRPr="00EA3458">
              <w:rPr>
                <w:sz w:val="20"/>
                <w:szCs w:val="20"/>
              </w:rPr>
              <w:t>ACT</w:t>
            </w:r>
          </w:p>
        </w:tc>
        <w:tc>
          <w:tcPr>
            <w:tcW w:w="773" w:type="dxa"/>
            <w:tcBorders>
              <w:top w:val="dotted" w:sz="4" w:space="0" w:color="7F7F7F" w:themeColor="text1" w:themeTint="80"/>
              <w:left w:val="single" w:sz="4" w:space="0" w:color="auto"/>
              <w:bottom w:val="dotted" w:sz="4" w:space="0" w:color="7F7F7F" w:themeColor="text1" w:themeTint="80"/>
              <w:right w:val="single" w:sz="4" w:space="0" w:color="auto"/>
            </w:tcBorders>
            <w:hideMark/>
          </w:tcPr>
          <w:p w14:paraId="6B6BE13D" w14:textId="77777777" w:rsidR="00CD0425" w:rsidRPr="00EA3458" w:rsidRDefault="00CD0425" w:rsidP="00780238">
            <w:pPr>
              <w:spacing w:after="0"/>
              <w:jc w:val="left"/>
              <w:rPr>
                <w:sz w:val="20"/>
                <w:szCs w:val="20"/>
              </w:rPr>
            </w:pPr>
            <w:r w:rsidRPr="00EA3458">
              <w:rPr>
                <w:sz w:val="20"/>
                <w:szCs w:val="20"/>
              </w:rPr>
              <w:t>2018</w:t>
            </w:r>
          </w:p>
        </w:tc>
        <w:tc>
          <w:tcPr>
            <w:tcW w:w="6894" w:type="dxa"/>
            <w:tcBorders>
              <w:top w:val="dotted" w:sz="4" w:space="0" w:color="7F7F7F" w:themeColor="text1" w:themeTint="80"/>
              <w:left w:val="single" w:sz="4" w:space="0" w:color="auto"/>
              <w:bottom w:val="dotted" w:sz="4" w:space="0" w:color="7F7F7F" w:themeColor="text1" w:themeTint="80"/>
              <w:right w:val="single" w:sz="4" w:space="0" w:color="auto"/>
            </w:tcBorders>
            <w:hideMark/>
          </w:tcPr>
          <w:p w14:paraId="24ACCE1C" w14:textId="77777777" w:rsidR="00CD0425" w:rsidRPr="00EA3458" w:rsidRDefault="00CD0425" w:rsidP="00780238">
            <w:pPr>
              <w:spacing w:after="0"/>
              <w:jc w:val="left"/>
              <w:rPr>
                <w:sz w:val="20"/>
                <w:szCs w:val="20"/>
              </w:rPr>
            </w:pPr>
            <w:r w:rsidRPr="00EA3458">
              <w:rPr>
                <w:sz w:val="20"/>
                <w:szCs w:val="20"/>
              </w:rPr>
              <w:t>Opioid Maintenance Treatment in the ACT: Local Policies and Procedures</w:t>
            </w:r>
          </w:p>
        </w:tc>
      </w:tr>
      <w:tr w:rsidR="00CD0425" w:rsidRPr="00EA3458" w14:paraId="6FB767E2" w14:textId="77777777" w:rsidTr="00A95343">
        <w:trPr>
          <w:trHeight w:val="600"/>
        </w:trPr>
        <w:tc>
          <w:tcPr>
            <w:tcW w:w="1349" w:type="dxa"/>
            <w:tcBorders>
              <w:top w:val="dotted" w:sz="4" w:space="0" w:color="7F7F7F" w:themeColor="text1" w:themeTint="80"/>
              <w:left w:val="single" w:sz="4" w:space="0" w:color="auto"/>
              <w:bottom w:val="dotted" w:sz="4" w:space="0" w:color="7F7F7F" w:themeColor="text1" w:themeTint="80"/>
              <w:right w:val="single" w:sz="4" w:space="0" w:color="auto"/>
            </w:tcBorders>
            <w:hideMark/>
          </w:tcPr>
          <w:p w14:paraId="04AB99BD" w14:textId="77777777" w:rsidR="00CD0425" w:rsidRPr="00EA3458" w:rsidRDefault="00CD0425" w:rsidP="00780238">
            <w:pPr>
              <w:spacing w:after="0"/>
              <w:jc w:val="left"/>
              <w:rPr>
                <w:sz w:val="20"/>
                <w:szCs w:val="20"/>
              </w:rPr>
            </w:pPr>
            <w:r w:rsidRPr="00EA3458">
              <w:rPr>
                <w:sz w:val="20"/>
                <w:szCs w:val="20"/>
              </w:rPr>
              <w:t>WA</w:t>
            </w:r>
          </w:p>
        </w:tc>
        <w:tc>
          <w:tcPr>
            <w:tcW w:w="773" w:type="dxa"/>
            <w:tcBorders>
              <w:top w:val="dotted" w:sz="4" w:space="0" w:color="7F7F7F" w:themeColor="text1" w:themeTint="80"/>
              <w:left w:val="single" w:sz="4" w:space="0" w:color="auto"/>
              <w:bottom w:val="dotted" w:sz="4" w:space="0" w:color="7F7F7F" w:themeColor="text1" w:themeTint="80"/>
              <w:right w:val="single" w:sz="4" w:space="0" w:color="auto"/>
            </w:tcBorders>
            <w:hideMark/>
          </w:tcPr>
          <w:p w14:paraId="46359A16" w14:textId="77777777" w:rsidR="00CD0425" w:rsidRPr="00EA3458" w:rsidRDefault="00CD0425" w:rsidP="00780238">
            <w:pPr>
              <w:spacing w:after="0"/>
              <w:jc w:val="left"/>
              <w:rPr>
                <w:sz w:val="20"/>
                <w:szCs w:val="20"/>
              </w:rPr>
            </w:pPr>
            <w:r w:rsidRPr="00EA3458">
              <w:rPr>
                <w:sz w:val="20"/>
                <w:szCs w:val="20"/>
              </w:rPr>
              <w:t>2014</w:t>
            </w:r>
          </w:p>
        </w:tc>
        <w:tc>
          <w:tcPr>
            <w:tcW w:w="6894" w:type="dxa"/>
            <w:tcBorders>
              <w:top w:val="dotted" w:sz="4" w:space="0" w:color="7F7F7F" w:themeColor="text1" w:themeTint="80"/>
              <w:left w:val="single" w:sz="4" w:space="0" w:color="auto"/>
              <w:bottom w:val="dotted" w:sz="4" w:space="0" w:color="7F7F7F" w:themeColor="text1" w:themeTint="80"/>
              <w:right w:val="single" w:sz="4" w:space="0" w:color="auto"/>
            </w:tcBorders>
            <w:hideMark/>
          </w:tcPr>
          <w:p w14:paraId="11652133" w14:textId="395C497A" w:rsidR="00CD0425" w:rsidRPr="00EA3458" w:rsidRDefault="00CD0425" w:rsidP="00780238">
            <w:pPr>
              <w:spacing w:after="0"/>
              <w:jc w:val="left"/>
              <w:rPr>
                <w:sz w:val="20"/>
                <w:szCs w:val="20"/>
              </w:rPr>
            </w:pPr>
            <w:r w:rsidRPr="00EA3458">
              <w:rPr>
                <w:sz w:val="20"/>
                <w:szCs w:val="20"/>
              </w:rPr>
              <w:t>Western Australian Community Program for Opioid Pharmacotherapy. Clinical Policies and Procedures for the Use of Methadone and Buprenorphine in the Treatment of Opioid Dependence</w:t>
            </w:r>
          </w:p>
        </w:tc>
      </w:tr>
      <w:tr w:rsidR="00CD0425" w:rsidRPr="00EA3458" w14:paraId="34FEFB01" w14:textId="77777777" w:rsidTr="00A95343">
        <w:tc>
          <w:tcPr>
            <w:tcW w:w="1349" w:type="dxa"/>
            <w:tcBorders>
              <w:top w:val="dotted" w:sz="4" w:space="0" w:color="7F7F7F" w:themeColor="text1" w:themeTint="80"/>
              <w:left w:val="single" w:sz="4" w:space="0" w:color="auto"/>
              <w:bottom w:val="dotted" w:sz="4" w:space="0" w:color="7F7F7F" w:themeColor="text1" w:themeTint="80"/>
              <w:right w:val="single" w:sz="4" w:space="0" w:color="auto"/>
            </w:tcBorders>
            <w:hideMark/>
          </w:tcPr>
          <w:p w14:paraId="6A193871" w14:textId="77777777" w:rsidR="00CD0425" w:rsidRPr="00EA3458" w:rsidRDefault="00CD0425" w:rsidP="00780238">
            <w:pPr>
              <w:spacing w:after="0" w:line="256" w:lineRule="auto"/>
              <w:jc w:val="left"/>
              <w:rPr>
                <w:sz w:val="20"/>
                <w:szCs w:val="20"/>
              </w:rPr>
            </w:pPr>
            <w:r w:rsidRPr="00EA3458">
              <w:rPr>
                <w:sz w:val="20"/>
                <w:szCs w:val="20"/>
              </w:rPr>
              <w:t>SA</w:t>
            </w:r>
          </w:p>
        </w:tc>
        <w:tc>
          <w:tcPr>
            <w:tcW w:w="773" w:type="dxa"/>
            <w:tcBorders>
              <w:top w:val="dotted" w:sz="4" w:space="0" w:color="7F7F7F" w:themeColor="text1" w:themeTint="80"/>
              <w:left w:val="single" w:sz="4" w:space="0" w:color="auto"/>
              <w:bottom w:val="dotted" w:sz="4" w:space="0" w:color="7F7F7F" w:themeColor="text1" w:themeTint="80"/>
              <w:right w:val="single" w:sz="4" w:space="0" w:color="auto"/>
            </w:tcBorders>
            <w:hideMark/>
          </w:tcPr>
          <w:p w14:paraId="64974441" w14:textId="77777777" w:rsidR="00CD0425" w:rsidRPr="00EA3458" w:rsidRDefault="00CD0425" w:rsidP="00780238">
            <w:pPr>
              <w:spacing w:after="0" w:line="256" w:lineRule="auto"/>
              <w:jc w:val="left"/>
              <w:rPr>
                <w:sz w:val="20"/>
                <w:szCs w:val="20"/>
              </w:rPr>
            </w:pPr>
            <w:r w:rsidRPr="00EA3458">
              <w:rPr>
                <w:sz w:val="20"/>
                <w:szCs w:val="20"/>
              </w:rPr>
              <w:t>2016</w:t>
            </w:r>
          </w:p>
        </w:tc>
        <w:tc>
          <w:tcPr>
            <w:tcW w:w="6894" w:type="dxa"/>
            <w:tcBorders>
              <w:top w:val="dotted" w:sz="4" w:space="0" w:color="7F7F7F" w:themeColor="text1" w:themeTint="80"/>
              <w:left w:val="single" w:sz="4" w:space="0" w:color="auto"/>
              <w:bottom w:val="dotted" w:sz="4" w:space="0" w:color="7F7F7F" w:themeColor="text1" w:themeTint="80"/>
              <w:right w:val="single" w:sz="4" w:space="0" w:color="auto"/>
            </w:tcBorders>
          </w:tcPr>
          <w:p w14:paraId="33B4F049" w14:textId="749BF4B6" w:rsidR="00CD0425" w:rsidRPr="00EA3458" w:rsidRDefault="00CD0425" w:rsidP="00780238">
            <w:pPr>
              <w:spacing w:after="0"/>
              <w:jc w:val="left"/>
              <w:rPr>
                <w:sz w:val="20"/>
                <w:szCs w:val="20"/>
              </w:rPr>
            </w:pPr>
            <w:r w:rsidRPr="00EA3458">
              <w:rPr>
                <w:sz w:val="20"/>
                <w:szCs w:val="20"/>
              </w:rPr>
              <w:t>Guidelines for South Australian Pharmacists Dispensing Medication Assisted Treatment for Opioid Dependence (MATOD)</w:t>
            </w:r>
          </w:p>
          <w:p w14:paraId="3F72DFC2" w14:textId="77777777" w:rsidR="00CD0425" w:rsidRPr="00EA3458" w:rsidRDefault="00CD0425" w:rsidP="00780238">
            <w:pPr>
              <w:spacing w:after="0"/>
              <w:jc w:val="left"/>
              <w:rPr>
                <w:rFonts w:ascii="Segoe UI" w:eastAsia="Segoe UI" w:hAnsi="Segoe UI" w:cs="Segoe UI"/>
                <w:sz w:val="20"/>
                <w:szCs w:val="20"/>
              </w:rPr>
            </w:pPr>
            <w:r w:rsidRPr="00EA3458">
              <w:rPr>
                <w:sz w:val="20"/>
                <w:szCs w:val="20"/>
              </w:rPr>
              <w:t>Interim Brief Clinical guidelines for use of long-acting buprenorphine (Buvidal® and Sublocade®) in the treatment of opioid dependence For South Australian Community MATOD prescribers</w:t>
            </w:r>
          </w:p>
        </w:tc>
      </w:tr>
      <w:tr w:rsidR="00CD0425" w:rsidRPr="00EA3458" w14:paraId="2B628464" w14:textId="77777777" w:rsidTr="00A95343">
        <w:tc>
          <w:tcPr>
            <w:tcW w:w="1349" w:type="dxa"/>
            <w:tcBorders>
              <w:top w:val="dotted" w:sz="4" w:space="0" w:color="7F7F7F" w:themeColor="text1" w:themeTint="80"/>
              <w:left w:val="single" w:sz="4" w:space="0" w:color="auto"/>
              <w:bottom w:val="single" w:sz="4" w:space="0" w:color="auto"/>
              <w:right w:val="single" w:sz="4" w:space="0" w:color="auto"/>
            </w:tcBorders>
            <w:hideMark/>
          </w:tcPr>
          <w:p w14:paraId="34F033EC" w14:textId="77777777" w:rsidR="00CD0425" w:rsidRPr="00EA3458" w:rsidRDefault="00CD0425" w:rsidP="00780238">
            <w:pPr>
              <w:spacing w:after="0" w:line="256" w:lineRule="auto"/>
              <w:jc w:val="left"/>
              <w:rPr>
                <w:sz w:val="20"/>
                <w:szCs w:val="20"/>
              </w:rPr>
            </w:pPr>
            <w:r w:rsidRPr="00EA3458">
              <w:rPr>
                <w:sz w:val="20"/>
                <w:szCs w:val="20"/>
              </w:rPr>
              <w:t>NT</w:t>
            </w:r>
          </w:p>
        </w:tc>
        <w:tc>
          <w:tcPr>
            <w:tcW w:w="773" w:type="dxa"/>
            <w:tcBorders>
              <w:top w:val="dotted" w:sz="4" w:space="0" w:color="7F7F7F" w:themeColor="text1" w:themeTint="80"/>
              <w:left w:val="single" w:sz="4" w:space="0" w:color="auto"/>
              <w:bottom w:val="single" w:sz="4" w:space="0" w:color="auto"/>
              <w:right w:val="single" w:sz="4" w:space="0" w:color="auto"/>
            </w:tcBorders>
            <w:hideMark/>
          </w:tcPr>
          <w:p w14:paraId="7E04C769" w14:textId="77777777" w:rsidR="00CD0425" w:rsidRPr="00EA3458" w:rsidRDefault="00CD0425" w:rsidP="00780238">
            <w:pPr>
              <w:spacing w:after="0"/>
              <w:jc w:val="left"/>
              <w:rPr>
                <w:sz w:val="20"/>
                <w:szCs w:val="20"/>
              </w:rPr>
            </w:pPr>
            <w:r w:rsidRPr="00EA3458">
              <w:rPr>
                <w:sz w:val="20"/>
                <w:szCs w:val="20"/>
              </w:rPr>
              <w:t>2012</w:t>
            </w:r>
          </w:p>
        </w:tc>
        <w:tc>
          <w:tcPr>
            <w:tcW w:w="6894" w:type="dxa"/>
            <w:tcBorders>
              <w:top w:val="dotted" w:sz="4" w:space="0" w:color="7F7F7F" w:themeColor="text1" w:themeTint="80"/>
              <w:left w:val="single" w:sz="4" w:space="0" w:color="auto"/>
              <w:bottom w:val="single" w:sz="4" w:space="0" w:color="auto"/>
              <w:right w:val="single" w:sz="4" w:space="0" w:color="auto"/>
            </w:tcBorders>
            <w:hideMark/>
          </w:tcPr>
          <w:p w14:paraId="18630FD1" w14:textId="77777777" w:rsidR="00CD0425" w:rsidRPr="00EA3458" w:rsidRDefault="00CD0425" w:rsidP="00780238">
            <w:pPr>
              <w:spacing w:after="0"/>
              <w:jc w:val="left"/>
              <w:rPr>
                <w:sz w:val="20"/>
                <w:szCs w:val="20"/>
              </w:rPr>
            </w:pPr>
            <w:r w:rsidRPr="00EA3458">
              <w:rPr>
                <w:sz w:val="20"/>
                <w:szCs w:val="20"/>
              </w:rPr>
              <w:t>Schedule 8 and Restricted Schedule 4 Substances Policy and Clinical Practice Guidelines</w:t>
            </w:r>
          </w:p>
        </w:tc>
      </w:tr>
    </w:tbl>
    <w:p w14:paraId="7D7DC465" w14:textId="77777777" w:rsidR="00CD0425" w:rsidRPr="00EA3458" w:rsidRDefault="00CD0425" w:rsidP="00DA0E77">
      <w:pPr>
        <w:rPr>
          <w:rFonts w:cstheme="minorBidi"/>
          <w:sz w:val="22"/>
          <w:szCs w:val="22"/>
        </w:rPr>
      </w:pPr>
    </w:p>
    <w:p w14:paraId="5CE44F40" w14:textId="6FE0632D" w:rsidR="00CD0425" w:rsidRPr="00EA3458" w:rsidRDefault="00CD0425" w:rsidP="00F22F00">
      <w:r w:rsidRPr="00EA3458">
        <w:t>The National Guidelines</w:t>
      </w:r>
      <w:r w:rsidR="002565E6" w:rsidRPr="00EA3458">
        <w:fldChar w:fldCharType="begin"/>
      </w:r>
      <w:r w:rsidR="002565E6">
        <w:instrText xml:space="preserve"> ADDIN EN.CITE &lt;EndNote&gt;&lt;Cite&gt;&lt;Author&gt;Gowing&lt;/Author&gt;&lt;Year&gt;2014&lt;/Year&gt;&lt;RecNum&gt;13&lt;/RecNum&gt;&lt;DisplayText&gt;&lt;style face="superscript"&gt;15&lt;/style&gt;&lt;/DisplayText&gt;&lt;record&gt;&lt;rec-number&gt;13&lt;/rec-number&gt;&lt;foreign-keys&gt;&lt;key app="EN" db-id="xssz590sx9vzw4ewpzdv0s5sret50aexdtd9" timestamp="1668645290"&gt;13&lt;/key&gt;&lt;/foreign-keys&gt;&lt;ref-type name="Report"&gt;27&lt;/ref-type&gt;&lt;contributors&gt;&lt;authors&gt;&lt;author&gt;Gowing, L.,&lt;/author&gt;&lt;author&gt;Ali, R.&lt;/author&gt;&lt;author&gt;Dunlop, A.&lt;/author&gt;&lt;author&gt;Farrell, M.&lt;/author&gt;&lt;author&gt;Lintzeris, N.&lt;/author&gt;&lt;/authors&gt;&lt;/contributors&gt;&lt;titles&gt;&lt;title&gt;National Guidelines for Medication-Assisted Treatment of Opioid Dependence&lt;/title&gt;&lt;/titles&gt;&lt;dates&gt;&lt;year&gt;2014&lt;/year&gt;&lt;/dates&gt;&lt;pub-location&gt;Canberra&lt;/pub-location&gt;&lt;publisher&gt;Australian Government Department of Health&lt;/publisher&gt;&lt;urls&gt;&lt;/urls&gt;&lt;/record&gt;&lt;/Cite&gt;&lt;/EndNote&gt;</w:instrText>
      </w:r>
      <w:r w:rsidR="002565E6" w:rsidRPr="00EA3458">
        <w:fldChar w:fldCharType="separate"/>
      </w:r>
      <w:r w:rsidR="002565E6" w:rsidRPr="005531C9">
        <w:rPr>
          <w:noProof/>
          <w:vertAlign w:val="superscript"/>
        </w:rPr>
        <w:t>15</w:t>
      </w:r>
      <w:r w:rsidR="002565E6" w:rsidRPr="00EA3458">
        <w:fldChar w:fldCharType="end"/>
      </w:r>
      <w:r w:rsidRPr="00EA3458">
        <w:t xml:space="preserve"> emphasise that medication-assisted treatment of opioid dependence relies on a combination of pharmacological treatment (e.g., methadone, buprenorphine +/- naloxone, and others) and psychological support. While pharmacological treatments work on reducing symptoms of withdrawal and craving, psychosocial support services aim to improve an individual’s psychological health and social environment to improve quality and duration of life.</w:t>
      </w:r>
    </w:p>
    <w:p w14:paraId="3DC12E21" w14:textId="4815F473" w:rsidR="00CD0425" w:rsidRPr="00EA3458" w:rsidRDefault="00CD0425" w:rsidP="00F22F00">
      <w:r w:rsidRPr="00EA3458">
        <w:t xml:space="preserve">In line with </w:t>
      </w:r>
      <w:r w:rsidR="00B16D09">
        <w:t>WHO</w:t>
      </w:r>
      <w:r w:rsidRPr="00EA3458">
        <w:t xml:space="preserve"> recommendations</w:t>
      </w:r>
      <w:r w:rsidR="006704B3">
        <w:t>,</w:t>
      </w:r>
      <w:r w:rsidR="002565E6" w:rsidRPr="00EA3458">
        <w:fldChar w:fldCharType="begin"/>
      </w:r>
      <w:r w:rsidR="002565E6">
        <w:instrText xml:space="preserve"> ADDIN EN.CITE &lt;EndNote&gt;&lt;Cite&gt;&lt;Author&gt;Organization&lt;/Author&gt;&lt;Year&gt;2009&lt;/Year&gt;&lt;RecNum&gt;27&lt;/RecNum&gt;&lt;DisplayText&gt;&lt;style face="superscript"&gt;26&lt;/style&gt;&lt;/DisplayText&gt;&lt;record&gt;&lt;rec-number&gt;27&lt;/rec-number&gt;&lt;foreign-keys&gt;&lt;key app="EN" db-id="xssz590sx9vzw4ewpzdv0s5sret50aexdtd9" timestamp="1668645365"&gt;27&lt;/key&gt;&lt;/foreign-keys&gt;&lt;ref-type name="Report"&gt;27&lt;/ref-type&gt;&lt;contributors&gt;&lt;authors&gt;&lt;author&gt;World Health Organization&lt;/author&gt;&lt;/authors&gt;&lt;tertiary-authors&gt;&lt;author&gt;World Health Organizaation Press &lt;/author&gt;&lt;/tertiary-authors&gt;&lt;/contributors&gt;&lt;titles&gt;&lt;title&gt;Guidelines for the psychosocially assisted pharmacological treatment of opioid dependence&lt;/title&gt;&lt;/titles&gt;&lt;dates&gt;&lt;year&gt;2009&lt;/year&gt;&lt;/dates&gt;&lt;pub-location&gt;Geneva &lt;/pub-location&gt;&lt;urls&gt;&lt;/urls&gt;&lt;/record&gt;&lt;/Cite&gt;&lt;/EndNote&gt;</w:instrText>
      </w:r>
      <w:r w:rsidR="002565E6" w:rsidRPr="00EA3458">
        <w:fldChar w:fldCharType="separate"/>
      </w:r>
      <w:r w:rsidR="002565E6" w:rsidRPr="00646D54">
        <w:rPr>
          <w:noProof/>
          <w:vertAlign w:val="superscript"/>
        </w:rPr>
        <w:t>26</w:t>
      </w:r>
      <w:r w:rsidR="002565E6" w:rsidRPr="00EA3458">
        <w:fldChar w:fldCharType="end"/>
      </w:r>
      <w:r w:rsidRPr="00EA3458">
        <w:t xml:space="preserve"> the National Guidelines</w:t>
      </w:r>
      <w:r w:rsidR="002565E6" w:rsidRPr="00EA3458">
        <w:fldChar w:fldCharType="begin"/>
      </w:r>
      <w:r w:rsidR="002565E6">
        <w:instrText xml:space="preserve"> ADDIN EN.CITE &lt;EndNote&gt;&lt;Cite&gt;&lt;Author&gt;Gowing&lt;/Author&gt;&lt;Year&gt;2014&lt;/Year&gt;&lt;RecNum&gt;13&lt;/RecNum&gt;&lt;DisplayText&gt;&lt;style face="superscript"&gt;15&lt;/style&gt;&lt;/DisplayText&gt;&lt;record&gt;&lt;rec-number&gt;13&lt;/rec-number&gt;&lt;foreign-keys&gt;&lt;key app="EN" db-id="xssz590sx9vzw4ewpzdv0s5sret50aexdtd9" timestamp="1668645290"&gt;13&lt;/key&gt;&lt;/foreign-keys&gt;&lt;ref-type name="Report"&gt;27&lt;/ref-type&gt;&lt;contributors&gt;&lt;authors&gt;&lt;author&gt;Gowing, L.,&lt;/author&gt;&lt;author&gt;Ali, R.&lt;/author&gt;&lt;author&gt;Dunlop, A.&lt;/author&gt;&lt;author&gt;Farrell, M.&lt;/author&gt;&lt;author&gt;Lintzeris, N.&lt;/author&gt;&lt;/authors&gt;&lt;/contributors&gt;&lt;titles&gt;&lt;title&gt;National Guidelines for Medication-Assisted Treatment of Opioid Dependence&lt;/title&gt;&lt;/titles&gt;&lt;dates&gt;&lt;year&gt;2014&lt;/year&gt;&lt;/dates&gt;&lt;pub-location&gt;Canberra&lt;/pub-location&gt;&lt;publisher&gt;Australian Government Department of Health&lt;/publisher&gt;&lt;urls&gt;&lt;/urls&gt;&lt;/record&gt;&lt;/Cite&gt;&lt;/EndNote&gt;</w:instrText>
      </w:r>
      <w:r w:rsidR="002565E6" w:rsidRPr="00EA3458">
        <w:fldChar w:fldCharType="separate"/>
      </w:r>
      <w:r w:rsidR="002565E6" w:rsidRPr="005531C9">
        <w:rPr>
          <w:noProof/>
          <w:vertAlign w:val="superscript"/>
        </w:rPr>
        <w:t>15</w:t>
      </w:r>
      <w:r w:rsidR="002565E6" w:rsidRPr="00EA3458">
        <w:fldChar w:fldCharType="end"/>
      </w:r>
      <w:r w:rsidRPr="00EA3458">
        <w:t xml:space="preserve"> emphasise that pharmacological treatment should be accessible to all those in need, regardless of the setting that care is provided (primary care, hospitals, prisons and other closed settings). Integration of treatment into primary care is viewed as a primary mechanism of increasing accessibility and coverage of treatment. Comprehensive PBS subsidy is therefore central in ensuring equitable and affordable access to key pharmacological treatments for opioid dependence. </w:t>
      </w:r>
    </w:p>
    <w:p w14:paraId="371386B3" w14:textId="7E0621E9" w:rsidR="00CD0425" w:rsidRPr="00EA3458" w:rsidRDefault="00414344" w:rsidP="00F22F00">
      <w:r>
        <w:t xml:space="preserve">The </w:t>
      </w:r>
      <w:r w:rsidR="00E8404F">
        <w:t>literature r</w:t>
      </w:r>
      <w:r>
        <w:t>eview found that a</w:t>
      </w:r>
      <w:r w:rsidR="00CD0425" w:rsidRPr="00EA3458">
        <w:t xml:space="preserve"> stepped care approach to treatment delivery is </w:t>
      </w:r>
      <w:r w:rsidR="00C076D8">
        <w:t>preferred</w:t>
      </w:r>
      <w:r w:rsidR="00CD0425" w:rsidRPr="00EA3458">
        <w:t>, using less restrictive treatment approaches for those with low severity dependence (e.g., detoxification, counselling), with more intensive treatment options (e.g., O</w:t>
      </w:r>
      <w:r w:rsidR="00DD7862">
        <w:t>D</w:t>
      </w:r>
      <w:r w:rsidR="00CD0425" w:rsidRPr="00EA3458">
        <w:t>T</w:t>
      </w:r>
      <w:r w:rsidR="00DD7862">
        <w:t xml:space="preserve"> medicines</w:t>
      </w:r>
      <w:r w:rsidR="00CD0425" w:rsidRPr="00EA3458">
        <w:t>, residential rehabilitation facilities) reserved for those with more severe and complex health and social problems</w:t>
      </w:r>
      <w:r>
        <w:t xml:space="preserve"> where necessary,</w:t>
      </w:r>
      <w:r w:rsidR="0083592C">
        <w:fldChar w:fldCharType="begin"/>
      </w:r>
      <w:r w:rsidR="0083592C">
        <w:instrText xml:space="preserve"> ADDIN EN.CITE &lt;EndNote&gt;&lt;Cite&gt;&lt;Author&gt;Gowing&lt;/Author&gt;&lt;Year&gt;2014&lt;/Year&gt;&lt;RecNum&gt;13&lt;/RecNum&gt;&lt;DisplayText&gt;&lt;style face="superscript"&gt;15&lt;/style&gt;&lt;/DisplayText&gt;&lt;record&gt;&lt;rec-number&gt;13&lt;/rec-number&gt;&lt;foreign-keys&gt;&lt;key app="EN" db-id="xssz590sx9vzw4ewpzdv0s5sret50aexdtd9" timestamp="1668645290"&gt;13&lt;/key&gt;&lt;/foreign-keys&gt;&lt;ref-type name="Report"&gt;27&lt;/ref-type&gt;&lt;contributors&gt;&lt;authors&gt;&lt;author&gt;Gowing, L.,&lt;/author&gt;&lt;author&gt;Ali, R.&lt;/author&gt;&lt;author&gt;Dunlop, A.&lt;/author&gt;&lt;author&gt;Farrell, M.&lt;/author&gt;&lt;author&gt;Lintzeris, N.&lt;/author&gt;&lt;/authors&gt;&lt;/contributors&gt;&lt;titles&gt;&lt;title&gt;National Guidelines for Medication-Assisted Treatment of Opioid Dependence&lt;/title&gt;&lt;/titles&gt;&lt;dates&gt;&lt;year&gt;2014&lt;/year&gt;&lt;/dates&gt;&lt;pub-location&gt;Canberra&lt;/pub-location&gt;&lt;publisher&gt;Australian Government Department of Health&lt;/publisher&gt;&lt;urls&gt;&lt;/urls&gt;&lt;/record&gt;&lt;/Cite&gt;&lt;/EndNote&gt;</w:instrText>
      </w:r>
      <w:r w:rsidR="0083592C">
        <w:fldChar w:fldCharType="separate"/>
      </w:r>
      <w:r w:rsidR="0083592C" w:rsidRPr="0083592C">
        <w:rPr>
          <w:noProof/>
          <w:vertAlign w:val="superscript"/>
        </w:rPr>
        <w:t>15</w:t>
      </w:r>
      <w:r w:rsidR="0083592C">
        <w:fldChar w:fldCharType="end"/>
      </w:r>
      <w:r>
        <w:t xml:space="preserve"> while maintaining patient autonomy and appropriate clinical care</w:t>
      </w:r>
      <w:r w:rsidR="00CD0425" w:rsidRPr="00EA3458">
        <w:t>.</w:t>
      </w:r>
    </w:p>
    <w:p w14:paraId="3457EDA2" w14:textId="77777777" w:rsidR="00117A41" w:rsidRDefault="00117A41">
      <w:pPr>
        <w:spacing w:after="160" w:line="259" w:lineRule="auto"/>
        <w:jc w:val="left"/>
        <w:rPr>
          <w:rFonts w:asciiTheme="majorHAnsi" w:eastAsiaTheme="majorEastAsia" w:hAnsiTheme="majorHAnsi" w:cstheme="majorBidi"/>
          <w:i/>
          <w:iCs/>
          <w:color w:val="2F5496" w:themeColor="accent1" w:themeShade="BF"/>
        </w:rPr>
      </w:pPr>
      <w:bookmarkStart w:id="256" w:name="_Toc99135844"/>
      <w:bookmarkStart w:id="257" w:name="_Toc116025879"/>
      <w:r>
        <w:br w:type="page"/>
      </w:r>
    </w:p>
    <w:p w14:paraId="03234B49" w14:textId="534FB823" w:rsidR="00CD0425" w:rsidRPr="00EA3458" w:rsidRDefault="00CD0425" w:rsidP="004139FC">
      <w:pPr>
        <w:pStyle w:val="Heading4"/>
      </w:pPr>
      <w:r w:rsidRPr="00EA3458">
        <w:lastRenderedPageBreak/>
        <w:t>Pharmacological management of detoxification/management of withdrawal</w:t>
      </w:r>
      <w:bookmarkEnd w:id="256"/>
      <w:bookmarkEnd w:id="257"/>
      <w:r w:rsidRPr="00EA3458">
        <w:t xml:space="preserve"> </w:t>
      </w:r>
    </w:p>
    <w:p w14:paraId="7C0BE337" w14:textId="0D4FC42F" w:rsidR="00CD0425" w:rsidRPr="00EA3458" w:rsidRDefault="00CD0425" w:rsidP="004139FC">
      <w:pPr>
        <w:rPr>
          <w:color w:val="000000"/>
          <w:sz w:val="22"/>
          <w:szCs w:val="22"/>
        </w:rPr>
      </w:pPr>
      <w:r w:rsidRPr="00EA3458">
        <w:t>Medicines and treatment approaches recommended for the management of opioid withdrawal include</w:t>
      </w:r>
      <w:r w:rsidR="006704B3">
        <w:t>.</w:t>
      </w:r>
      <w:r w:rsidR="002565E6" w:rsidRPr="00EA3458">
        <w:fldChar w:fldCharType="begin"/>
      </w:r>
      <w:r w:rsidR="002565E6">
        <w:instrText xml:space="preserve"> ADDIN EN.CITE &lt;EndNote&gt;&lt;Cite&gt;&lt;Author&gt;Gowing&lt;/Author&gt;&lt;Year&gt;2014&lt;/Year&gt;&lt;RecNum&gt;13&lt;/RecNum&gt;&lt;DisplayText&gt;&lt;style face="superscript"&gt;15&lt;/style&gt;&lt;/DisplayText&gt;&lt;record&gt;&lt;rec-number&gt;13&lt;/rec-number&gt;&lt;foreign-keys&gt;&lt;key app="EN" db-id="xssz590sx9vzw4ewpzdv0s5sret50aexdtd9" timestamp="1668645290"&gt;13&lt;/key&gt;&lt;/foreign-keys&gt;&lt;ref-type name="Report"&gt;27&lt;/ref-type&gt;&lt;contributors&gt;&lt;authors&gt;&lt;author&gt;Gowing, L.,&lt;/author&gt;&lt;author&gt;Ali, R.&lt;/author&gt;&lt;author&gt;Dunlop, A.&lt;/author&gt;&lt;author&gt;Farrell, M.&lt;/author&gt;&lt;author&gt;Lintzeris, N.&lt;/author&gt;&lt;/authors&gt;&lt;/contributors&gt;&lt;titles&gt;&lt;title&gt;National Guidelines for Medication-Assisted Treatment of Opioid Dependence&lt;/title&gt;&lt;/titles&gt;&lt;dates&gt;&lt;year&gt;2014&lt;/year&gt;&lt;/dates&gt;&lt;pub-location&gt;Canberra&lt;/pub-location&gt;&lt;publisher&gt;Australian Government Department of Health&lt;/publisher&gt;&lt;urls&gt;&lt;/urls&gt;&lt;/record&gt;&lt;/Cite&gt;&lt;/EndNote&gt;</w:instrText>
      </w:r>
      <w:r w:rsidR="002565E6" w:rsidRPr="00EA3458">
        <w:fldChar w:fldCharType="separate"/>
      </w:r>
      <w:r w:rsidR="002565E6" w:rsidRPr="005531C9">
        <w:rPr>
          <w:noProof/>
          <w:vertAlign w:val="superscript"/>
        </w:rPr>
        <w:t>15</w:t>
      </w:r>
      <w:r w:rsidR="002565E6" w:rsidRPr="00EA3458">
        <w:fldChar w:fldCharType="end"/>
      </w:r>
    </w:p>
    <w:p w14:paraId="6F18C1EC" w14:textId="2D73830B" w:rsidR="00CD0425" w:rsidRPr="00EA3458" w:rsidRDefault="00A7019B" w:rsidP="007E3DC8">
      <w:pPr>
        <w:pStyle w:val="ListParagraph"/>
        <w:numPr>
          <w:ilvl w:val="0"/>
          <w:numId w:val="18"/>
        </w:numPr>
        <w:spacing w:after="0" w:line="276" w:lineRule="auto"/>
        <w:ind w:left="720"/>
      </w:pPr>
      <w:r>
        <w:rPr>
          <w:color w:val="000000"/>
        </w:rPr>
        <w:t>a</w:t>
      </w:r>
      <w:r w:rsidR="00CD0425" w:rsidRPr="00EA3458">
        <w:rPr>
          <w:color w:val="000000"/>
        </w:rPr>
        <w:t xml:space="preserve">brupt cessation of opioid use and symptom amelioration using non-opioid medicines: </w:t>
      </w:r>
    </w:p>
    <w:p w14:paraId="23D45EC4" w14:textId="77777777" w:rsidR="00CD0425" w:rsidRPr="00EA3458" w:rsidRDefault="00CD0425" w:rsidP="007E3DC8">
      <w:pPr>
        <w:pStyle w:val="ListParagraph"/>
        <w:numPr>
          <w:ilvl w:val="1"/>
          <w:numId w:val="18"/>
        </w:numPr>
        <w:spacing w:after="0" w:line="276" w:lineRule="auto"/>
      </w:pPr>
      <w:r w:rsidRPr="00EA3458">
        <w:rPr>
          <w:color w:val="000000"/>
        </w:rPr>
        <w:t>clonidine + benzodiazepines, non-steroidal anti-inflammatory drugs, antiemetics, antispasmodic drugs</w:t>
      </w:r>
    </w:p>
    <w:p w14:paraId="25444B90" w14:textId="46CE6E4A" w:rsidR="00CD0425" w:rsidRPr="00EA3458" w:rsidRDefault="00A7019B" w:rsidP="007E3DC8">
      <w:pPr>
        <w:pStyle w:val="ListParagraph"/>
        <w:numPr>
          <w:ilvl w:val="0"/>
          <w:numId w:val="18"/>
        </w:numPr>
        <w:spacing w:after="0" w:line="276" w:lineRule="auto"/>
        <w:ind w:left="720"/>
      </w:pPr>
      <w:r>
        <w:rPr>
          <w:color w:val="000000" w:themeColor="text1"/>
        </w:rPr>
        <w:t>s</w:t>
      </w:r>
      <w:r w:rsidR="00CD0425" w:rsidRPr="00EA3458">
        <w:rPr>
          <w:color w:val="000000" w:themeColor="text1"/>
        </w:rPr>
        <w:t>hort course (less than 1 month) of reducing doses of buprenorphine</w:t>
      </w:r>
    </w:p>
    <w:p w14:paraId="48139C4B" w14:textId="1349276C" w:rsidR="00CD0425" w:rsidRPr="00EA3458" w:rsidRDefault="00A7019B" w:rsidP="007E3DC8">
      <w:pPr>
        <w:pStyle w:val="ListParagraph"/>
        <w:numPr>
          <w:ilvl w:val="0"/>
          <w:numId w:val="18"/>
        </w:numPr>
        <w:spacing w:after="0" w:line="276" w:lineRule="auto"/>
        <w:ind w:left="720"/>
      </w:pPr>
      <w:r>
        <w:t>r</w:t>
      </w:r>
      <w:r w:rsidR="00CD0425" w:rsidRPr="00EA3458">
        <w:t>educing doses of methadone</w:t>
      </w:r>
    </w:p>
    <w:p w14:paraId="335FBFF0" w14:textId="03561771" w:rsidR="00CD0425" w:rsidRPr="00EA3458" w:rsidRDefault="00A7019B" w:rsidP="007E3DC8">
      <w:pPr>
        <w:pStyle w:val="ListParagraph"/>
        <w:numPr>
          <w:ilvl w:val="0"/>
          <w:numId w:val="18"/>
        </w:numPr>
        <w:spacing w:after="0" w:line="276" w:lineRule="auto"/>
        <w:ind w:left="720"/>
      </w:pPr>
      <w:r>
        <w:t>i</w:t>
      </w:r>
      <w:r w:rsidR="00CD0425" w:rsidRPr="00EA3458">
        <w:t>nduction of withdrawal using opioid antagonists (naltrexone or naloxone) via rapid detoxification</w:t>
      </w:r>
      <w:r>
        <w:t>.</w:t>
      </w:r>
    </w:p>
    <w:p w14:paraId="7B533A18" w14:textId="77777777" w:rsidR="00CD0425" w:rsidRPr="00EA3458" w:rsidRDefault="00CD0425" w:rsidP="00DA0E77">
      <w:pPr>
        <w:rPr>
          <w:color w:val="000000"/>
        </w:rPr>
      </w:pPr>
      <w:r w:rsidRPr="00EA3458">
        <w:t xml:space="preserve">Of these approaches, the first two are generally the most common and preferred in Australia and are well supported by evidence. </w:t>
      </w:r>
      <w:r w:rsidRPr="00EA3458">
        <w:rPr>
          <w:color w:val="000000"/>
        </w:rPr>
        <w:t>Overall, the use of buprenorphine is associated with significantly better amelioration of withdrawal symptoms than clonidine and supplementary medicines. It is also deemed to be the most flexible. In addition to low rebound withdrawal symptoms upon cessation, it enables transfer to other necessary treatments - naltrexone for relapse prevention treatment or maintenance treatment if the detoxification attempt is not successful.</w:t>
      </w:r>
    </w:p>
    <w:p w14:paraId="42E897BD" w14:textId="77777777" w:rsidR="00CD0425" w:rsidRPr="00EA3458" w:rsidRDefault="00CD0425" w:rsidP="00F22F00">
      <w:r w:rsidRPr="00EA3458">
        <w:t>Supportive medicines, such as benzodiazepines for sleep disturbance and anxiety, anti-emetics, anti-diarrhoeal, muscle relaxants and non-opioid analgesics, are often used with either approach to provide additional symptomatic management.</w:t>
      </w:r>
    </w:p>
    <w:p w14:paraId="70121296" w14:textId="77777777" w:rsidR="00CD0425" w:rsidRPr="00EA3458" w:rsidRDefault="00CD0425" w:rsidP="00F22F00">
      <w:pPr>
        <w:pStyle w:val="Heading4"/>
      </w:pPr>
      <w:bookmarkStart w:id="258" w:name="_Toc99135845"/>
      <w:bookmarkStart w:id="259" w:name="_Toc116025880"/>
      <w:r w:rsidRPr="00EA3458">
        <w:t>Pharmacological management of opioid dependence (agonist maintenance)</w:t>
      </w:r>
      <w:bookmarkEnd w:id="258"/>
      <w:bookmarkEnd w:id="259"/>
    </w:p>
    <w:p w14:paraId="005FF809" w14:textId="77777777" w:rsidR="00CD0425" w:rsidRPr="00EA3458" w:rsidRDefault="00CD0425" w:rsidP="00F22F00">
      <w:r w:rsidRPr="00EA3458">
        <w:t xml:space="preserve">The aim of maintenance treatment is to reduce exposure to risk behaviours and stabilise health and social functioning, while also managing the physical dimension of dependence. </w:t>
      </w:r>
    </w:p>
    <w:p w14:paraId="7CBB2857" w14:textId="77777777" w:rsidR="00CD0425" w:rsidRPr="00EA3458" w:rsidRDefault="00CD0425" w:rsidP="004139FC">
      <w:r w:rsidRPr="00EA3458">
        <w:t>Medicines recommended for agonist maintenance:</w:t>
      </w:r>
    </w:p>
    <w:p w14:paraId="33077EDA" w14:textId="77777777" w:rsidR="00CD0425" w:rsidRPr="00EA3458" w:rsidRDefault="00CD0425" w:rsidP="007E3DC8">
      <w:pPr>
        <w:pStyle w:val="ListParagraph"/>
        <w:numPr>
          <w:ilvl w:val="0"/>
          <w:numId w:val="19"/>
        </w:numPr>
        <w:spacing w:after="0" w:line="276" w:lineRule="auto"/>
      </w:pPr>
      <w:r w:rsidRPr="00EA3458">
        <w:t>Methadone</w:t>
      </w:r>
    </w:p>
    <w:p w14:paraId="419A52FA" w14:textId="77777777" w:rsidR="00CD0425" w:rsidRPr="00EA3458" w:rsidRDefault="00CD0425" w:rsidP="007E3DC8">
      <w:pPr>
        <w:pStyle w:val="ListParagraph"/>
        <w:numPr>
          <w:ilvl w:val="0"/>
          <w:numId w:val="19"/>
        </w:numPr>
        <w:spacing w:after="0" w:line="276" w:lineRule="auto"/>
      </w:pPr>
      <w:r w:rsidRPr="00EA3458">
        <w:t>Buprenorphine</w:t>
      </w:r>
    </w:p>
    <w:p w14:paraId="586E1C3B" w14:textId="18CE02DA" w:rsidR="00CD0425" w:rsidRPr="00EA3458" w:rsidRDefault="00CD0425" w:rsidP="007E3DC8">
      <w:pPr>
        <w:pStyle w:val="ListParagraph"/>
        <w:numPr>
          <w:ilvl w:val="0"/>
          <w:numId w:val="19"/>
        </w:numPr>
        <w:spacing w:line="276" w:lineRule="auto"/>
      </w:pPr>
      <w:r w:rsidRPr="00EA3458">
        <w:t>Buprenorphine and naloxone</w:t>
      </w:r>
      <w:r w:rsidR="00A7019B">
        <w:t>.</w:t>
      </w:r>
    </w:p>
    <w:p w14:paraId="133DF45B" w14:textId="77777777" w:rsidR="00CD0425" w:rsidRPr="00EA3458" w:rsidRDefault="00CD0425" w:rsidP="00DA0E77">
      <w:r w:rsidRPr="00EA3458">
        <w:t xml:space="preserve">Although methadone and buprenorphine +/- naloxone have different pharmacological profiles, both are considered effective in the treatment of opioid dependence and the choice of medicine should be based on the individual needs of the consumer. Both are considered first-line treatment options. </w:t>
      </w:r>
    </w:p>
    <w:p w14:paraId="4AD3F045" w14:textId="4ADE0226" w:rsidR="00CD0425" w:rsidRPr="00EA3458" w:rsidRDefault="00CD0425" w:rsidP="00F22F00">
      <w:pPr>
        <w:rPr>
          <w:highlight w:val="yellow"/>
        </w:rPr>
      </w:pPr>
      <w:r w:rsidRPr="00EA3458">
        <w:t xml:space="preserve">The general characteristics and differences between methadone and buprenorphine are summarised </w:t>
      </w:r>
      <w:r w:rsidRPr="00DA49F8">
        <w:t xml:space="preserve">in Table </w:t>
      </w:r>
      <w:r w:rsidR="00253486" w:rsidRPr="00DA49F8">
        <w:t>5</w:t>
      </w:r>
      <w:r w:rsidRPr="00DA49F8">
        <w:t xml:space="preserve"> below</w:t>
      </w:r>
      <w:r w:rsidRPr="00EA3458">
        <w:t xml:space="preserve">. </w:t>
      </w:r>
    </w:p>
    <w:p w14:paraId="2161C771" w14:textId="77777777" w:rsidR="00DA49F8" w:rsidRDefault="00DA49F8">
      <w:pPr>
        <w:spacing w:after="160" w:line="259" w:lineRule="auto"/>
        <w:jc w:val="left"/>
        <w:rPr>
          <w:rFonts w:eastAsiaTheme="majorEastAsia" w:cstheme="majorBidi"/>
          <w:b/>
          <w:iCs/>
        </w:rPr>
      </w:pPr>
      <w:bookmarkStart w:id="260" w:name="_Toc116025679"/>
      <w:r>
        <w:br w:type="page"/>
      </w:r>
    </w:p>
    <w:p w14:paraId="3FB55D29" w14:textId="20A24BA0" w:rsidR="00CD0425" w:rsidRPr="00EA3458" w:rsidRDefault="00CD0425" w:rsidP="00F22F00">
      <w:pPr>
        <w:pStyle w:val="Tables"/>
        <w:rPr>
          <w:rFonts w:cstheme="majorHAnsi"/>
          <w:color w:val="1F3864" w:themeColor="accent1" w:themeShade="80"/>
        </w:rPr>
      </w:pPr>
      <w:bookmarkStart w:id="261" w:name="_Toc120183437"/>
      <w:bookmarkStart w:id="262" w:name="_Toc132823425"/>
      <w:r w:rsidRPr="00DA49F8">
        <w:lastRenderedPageBreak/>
        <w:t>Table</w:t>
      </w:r>
      <w:r w:rsidR="001957C9">
        <w:t xml:space="preserve"> </w:t>
      </w:r>
      <w:r w:rsidR="00253486" w:rsidRPr="00DA49F8">
        <w:rPr>
          <w:rFonts w:cstheme="majorHAnsi"/>
        </w:rPr>
        <w:t>5</w:t>
      </w:r>
      <w:r w:rsidRPr="00EA3458">
        <w:rPr>
          <w:rFonts w:cstheme="majorHAnsi"/>
        </w:rPr>
        <w:t xml:space="preserve">. </w:t>
      </w:r>
      <w:r w:rsidRPr="00EA3458">
        <w:rPr>
          <w:rFonts w:cstheme="majorHAnsi"/>
          <w:color w:val="000000" w:themeColor="text1"/>
        </w:rPr>
        <w:t>Key differences in the characteristics between methadone and buprenorphine for the treatment of opioid dependence</w:t>
      </w:r>
      <w:bookmarkEnd w:id="260"/>
      <w:bookmarkEnd w:id="261"/>
      <w:bookmarkEnd w:id="262"/>
    </w:p>
    <w:tbl>
      <w:tblPr>
        <w:tblStyle w:val="PlainTable2"/>
        <w:tblW w:w="9067" w:type="dxa"/>
        <w:tblInd w:w="0" w:type="dxa"/>
        <w:tblBorders>
          <w:left w:val="single" w:sz="4" w:space="0" w:color="7F7F7F" w:themeColor="text1" w:themeTint="80"/>
          <w:right w:val="single" w:sz="4" w:space="0" w:color="7F7F7F" w:themeColor="text1" w:themeTint="80"/>
          <w:insideH w:val="dotted" w:sz="4" w:space="0" w:color="7F7F7F" w:themeColor="text1" w:themeTint="80"/>
          <w:insideV w:val="single" w:sz="4" w:space="0" w:color="auto"/>
        </w:tblBorders>
        <w:tblLook w:val="0420" w:firstRow="1" w:lastRow="0" w:firstColumn="0" w:lastColumn="0" w:noHBand="0" w:noVBand="1"/>
        <w:tblCaption w:val="Key differences in the characteristics between methadone and buprenorphine for the treatment of opioid dependence"/>
        <w:tblDescription w:val="Side by side comparison of the characteristics of methadone and buprenorphine. Characteristics being compared include pharmacological details, dosing frequency, administration methods, abuse potential and stigma associated with the medicine."/>
      </w:tblPr>
      <w:tblGrid>
        <w:gridCol w:w="4544"/>
        <w:gridCol w:w="4523"/>
      </w:tblGrid>
      <w:tr w:rsidR="00CD0425" w:rsidRPr="00CC3FED" w14:paraId="62BDB5FE" w14:textId="77777777" w:rsidTr="00A95343">
        <w:trPr>
          <w:cnfStyle w:val="100000000000" w:firstRow="1" w:lastRow="0" w:firstColumn="0" w:lastColumn="0" w:oddVBand="0" w:evenVBand="0" w:oddHBand="0" w:evenHBand="0" w:firstRowFirstColumn="0" w:firstRowLastColumn="0" w:lastRowFirstColumn="0" w:lastRowLastColumn="0"/>
          <w:trHeight w:val="254"/>
        </w:trPr>
        <w:tc>
          <w:tcPr>
            <w:tcW w:w="4544" w:type="dxa"/>
            <w:tcBorders>
              <w:top w:val="single" w:sz="4" w:space="0" w:color="7F7F7F" w:themeColor="text1" w:themeTint="80"/>
              <w:left w:val="single" w:sz="4" w:space="0" w:color="7F7F7F" w:themeColor="text1" w:themeTint="80"/>
              <w:right w:val="single" w:sz="4" w:space="0" w:color="7F7F7F" w:themeColor="text1" w:themeTint="80"/>
            </w:tcBorders>
            <w:shd w:val="clear" w:color="auto" w:fill="D9D9D9" w:themeFill="background1" w:themeFillShade="D9"/>
            <w:hideMark/>
          </w:tcPr>
          <w:p w14:paraId="2BC3BC6C" w14:textId="77777777" w:rsidR="00CD0425" w:rsidRPr="00CC3FED" w:rsidRDefault="00CD0425" w:rsidP="00205455">
            <w:pPr>
              <w:jc w:val="left"/>
              <w:rPr>
                <w:sz w:val="20"/>
                <w:szCs w:val="20"/>
              </w:rPr>
            </w:pPr>
            <w:r w:rsidRPr="00CC3FED">
              <w:rPr>
                <w:sz w:val="20"/>
                <w:szCs w:val="20"/>
              </w:rPr>
              <w:t>Methadone</w:t>
            </w:r>
          </w:p>
        </w:tc>
        <w:tc>
          <w:tcPr>
            <w:tcW w:w="4523" w:type="dxa"/>
            <w:tcBorders>
              <w:top w:val="single" w:sz="4" w:space="0" w:color="7F7F7F" w:themeColor="text1" w:themeTint="80"/>
              <w:left w:val="single" w:sz="4" w:space="0" w:color="7F7F7F" w:themeColor="text1" w:themeTint="80"/>
              <w:right w:val="single" w:sz="4" w:space="0" w:color="7F7F7F" w:themeColor="text1" w:themeTint="80"/>
            </w:tcBorders>
            <w:shd w:val="clear" w:color="auto" w:fill="D9D9D9" w:themeFill="background1" w:themeFillShade="D9"/>
            <w:hideMark/>
          </w:tcPr>
          <w:p w14:paraId="0F203C80" w14:textId="77777777" w:rsidR="00CD0425" w:rsidRPr="00CC3FED" w:rsidRDefault="00CD0425" w:rsidP="00205455">
            <w:pPr>
              <w:jc w:val="left"/>
              <w:rPr>
                <w:sz w:val="20"/>
                <w:szCs w:val="20"/>
              </w:rPr>
            </w:pPr>
            <w:r w:rsidRPr="00CC3FED">
              <w:rPr>
                <w:sz w:val="20"/>
                <w:szCs w:val="20"/>
              </w:rPr>
              <w:t>Buprenorphine</w:t>
            </w:r>
          </w:p>
        </w:tc>
      </w:tr>
      <w:tr w:rsidR="00CD0425" w:rsidRPr="00CC3FED" w14:paraId="71C0772D" w14:textId="77777777" w:rsidTr="00A95343">
        <w:trPr>
          <w:cnfStyle w:val="000000100000" w:firstRow="0" w:lastRow="0" w:firstColumn="0" w:lastColumn="0" w:oddVBand="0" w:evenVBand="0" w:oddHBand="1" w:evenHBand="0" w:firstRowFirstColumn="0" w:firstRowLastColumn="0" w:lastRowFirstColumn="0" w:lastRowLastColumn="0"/>
          <w:trHeight w:val="258"/>
        </w:trPr>
        <w:tc>
          <w:tcPr>
            <w:tcW w:w="4544" w:type="dxa"/>
            <w:tcBorders>
              <w:left w:val="single" w:sz="4" w:space="0" w:color="7F7F7F" w:themeColor="text1" w:themeTint="80"/>
              <w:right w:val="single" w:sz="4" w:space="0" w:color="7F7F7F" w:themeColor="text1" w:themeTint="80"/>
            </w:tcBorders>
            <w:hideMark/>
          </w:tcPr>
          <w:p w14:paraId="22FBB3A8" w14:textId="77777777" w:rsidR="00CD0425" w:rsidRPr="00CC3FED" w:rsidRDefault="00CD0425" w:rsidP="00205455">
            <w:pPr>
              <w:jc w:val="left"/>
              <w:rPr>
                <w:sz w:val="20"/>
                <w:szCs w:val="20"/>
              </w:rPr>
            </w:pPr>
            <w:r w:rsidRPr="00CC3FED">
              <w:rPr>
                <w:sz w:val="20"/>
                <w:szCs w:val="20"/>
              </w:rPr>
              <w:t>Full mu opioid agonist</w:t>
            </w:r>
          </w:p>
        </w:tc>
        <w:tc>
          <w:tcPr>
            <w:tcW w:w="4523" w:type="dxa"/>
            <w:tcBorders>
              <w:left w:val="single" w:sz="4" w:space="0" w:color="7F7F7F" w:themeColor="text1" w:themeTint="80"/>
              <w:right w:val="single" w:sz="4" w:space="0" w:color="7F7F7F" w:themeColor="text1" w:themeTint="80"/>
            </w:tcBorders>
            <w:hideMark/>
          </w:tcPr>
          <w:p w14:paraId="2D27FA77" w14:textId="77777777" w:rsidR="00CD0425" w:rsidRPr="00CC3FED" w:rsidRDefault="00CD0425" w:rsidP="00205455">
            <w:pPr>
              <w:jc w:val="left"/>
              <w:rPr>
                <w:sz w:val="20"/>
                <w:szCs w:val="20"/>
              </w:rPr>
            </w:pPr>
            <w:r w:rsidRPr="00CC3FED">
              <w:rPr>
                <w:sz w:val="20"/>
                <w:szCs w:val="20"/>
              </w:rPr>
              <w:t>Partial mu opioid agonist</w:t>
            </w:r>
          </w:p>
        </w:tc>
      </w:tr>
      <w:tr w:rsidR="00CD0425" w:rsidRPr="00CC3FED" w14:paraId="7A483600" w14:textId="77777777" w:rsidTr="00A95343">
        <w:trPr>
          <w:trHeight w:val="276"/>
        </w:trPr>
        <w:tc>
          <w:tcPr>
            <w:tcW w:w="4544" w:type="dxa"/>
            <w:tcBorders>
              <w:top w:val="dotted" w:sz="4" w:space="0" w:color="7F7F7F" w:themeColor="text1" w:themeTint="80"/>
              <w:left w:val="single" w:sz="4" w:space="0" w:color="7F7F7F" w:themeColor="text1" w:themeTint="80"/>
              <w:bottom w:val="dotted" w:sz="4" w:space="0" w:color="7F7F7F" w:themeColor="text1" w:themeTint="80"/>
              <w:right w:val="single" w:sz="4" w:space="0" w:color="auto"/>
            </w:tcBorders>
            <w:hideMark/>
          </w:tcPr>
          <w:p w14:paraId="7FA8F247" w14:textId="77777777" w:rsidR="00CD0425" w:rsidRPr="00CC3FED" w:rsidRDefault="00CD0425" w:rsidP="00205455">
            <w:pPr>
              <w:jc w:val="left"/>
              <w:rPr>
                <w:sz w:val="20"/>
                <w:szCs w:val="20"/>
              </w:rPr>
            </w:pPr>
            <w:r w:rsidRPr="00CC3FED">
              <w:rPr>
                <w:sz w:val="20"/>
                <w:szCs w:val="20"/>
              </w:rPr>
              <w:t>24-36 hour half-life</w:t>
            </w:r>
          </w:p>
        </w:tc>
        <w:tc>
          <w:tcPr>
            <w:tcW w:w="4523" w:type="dxa"/>
            <w:tcBorders>
              <w:top w:val="dotted" w:sz="4" w:space="0" w:color="7F7F7F" w:themeColor="text1" w:themeTint="80"/>
              <w:left w:val="single" w:sz="4" w:space="0" w:color="auto"/>
              <w:bottom w:val="dotted" w:sz="4" w:space="0" w:color="7F7F7F" w:themeColor="text1" w:themeTint="80"/>
              <w:right w:val="single" w:sz="4" w:space="0" w:color="7F7F7F" w:themeColor="text1" w:themeTint="80"/>
            </w:tcBorders>
            <w:hideMark/>
          </w:tcPr>
          <w:p w14:paraId="0F639498" w14:textId="77777777" w:rsidR="00CD0425" w:rsidRPr="00CC3FED" w:rsidRDefault="00CD0425" w:rsidP="00205455">
            <w:pPr>
              <w:jc w:val="left"/>
              <w:rPr>
                <w:sz w:val="20"/>
                <w:szCs w:val="20"/>
              </w:rPr>
            </w:pPr>
            <w:r w:rsidRPr="00CC3FED">
              <w:rPr>
                <w:sz w:val="20"/>
                <w:szCs w:val="20"/>
              </w:rPr>
              <w:t>36-48 hour half-life</w:t>
            </w:r>
          </w:p>
        </w:tc>
      </w:tr>
      <w:tr w:rsidR="00CD0425" w:rsidRPr="00CC3FED" w14:paraId="30B8ED4C" w14:textId="77777777" w:rsidTr="00A95343">
        <w:trPr>
          <w:cnfStyle w:val="000000100000" w:firstRow="0" w:lastRow="0" w:firstColumn="0" w:lastColumn="0" w:oddVBand="0" w:evenVBand="0" w:oddHBand="1" w:evenHBand="0" w:firstRowFirstColumn="0" w:firstRowLastColumn="0" w:lastRowFirstColumn="0" w:lastRowLastColumn="0"/>
          <w:trHeight w:val="265"/>
        </w:trPr>
        <w:tc>
          <w:tcPr>
            <w:tcW w:w="4544" w:type="dxa"/>
            <w:tcBorders>
              <w:left w:val="single" w:sz="4" w:space="0" w:color="7F7F7F" w:themeColor="text1" w:themeTint="80"/>
              <w:right w:val="single" w:sz="4" w:space="0" w:color="7F7F7F" w:themeColor="text1" w:themeTint="80"/>
            </w:tcBorders>
            <w:hideMark/>
          </w:tcPr>
          <w:p w14:paraId="3F4C9357" w14:textId="77777777" w:rsidR="00CD0425" w:rsidRPr="00CC3FED" w:rsidRDefault="00CD0425" w:rsidP="00205455">
            <w:pPr>
              <w:jc w:val="left"/>
              <w:rPr>
                <w:sz w:val="20"/>
                <w:szCs w:val="20"/>
              </w:rPr>
            </w:pPr>
            <w:r w:rsidRPr="00CC3FED">
              <w:rPr>
                <w:sz w:val="20"/>
                <w:szCs w:val="20"/>
              </w:rPr>
              <w:t>Daily dose frequency</w:t>
            </w:r>
          </w:p>
        </w:tc>
        <w:tc>
          <w:tcPr>
            <w:tcW w:w="4523" w:type="dxa"/>
            <w:tcBorders>
              <w:left w:val="single" w:sz="4" w:space="0" w:color="7F7F7F" w:themeColor="text1" w:themeTint="80"/>
              <w:right w:val="single" w:sz="4" w:space="0" w:color="7F7F7F" w:themeColor="text1" w:themeTint="80"/>
            </w:tcBorders>
            <w:hideMark/>
          </w:tcPr>
          <w:p w14:paraId="77BD3576" w14:textId="77777777" w:rsidR="00CD0425" w:rsidRPr="00CC3FED" w:rsidRDefault="00CD0425" w:rsidP="00205455">
            <w:pPr>
              <w:jc w:val="left"/>
              <w:rPr>
                <w:sz w:val="20"/>
                <w:szCs w:val="20"/>
              </w:rPr>
            </w:pPr>
            <w:r w:rsidRPr="00CC3FED">
              <w:rPr>
                <w:sz w:val="20"/>
                <w:szCs w:val="20"/>
              </w:rPr>
              <w:t>Range of dose frequencies</w:t>
            </w:r>
          </w:p>
        </w:tc>
      </w:tr>
      <w:tr w:rsidR="00CD0425" w:rsidRPr="00CC3FED" w14:paraId="5EB3383B" w14:textId="77777777" w:rsidTr="00A95343">
        <w:trPr>
          <w:trHeight w:val="255"/>
        </w:trPr>
        <w:tc>
          <w:tcPr>
            <w:tcW w:w="4544" w:type="dxa"/>
            <w:tcBorders>
              <w:top w:val="dotted" w:sz="4" w:space="0" w:color="7F7F7F" w:themeColor="text1" w:themeTint="80"/>
              <w:left w:val="single" w:sz="4" w:space="0" w:color="7F7F7F" w:themeColor="text1" w:themeTint="80"/>
              <w:bottom w:val="dotted" w:sz="4" w:space="0" w:color="7F7F7F" w:themeColor="text1" w:themeTint="80"/>
              <w:right w:val="single" w:sz="4" w:space="0" w:color="auto"/>
            </w:tcBorders>
            <w:hideMark/>
          </w:tcPr>
          <w:p w14:paraId="41745925" w14:textId="77777777" w:rsidR="00CD0425" w:rsidRPr="00CC3FED" w:rsidRDefault="00CD0425" w:rsidP="00205455">
            <w:pPr>
              <w:jc w:val="left"/>
              <w:rPr>
                <w:sz w:val="20"/>
                <w:szCs w:val="20"/>
              </w:rPr>
            </w:pPr>
            <w:r w:rsidRPr="00CC3FED">
              <w:rPr>
                <w:sz w:val="20"/>
                <w:szCs w:val="20"/>
              </w:rPr>
              <w:t xml:space="preserve">Oral (liquid) administration </w:t>
            </w:r>
          </w:p>
        </w:tc>
        <w:tc>
          <w:tcPr>
            <w:tcW w:w="4523" w:type="dxa"/>
            <w:tcBorders>
              <w:top w:val="dotted" w:sz="4" w:space="0" w:color="7F7F7F" w:themeColor="text1" w:themeTint="80"/>
              <w:left w:val="single" w:sz="4" w:space="0" w:color="auto"/>
              <w:bottom w:val="dotted" w:sz="4" w:space="0" w:color="7F7F7F" w:themeColor="text1" w:themeTint="80"/>
              <w:right w:val="single" w:sz="4" w:space="0" w:color="7F7F7F" w:themeColor="text1" w:themeTint="80"/>
            </w:tcBorders>
            <w:hideMark/>
          </w:tcPr>
          <w:p w14:paraId="278CC6CC" w14:textId="77777777" w:rsidR="00CD0425" w:rsidRPr="00CC3FED" w:rsidRDefault="00CD0425" w:rsidP="00205455">
            <w:pPr>
              <w:jc w:val="left"/>
              <w:rPr>
                <w:sz w:val="20"/>
                <w:szCs w:val="20"/>
              </w:rPr>
            </w:pPr>
            <w:r w:rsidRPr="00CC3FED">
              <w:rPr>
                <w:sz w:val="20"/>
                <w:szCs w:val="20"/>
              </w:rPr>
              <w:t xml:space="preserve">Sublingual and long-acting administration </w:t>
            </w:r>
          </w:p>
        </w:tc>
      </w:tr>
      <w:tr w:rsidR="00CD0425" w:rsidRPr="00CC3FED" w14:paraId="0917DA1B" w14:textId="77777777" w:rsidTr="00A95343">
        <w:trPr>
          <w:cnfStyle w:val="000000100000" w:firstRow="0" w:lastRow="0" w:firstColumn="0" w:lastColumn="0" w:oddVBand="0" w:evenVBand="0" w:oddHBand="1" w:evenHBand="0" w:firstRowFirstColumn="0" w:firstRowLastColumn="0" w:lastRowFirstColumn="0" w:lastRowLastColumn="0"/>
          <w:trHeight w:val="556"/>
        </w:trPr>
        <w:tc>
          <w:tcPr>
            <w:tcW w:w="4544" w:type="dxa"/>
            <w:tcBorders>
              <w:left w:val="single" w:sz="4" w:space="0" w:color="7F7F7F" w:themeColor="text1" w:themeTint="80"/>
              <w:right w:val="single" w:sz="4" w:space="0" w:color="7F7F7F" w:themeColor="text1" w:themeTint="80"/>
            </w:tcBorders>
            <w:hideMark/>
          </w:tcPr>
          <w:p w14:paraId="1C810B26" w14:textId="19C88453" w:rsidR="00CD0425" w:rsidRPr="00CC3FED" w:rsidRDefault="00CD0425" w:rsidP="00205455">
            <w:pPr>
              <w:jc w:val="left"/>
              <w:rPr>
                <w:sz w:val="20"/>
                <w:szCs w:val="20"/>
              </w:rPr>
            </w:pPr>
            <w:r w:rsidRPr="00CC3FED">
              <w:rPr>
                <w:sz w:val="20"/>
                <w:szCs w:val="20"/>
              </w:rPr>
              <w:t xml:space="preserve">More </w:t>
            </w:r>
            <w:r w:rsidR="00E86E00">
              <w:rPr>
                <w:sz w:val="20"/>
                <w:szCs w:val="20"/>
              </w:rPr>
              <w:t>misuse</w:t>
            </w:r>
            <w:r w:rsidRPr="00CC3FED">
              <w:rPr>
                <w:sz w:val="20"/>
                <w:szCs w:val="20"/>
              </w:rPr>
              <w:t xml:space="preserve"> potential –supervised</w:t>
            </w:r>
            <w:r w:rsidR="00185110">
              <w:rPr>
                <w:sz w:val="20"/>
                <w:szCs w:val="20"/>
              </w:rPr>
              <w:t xml:space="preserve"> doses preferred</w:t>
            </w:r>
          </w:p>
        </w:tc>
        <w:tc>
          <w:tcPr>
            <w:tcW w:w="4523" w:type="dxa"/>
            <w:tcBorders>
              <w:left w:val="single" w:sz="4" w:space="0" w:color="7F7F7F" w:themeColor="text1" w:themeTint="80"/>
              <w:right w:val="single" w:sz="4" w:space="0" w:color="7F7F7F" w:themeColor="text1" w:themeTint="80"/>
            </w:tcBorders>
            <w:hideMark/>
          </w:tcPr>
          <w:p w14:paraId="1D9570DF" w14:textId="67C11497" w:rsidR="00CD0425" w:rsidRPr="00CC3FED" w:rsidRDefault="00CD0425" w:rsidP="00205455">
            <w:pPr>
              <w:jc w:val="left"/>
              <w:rPr>
                <w:sz w:val="20"/>
                <w:szCs w:val="20"/>
              </w:rPr>
            </w:pPr>
            <w:r w:rsidRPr="00CC3FED">
              <w:rPr>
                <w:sz w:val="20"/>
                <w:szCs w:val="20"/>
              </w:rPr>
              <w:t xml:space="preserve">Less </w:t>
            </w:r>
            <w:r w:rsidR="00E86E00">
              <w:rPr>
                <w:sz w:val="20"/>
                <w:szCs w:val="20"/>
              </w:rPr>
              <w:t>misuse</w:t>
            </w:r>
            <w:r w:rsidRPr="00CC3FED">
              <w:rPr>
                <w:sz w:val="20"/>
                <w:szCs w:val="20"/>
              </w:rPr>
              <w:t xml:space="preserve"> potential – better option if takeaway doses are needed</w:t>
            </w:r>
          </w:p>
        </w:tc>
      </w:tr>
      <w:tr w:rsidR="00CD0425" w:rsidRPr="00CC3FED" w14:paraId="29317B79" w14:textId="77777777" w:rsidTr="00A95343">
        <w:trPr>
          <w:trHeight w:val="408"/>
        </w:trPr>
        <w:tc>
          <w:tcPr>
            <w:tcW w:w="4544" w:type="dxa"/>
            <w:tcBorders>
              <w:top w:val="dotted" w:sz="4" w:space="0" w:color="7F7F7F" w:themeColor="text1" w:themeTint="80"/>
              <w:left w:val="single" w:sz="4" w:space="0" w:color="7F7F7F" w:themeColor="text1" w:themeTint="80"/>
              <w:bottom w:val="dotted" w:sz="4" w:space="0" w:color="7F7F7F" w:themeColor="text1" w:themeTint="80"/>
              <w:right w:val="single" w:sz="4" w:space="0" w:color="auto"/>
            </w:tcBorders>
            <w:hideMark/>
          </w:tcPr>
          <w:p w14:paraId="7316EF09" w14:textId="77777777" w:rsidR="00CD0425" w:rsidRPr="00CC3FED" w:rsidRDefault="00CD0425" w:rsidP="00205455">
            <w:pPr>
              <w:jc w:val="left"/>
              <w:rPr>
                <w:sz w:val="20"/>
                <w:szCs w:val="20"/>
              </w:rPr>
            </w:pPr>
            <w:r w:rsidRPr="00CC3FED">
              <w:rPr>
                <w:sz w:val="20"/>
                <w:szCs w:val="20"/>
              </w:rPr>
              <w:t>No protective overdose factors, more risks during treatment induction</w:t>
            </w:r>
          </w:p>
        </w:tc>
        <w:tc>
          <w:tcPr>
            <w:tcW w:w="4523" w:type="dxa"/>
            <w:tcBorders>
              <w:top w:val="dotted" w:sz="4" w:space="0" w:color="7F7F7F" w:themeColor="text1" w:themeTint="80"/>
              <w:left w:val="single" w:sz="4" w:space="0" w:color="auto"/>
              <w:bottom w:val="dotted" w:sz="4" w:space="0" w:color="7F7F7F" w:themeColor="text1" w:themeTint="80"/>
              <w:right w:val="single" w:sz="4" w:space="0" w:color="7F7F7F" w:themeColor="text1" w:themeTint="80"/>
            </w:tcBorders>
            <w:hideMark/>
          </w:tcPr>
          <w:p w14:paraId="51DD1312" w14:textId="77777777" w:rsidR="00CD0425" w:rsidRPr="00CC3FED" w:rsidRDefault="00CD0425" w:rsidP="00205455">
            <w:pPr>
              <w:jc w:val="left"/>
              <w:rPr>
                <w:sz w:val="20"/>
                <w:szCs w:val="20"/>
              </w:rPr>
            </w:pPr>
            <w:r w:rsidRPr="00CC3FED">
              <w:rPr>
                <w:sz w:val="20"/>
                <w:szCs w:val="20"/>
              </w:rPr>
              <w:t>Ceiling effect limits overdose risk, safer during treatment induction</w:t>
            </w:r>
          </w:p>
        </w:tc>
      </w:tr>
      <w:tr w:rsidR="00CD0425" w:rsidRPr="00CC3FED" w14:paraId="4F6D1A65" w14:textId="77777777" w:rsidTr="00A95343">
        <w:trPr>
          <w:cnfStyle w:val="000000100000" w:firstRow="0" w:lastRow="0" w:firstColumn="0" w:lastColumn="0" w:oddVBand="0" w:evenVBand="0" w:oddHBand="1" w:evenHBand="0" w:firstRowFirstColumn="0" w:firstRowLastColumn="0" w:lastRowFirstColumn="0" w:lastRowLastColumn="0"/>
          <w:trHeight w:val="288"/>
        </w:trPr>
        <w:tc>
          <w:tcPr>
            <w:tcW w:w="4544" w:type="dxa"/>
            <w:tcBorders>
              <w:left w:val="single" w:sz="4" w:space="0" w:color="7F7F7F" w:themeColor="text1" w:themeTint="80"/>
              <w:right w:val="single" w:sz="4" w:space="0" w:color="7F7F7F" w:themeColor="text1" w:themeTint="80"/>
            </w:tcBorders>
            <w:hideMark/>
          </w:tcPr>
          <w:p w14:paraId="6A5A93F1" w14:textId="77777777" w:rsidR="00CD0425" w:rsidRPr="00CC3FED" w:rsidRDefault="00CD0425" w:rsidP="00205455">
            <w:pPr>
              <w:jc w:val="left"/>
              <w:rPr>
                <w:sz w:val="20"/>
                <w:szCs w:val="20"/>
              </w:rPr>
            </w:pPr>
            <w:r w:rsidRPr="00CC3FED">
              <w:rPr>
                <w:sz w:val="20"/>
                <w:szCs w:val="20"/>
              </w:rPr>
              <w:t>More effective for severe dependence</w:t>
            </w:r>
          </w:p>
        </w:tc>
        <w:tc>
          <w:tcPr>
            <w:tcW w:w="4523" w:type="dxa"/>
            <w:tcBorders>
              <w:left w:val="single" w:sz="4" w:space="0" w:color="7F7F7F" w:themeColor="text1" w:themeTint="80"/>
              <w:right w:val="single" w:sz="4" w:space="0" w:color="7F7F7F" w:themeColor="text1" w:themeTint="80"/>
            </w:tcBorders>
            <w:hideMark/>
          </w:tcPr>
          <w:p w14:paraId="2FEA6D3A" w14:textId="77777777" w:rsidR="00CD0425" w:rsidRPr="00CC3FED" w:rsidRDefault="00CD0425" w:rsidP="00205455">
            <w:pPr>
              <w:jc w:val="left"/>
              <w:rPr>
                <w:sz w:val="20"/>
                <w:szCs w:val="20"/>
              </w:rPr>
            </w:pPr>
            <w:r w:rsidRPr="00CC3FED">
              <w:rPr>
                <w:sz w:val="20"/>
                <w:szCs w:val="20"/>
              </w:rPr>
              <w:t>More suited to mild-moderate dependence</w:t>
            </w:r>
          </w:p>
        </w:tc>
      </w:tr>
      <w:tr w:rsidR="00CD0425" w:rsidRPr="00CC3FED" w14:paraId="098C2D67" w14:textId="77777777" w:rsidTr="00A95343">
        <w:trPr>
          <w:trHeight w:val="265"/>
        </w:trPr>
        <w:tc>
          <w:tcPr>
            <w:tcW w:w="4544" w:type="dxa"/>
            <w:tcBorders>
              <w:top w:val="dotted" w:sz="4" w:space="0" w:color="7F7F7F" w:themeColor="text1" w:themeTint="80"/>
              <w:left w:val="single" w:sz="4" w:space="0" w:color="7F7F7F" w:themeColor="text1" w:themeTint="80"/>
              <w:bottom w:val="single" w:sz="4" w:space="0" w:color="7F7F7F" w:themeColor="text1" w:themeTint="80"/>
              <w:right w:val="single" w:sz="4" w:space="0" w:color="auto"/>
            </w:tcBorders>
            <w:hideMark/>
          </w:tcPr>
          <w:p w14:paraId="279A63BE" w14:textId="02BD9407" w:rsidR="00CD0425" w:rsidRPr="00CC3FED" w:rsidRDefault="00CD0425" w:rsidP="00205455">
            <w:pPr>
              <w:jc w:val="left"/>
              <w:rPr>
                <w:sz w:val="20"/>
                <w:szCs w:val="20"/>
              </w:rPr>
            </w:pPr>
            <w:r w:rsidRPr="00CC3FED">
              <w:rPr>
                <w:sz w:val="20"/>
                <w:szCs w:val="20"/>
              </w:rPr>
              <w:t>Generally associated with a high level of stigma</w:t>
            </w:r>
            <w:r w:rsidR="00A373B7">
              <w:rPr>
                <w:sz w:val="20"/>
                <w:szCs w:val="20"/>
              </w:rPr>
              <w:t xml:space="preserve"> (towards both patients and</w:t>
            </w:r>
            <w:r w:rsidR="009F0DDB">
              <w:rPr>
                <w:sz w:val="20"/>
                <w:szCs w:val="20"/>
              </w:rPr>
              <w:t xml:space="preserve"> the</w:t>
            </w:r>
            <w:r w:rsidR="00A373B7">
              <w:rPr>
                <w:sz w:val="20"/>
                <w:szCs w:val="20"/>
              </w:rPr>
              <w:t xml:space="preserve"> treatment</w:t>
            </w:r>
            <w:r w:rsidR="009F0DDB">
              <w:rPr>
                <w:sz w:val="20"/>
                <w:szCs w:val="20"/>
              </w:rPr>
              <w:t xml:space="preserve"> itself</w:t>
            </w:r>
            <w:r w:rsidR="00A373B7">
              <w:rPr>
                <w:sz w:val="20"/>
                <w:szCs w:val="20"/>
              </w:rPr>
              <w:t>)</w:t>
            </w:r>
          </w:p>
        </w:tc>
        <w:tc>
          <w:tcPr>
            <w:tcW w:w="4523" w:type="dxa"/>
            <w:tcBorders>
              <w:top w:val="dotted" w:sz="4" w:space="0" w:color="7F7F7F" w:themeColor="text1" w:themeTint="80"/>
              <w:left w:val="single" w:sz="4" w:space="0" w:color="auto"/>
              <w:bottom w:val="single" w:sz="4" w:space="0" w:color="7F7F7F" w:themeColor="text1" w:themeTint="80"/>
              <w:right w:val="single" w:sz="4" w:space="0" w:color="7F7F7F" w:themeColor="text1" w:themeTint="80"/>
            </w:tcBorders>
            <w:hideMark/>
          </w:tcPr>
          <w:p w14:paraId="68F13BB3" w14:textId="77777777" w:rsidR="00CD0425" w:rsidRPr="00CC3FED" w:rsidRDefault="00CD0425" w:rsidP="00205455">
            <w:pPr>
              <w:jc w:val="left"/>
              <w:rPr>
                <w:sz w:val="20"/>
                <w:szCs w:val="20"/>
              </w:rPr>
            </w:pPr>
            <w:r w:rsidRPr="00CC3FED">
              <w:rPr>
                <w:sz w:val="20"/>
                <w:szCs w:val="20"/>
              </w:rPr>
              <w:t>Less stigma associated with use</w:t>
            </w:r>
          </w:p>
        </w:tc>
      </w:tr>
    </w:tbl>
    <w:p w14:paraId="32681E98" w14:textId="2D7A9724" w:rsidR="00CD0425" w:rsidRPr="00EA3458" w:rsidRDefault="00CD0425" w:rsidP="00DA49F8">
      <w:pPr>
        <w:spacing w:before="120"/>
      </w:pPr>
      <w:r w:rsidRPr="00EA3458">
        <w:t xml:space="preserve">As a full mu opioid receptor agonist, methadone is considered to have a stronger opioid effect, but has more side effects, </w:t>
      </w:r>
      <w:r w:rsidR="00C6260F" w:rsidRPr="00EA3458">
        <w:t>risks,</w:t>
      </w:r>
      <w:r w:rsidRPr="00EA3458">
        <w:t xml:space="preserve"> and drug-drug interactions. Buprenorphine is considered safer than methadone </w:t>
      </w:r>
      <w:r w:rsidR="00B808B2">
        <w:t>largely due to having a</w:t>
      </w:r>
      <w:r w:rsidRPr="00EA3458">
        <w:t xml:space="preserve"> reduced risk of over-sedation, respiratory </w:t>
      </w:r>
      <w:r w:rsidR="00C6260F" w:rsidRPr="00EA3458">
        <w:t>depression,</w:t>
      </w:r>
      <w:r w:rsidRPr="00EA3458">
        <w:t xml:space="preserve"> and overdose. </w:t>
      </w:r>
    </w:p>
    <w:p w14:paraId="5F6A8662" w14:textId="64348DF4" w:rsidR="00CD0425" w:rsidRDefault="00CD0425" w:rsidP="00F22F00">
      <w:r w:rsidRPr="00EA3458">
        <w:t xml:space="preserve">The nature of methadone treatment has remained largely unchanged over time, with newer treatment alternatives focused on modifications to the delivery of buprenorphine. First, there was the combined buprenorphine + naloxone sublingual formulation as a means of reducing diversion, and more recently, the introduction of the long-acting formulation of buprenorphine as a means of providing a more convenient treatment option to both consumers and care providers, while at the same time reducing diversion and encouraging adherence. Although the use of </w:t>
      </w:r>
      <w:r w:rsidR="00F93DFC">
        <w:t>LAIB</w:t>
      </w:r>
      <w:r w:rsidRPr="00EA3458">
        <w:t xml:space="preserve"> is not currently integrated into the National Guidelines</w:t>
      </w:r>
      <w:r w:rsidR="007162A7">
        <w:t>,</w:t>
      </w:r>
      <w:r w:rsidR="002565E6" w:rsidRPr="007C0AB3">
        <w:fldChar w:fldCharType="begin"/>
      </w:r>
      <w:r w:rsidR="002565E6" w:rsidRPr="007C0AB3">
        <w:instrText xml:space="preserve"> ADDIN EN.CITE &lt;EndNote&gt;&lt;Cite&gt;&lt;Author&gt;Gowing&lt;/Author&gt;&lt;Year&gt;2014&lt;/Year&gt;&lt;RecNum&gt;13&lt;/RecNum&gt;&lt;DisplayText&gt;&lt;style face="superscript"&gt;15&lt;/style&gt;&lt;/DisplayText&gt;&lt;record&gt;&lt;rec-number&gt;13&lt;/rec-number&gt;&lt;foreign-keys&gt;&lt;key app="EN" db-id="xssz590sx9vzw4ewpzdv0s5sret50aexdtd9" timestamp="1668645290"&gt;13&lt;/key&gt;&lt;/foreign-keys&gt;&lt;ref-type name="Report"&gt;27&lt;/ref-type&gt;&lt;contributors&gt;&lt;authors&gt;&lt;author&gt;Gowing, L.,&lt;/author&gt;&lt;author&gt;Ali, R.&lt;/author&gt;&lt;author&gt;Dunlop, A.&lt;/author&gt;&lt;author&gt;Farrell, M.&lt;/author&gt;&lt;author&gt;Lintzeris, N.&lt;/author&gt;&lt;/authors&gt;&lt;/contributors&gt;&lt;titles&gt;&lt;title&gt;National Guidelines for Medication-Assisted Treatment of Opioid Dependence&lt;/title&gt;&lt;/titles&gt;&lt;dates&gt;&lt;year&gt;2014&lt;/year&gt;&lt;/dates&gt;&lt;pub-location&gt;Canberra&lt;/pub-location&gt;&lt;publisher&gt;Australian Government Department of Health&lt;/publisher&gt;&lt;urls&gt;&lt;/urls&gt;&lt;/record&gt;&lt;/Cite&gt;&lt;/EndNote&gt;</w:instrText>
      </w:r>
      <w:r w:rsidR="002565E6" w:rsidRPr="007C0AB3">
        <w:fldChar w:fldCharType="separate"/>
      </w:r>
      <w:r w:rsidR="002565E6" w:rsidRPr="007C0AB3">
        <w:rPr>
          <w:noProof/>
          <w:vertAlign w:val="superscript"/>
        </w:rPr>
        <w:t>15</w:t>
      </w:r>
      <w:r w:rsidR="002565E6" w:rsidRPr="007C0AB3">
        <w:fldChar w:fldCharType="end"/>
      </w:r>
      <w:r w:rsidRPr="00EA3458">
        <w:t xml:space="preserve"> several </w:t>
      </w:r>
      <w:r w:rsidR="00F93DFC">
        <w:t>jurisdictions</w:t>
      </w:r>
      <w:r w:rsidR="002565E6" w:rsidRPr="00EA3458">
        <w:fldChar w:fldCharType="begin">
          <w:fldData xml:space="preserve">PEVuZE5vdGU+PENpdGU+PEF1dGhvcj5NaW5pc3RyeSBvZiBIZWFsdGg8L0F1dGhvcj48WWVhcj4y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</w:fldData>
        </w:fldChar>
      </w:r>
      <w:r w:rsidR="002565E6">
        <w:instrText xml:space="preserve"> ADDIN EN.CITE </w:instrText>
      </w:r>
      <w:r w:rsidR="002565E6">
        <w:fldChar w:fldCharType="begin">
          <w:fldData xml:space="preserve">PEVuZE5vdGU+PENpdGU+PEF1dGhvcj5NaW5pc3RyeSBvZiBIZWFsdGg8L0F1dGhvcj48WWVhcj4y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</w:fldData>
        </w:fldChar>
      </w:r>
      <w:r w:rsidR="002565E6">
        <w:instrText xml:space="preserve"> ADDIN EN.CITE.DATA </w:instrText>
      </w:r>
      <w:r w:rsidR="002565E6">
        <w:fldChar w:fldCharType="end"/>
      </w:r>
      <w:r w:rsidR="002565E6" w:rsidRPr="00EA3458">
        <w:fldChar w:fldCharType="separate"/>
      </w:r>
      <w:r w:rsidR="002565E6" w:rsidRPr="00646D54">
        <w:rPr>
          <w:noProof/>
          <w:vertAlign w:val="superscript"/>
        </w:rPr>
        <w:t>27-29</w:t>
      </w:r>
      <w:r w:rsidR="002565E6" w:rsidRPr="00EA3458">
        <w:fldChar w:fldCharType="end"/>
      </w:r>
      <w:r w:rsidRPr="00EA3458">
        <w:t xml:space="preserve"> have prepared local guidelines to support clinicians in using this formulation as a treatment option, bearing in mind that some modifications to delivery of treatment services are required to accommodate the reduced dosing interval (i.e. weekly, monthly). </w:t>
      </w:r>
    </w:p>
    <w:p w14:paraId="4B3257B7" w14:textId="3D3CC974" w:rsidR="00ED5C34" w:rsidRDefault="005B0C0C" w:rsidP="00ED5C34">
      <w:pPr>
        <w:pStyle w:val="Heading4"/>
      </w:pPr>
      <w:r>
        <w:t>Impact of COVID on service delivery of ODT</w:t>
      </w:r>
    </w:p>
    <w:p w14:paraId="5334AD2B" w14:textId="5DF1FD0C" w:rsidR="005B0C0C" w:rsidRPr="00EA3458" w:rsidRDefault="005B0C0C" w:rsidP="005B0C0C">
      <w:pPr>
        <w:rPr>
          <w:rStyle w:val="eop"/>
        </w:rPr>
      </w:pPr>
      <w:r w:rsidRPr="00EA3458">
        <w:rPr>
          <w:rStyle w:val="normaltextrun"/>
          <w:rFonts w:asciiTheme="minorHAnsi" w:hAnsiTheme="minorHAnsi" w:cstheme="minorBidi"/>
        </w:rPr>
        <w:t>The recent CHOICE study</w:t>
      </w:r>
      <w:r w:rsidR="002565E6" w:rsidRPr="00EA3458">
        <w:rPr>
          <w:rStyle w:val="normaltextrun"/>
          <w:rFonts w:asciiTheme="minorHAnsi" w:hAnsiTheme="minorHAnsi" w:cstheme="minorBidi"/>
        </w:rPr>
        <w:fldChar w:fldCharType="begin"/>
      </w:r>
      <w:r w:rsidR="002565E6">
        <w:rPr>
          <w:rStyle w:val="normaltextrun"/>
          <w:rFonts w:asciiTheme="minorHAnsi" w:hAnsiTheme="minorHAnsi" w:cstheme="minorBidi"/>
        </w:rPr>
        <w:instrText xml:space="preserve"> ADDIN EN.CITE &lt;EndNote&gt;&lt;Cite&gt;&lt;Author&gt;Conway&lt;/Author&gt;&lt;Year&gt;under review&lt;/Year&gt;&lt;RecNum&gt;31&lt;/RecNum&gt;&lt;DisplayText&gt;&lt;style face="superscript"&gt;30&lt;/style&gt;&lt;/DisplayText&gt;&lt;record&gt;&lt;rec-number&gt;31&lt;/rec-number&gt;&lt;foreign-keys&gt;&lt;key app="EN" db-id="xssz590sx9vzw4ewpzdv0s5sret50aexdtd9" timestamp="1668645389"&gt;31&lt;/key&gt;&lt;/foreign-keys&gt;&lt;ref-type name="Journal Article"&gt;17&lt;/ref-type&gt;&lt;contributors&gt;&lt;authors&gt;&lt;author&gt;Conway, A.&lt;/author&gt;&lt;author&gt;Crawford, S.,&lt;/author&gt;&lt;author&gt;Degenhardt, L.&lt;/author&gt;&lt;author&gt;Dore, G.&lt;/author&gt;&lt;author&gt;Farrell, M.&lt;/author&gt;&lt;author&gt;Hayllar, J.&lt;/author&gt;&lt;author&gt;Grebely, J.&lt;/author&gt;&lt;author&gt;Marshall, A.&lt;/author&gt;&lt;author&gt;Trealoar, C.&lt;/author&gt;&lt;/authors&gt;&lt;/contributors&gt;&lt;titles&gt;&lt;title&gt;“You’ll come in and dose even in a global pandemic”: a qualitative study of adaptive opioid agonist treatment provision during the COVID-19 pandemic&lt;/title&gt;&lt;secondary-title&gt;Addiction&lt;/secondary-title&gt;&lt;/titles&gt;&lt;dates&gt;&lt;year&gt;under review&lt;/year&gt;&lt;/dates&gt;&lt;urls&gt;&lt;/urls&gt;&lt;/record&gt;&lt;/Cite&gt;&lt;/EndNote&gt;</w:instrText>
      </w:r>
      <w:r w:rsidR="002565E6" w:rsidRPr="00EA3458">
        <w:rPr>
          <w:rStyle w:val="normaltextrun"/>
          <w:rFonts w:asciiTheme="minorHAnsi" w:hAnsiTheme="minorHAnsi" w:cstheme="minorBidi"/>
        </w:rPr>
        <w:fldChar w:fldCharType="separate"/>
      </w:r>
      <w:r w:rsidR="002565E6" w:rsidRPr="00646D54">
        <w:rPr>
          <w:rStyle w:val="normaltextrun"/>
          <w:rFonts w:asciiTheme="minorHAnsi" w:hAnsiTheme="minorHAnsi" w:cstheme="minorBidi"/>
          <w:noProof/>
          <w:vertAlign w:val="superscript"/>
        </w:rPr>
        <w:t>30</w:t>
      </w:r>
      <w:r w:rsidR="002565E6" w:rsidRPr="00EA3458">
        <w:rPr>
          <w:rStyle w:val="normaltextrun"/>
          <w:rFonts w:asciiTheme="minorHAnsi" w:hAnsiTheme="minorHAnsi" w:cstheme="minorBidi"/>
        </w:rPr>
        <w:fldChar w:fldCharType="end"/>
      </w:r>
      <w:r w:rsidRPr="00EA3458">
        <w:rPr>
          <w:rStyle w:val="normaltextrun"/>
          <w:rFonts w:asciiTheme="minorHAnsi" w:hAnsiTheme="minorHAnsi" w:cstheme="minorBidi"/>
        </w:rPr>
        <w:t xml:space="preserve"> collected data on the</w:t>
      </w:r>
      <w:r w:rsidRPr="00EA3458">
        <w:rPr>
          <w:rStyle w:val="eop"/>
        </w:rPr>
        <w:t xml:space="preserve"> impact of COVID on service organisation and delivery through in-depth interviews with providers. The key findings are described below.</w:t>
      </w:r>
    </w:p>
    <w:p w14:paraId="26E41BC5" w14:textId="77777777" w:rsidR="005B0C0C" w:rsidRPr="00EA3458" w:rsidRDefault="005B0C0C" w:rsidP="005B0C0C">
      <w:pPr>
        <w:pStyle w:val="Heading5"/>
      </w:pPr>
      <w:r w:rsidRPr="00EA3458">
        <w:t>Physical setting, risk environments and dosing points as COVID-19 “hotspot”</w:t>
      </w:r>
    </w:p>
    <w:p w14:paraId="180A238B" w14:textId="4F36C858" w:rsidR="005B0C0C" w:rsidRPr="00EA3458" w:rsidRDefault="005B0C0C" w:rsidP="005B0C0C">
      <w:pPr>
        <w:rPr>
          <w:rStyle w:val="normaltextrun"/>
          <w:rFonts w:asciiTheme="minorHAnsi" w:eastAsiaTheme="majorEastAsia" w:hAnsiTheme="minorHAnsi" w:cstheme="minorBidi"/>
          <w:color w:val="2F5496" w:themeColor="accent1" w:themeShade="BF"/>
        </w:rPr>
      </w:pPr>
      <w:r w:rsidRPr="00EA3458">
        <w:rPr>
          <w:rStyle w:val="normaltextrun"/>
          <w:rFonts w:asciiTheme="minorHAnsi" w:hAnsiTheme="minorHAnsi" w:cstheme="minorBidi"/>
        </w:rPr>
        <w:t>Delivering O</w:t>
      </w:r>
      <w:r w:rsidR="00F73BE3">
        <w:rPr>
          <w:rStyle w:val="normaltextrun"/>
          <w:rFonts w:asciiTheme="minorHAnsi" w:hAnsiTheme="minorHAnsi" w:cstheme="minorBidi"/>
        </w:rPr>
        <w:t>D</w:t>
      </w:r>
      <w:r w:rsidRPr="00EA3458">
        <w:rPr>
          <w:rStyle w:val="normaltextrun"/>
          <w:rFonts w:asciiTheme="minorHAnsi" w:hAnsiTheme="minorHAnsi" w:cstheme="minorBidi"/>
        </w:rPr>
        <w:t>T</w:t>
      </w:r>
      <w:r w:rsidR="00F73BE3">
        <w:rPr>
          <w:rStyle w:val="normaltextrun"/>
          <w:rFonts w:asciiTheme="minorHAnsi" w:hAnsiTheme="minorHAnsi" w:cstheme="minorBidi"/>
        </w:rPr>
        <w:t xml:space="preserve"> medicines</w:t>
      </w:r>
      <w:r w:rsidRPr="00EA3458">
        <w:rPr>
          <w:rStyle w:val="normaltextrun"/>
          <w:rFonts w:asciiTheme="minorHAnsi" w:hAnsiTheme="minorHAnsi" w:cstheme="minorBidi"/>
        </w:rPr>
        <w:t xml:space="preserve"> can involve frequent contact with large concentrations of consumers. Recognising this, providers assessed O</w:t>
      </w:r>
      <w:r w:rsidR="00F73BE3">
        <w:rPr>
          <w:rStyle w:val="normaltextrun"/>
          <w:rFonts w:asciiTheme="minorHAnsi" w:hAnsiTheme="minorHAnsi" w:cstheme="minorBidi"/>
        </w:rPr>
        <w:t>D</w:t>
      </w:r>
      <w:r w:rsidRPr="00EA3458">
        <w:rPr>
          <w:rStyle w:val="normaltextrun"/>
          <w:rFonts w:asciiTheme="minorHAnsi" w:hAnsiTheme="minorHAnsi" w:cstheme="minorBidi"/>
        </w:rPr>
        <w:t>T consumers’ risk environments at the clinic and made rapid adaptations to reduce the chances of consumers contracting COVID-19 while accessing treatment. However, some adaptations to O</w:t>
      </w:r>
      <w:r w:rsidR="00F73BE3">
        <w:rPr>
          <w:rStyle w:val="normaltextrun"/>
          <w:rFonts w:asciiTheme="minorHAnsi" w:hAnsiTheme="minorHAnsi" w:cstheme="minorBidi"/>
        </w:rPr>
        <w:t>D</w:t>
      </w:r>
      <w:r w:rsidRPr="00EA3458">
        <w:rPr>
          <w:rStyle w:val="normaltextrun"/>
          <w:rFonts w:asciiTheme="minorHAnsi" w:hAnsiTheme="minorHAnsi" w:cstheme="minorBidi"/>
        </w:rPr>
        <w:t>T</w:t>
      </w:r>
      <w:r w:rsidR="00F73BE3">
        <w:rPr>
          <w:rStyle w:val="normaltextrun"/>
          <w:rFonts w:asciiTheme="minorHAnsi" w:hAnsiTheme="minorHAnsi" w:cstheme="minorBidi"/>
        </w:rPr>
        <w:t xml:space="preserve"> medicine access</w:t>
      </w:r>
      <w:r w:rsidRPr="00EA3458">
        <w:rPr>
          <w:rStyle w:val="normaltextrun"/>
          <w:rFonts w:asciiTheme="minorHAnsi" w:hAnsiTheme="minorHAnsi" w:cstheme="minorBidi"/>
        </w:rPr>
        <w:t xml:space="preserve"> made consumers feel like the pharmacy was prioritising the interests of the public over those of the O</w:t>
      </w:r>
      <w:r w:rsidR="00F73BE3">
        <w:rPr>
          <w:rStyle w:val="normaltextrun"/>
          <w:rFonts w:asciiTheme="minorHAnsi" w:hAnsiTheme="minorHAnsi" w:cstheme="minorBidi"/>
        </w:rPr>
        <w:t>D</w:t>
      </w:r>
      <w:r w:rsidRPr="00EA3458">
        <w:rPr>
          <w:rStyle w:val="normaltextrun"/>
          <w:rFonts w:asciiTheme="minorHAnsi" w:hAnsiTheme="minorHAnsi" w:cstheme="minorBidi"/>
        </w:rPr>
        <w:t>T consumer. For example, when pharmacies chose to remove their O</w:t>
      </w:r>
      <w:r w:rsidR="00F73BE3">
        <w:rPr>
          <w:rStyle w:val="normaltextrun"/>
          <w:rFonts w:asciiTheme="minorHAnsi" w:hAnsiTheme="minorHAnsi" w:cstheme="minorBidi"/>
        </w:rPr>
        <w:t>D</w:t>
      </w:r>
      <w:r w:rsidRPr="00EA3458">
        <w:rPr>
          <w:rStyle w:val="normaltextrun"/>
          <w:rFonts w:asciiTheme="minorHAnsi" w:hAnsiTheme="minorHAnsi" w:cstheme="minorBidi"/>
        </w:rPr>
        <w:t>T</w:t>
      </w:r>
      <w:r w:rsidR="00F73BE3">
        <w:rPr>
          <w:rStyle w:val="normaltextrun"/>
          <w:rFonts w:asciiTheme="minorHAnsi" w:hAnsiTheme="minorHAnsi" w:cstheme="minorBidi"/>
        </w:rPr>
        <w:t xml:space="preserve"> medicine</w:t>
      </w:r>
      <w:r w:rsidRPr="00EA3458">
        <w:rPr>
          <w:rStyle w:val="normaltextrun"/>
          <w:rFonts w:asciiTheme="minorHAnsi" w:hAnsiTheme="minorHAnsi" w:cstheme="minorBidi"/>
        </w:rPr>
        <w:t xml:space="preserve"> dosing cubicles to allow for physical distancing, some O</w:t>
      </w:r>
      <w:r w:rsidR="00F73BE3">
        <w:rPr>
          <w:rStyle w:val="normaltextrun"/>
          <w:rFonts w:asciiTheme="minorHAnsi" w:hAnsiTheme="minorHAnsi" w:cstheme="minorBidi"/>
        </w:rPr>
        <w:t>D</w:t>
      </w:r>
      <w:r w:rsidRPr="00EA3458">
        <w:rPr>
          <w:rStyle w:val="normaltextrun"/>
          <w:rFonts w:asciiTheme="minorHAnsi" w:hAnsiTheme="minorHAnsi" w:cstheme="minorBidi"/>
        </w:rPr>
        <w:t>T consumers felt their privacy had diminished.</w:t>
      </w:r>
    </w:p>
    <w:p w14:paraId="58025034" w14:textId="77777777" w:rsidR="005B0C0C" w:rsidRPr="00EA3458" w:rsidRDefault="005B0C0C" w:rsidP="005B0C0C">
      <w:pPr>
        <w:pStyle w:val="Heading5"/>
      </w:pPr>
      <w:r w:rsidRPr="00EA3458">
        <w:lastRenderedPageBreak/>
        <w:t>LAIB</w:t>
      </w:r>
    </w:p>
    <w:p w14:paraId="6BCBCA62" w14:textId="03B0B7BB" w:rsidR="005B0C0C" w:rsidRPr="00EA3458" w:rsidRDefault="00AE5070" w:rsidP="005B0C0C">
      <w:pPr>
        <w:rPr>
          <w:rStyle w:val="normaltextrun"/>
          <w:rFonts w:asciiTheme="minorHAnsi" w:eastAsiaTheme="majorEastAsia" w:hAnsiTheme="minorHAnsi" w:cstheme="minorHAnsi"/>
          <w:color w:val="2F5496" w:themeColor="accent1" w:themeShade="BF"/>
        </w:rPr>
      </w:pPr>
      <w:r>
        <w:rPr>
          <w:rStyle w:val="normaltextrun"/>
          <w:rFonts w:asciiTheme="minorHAnsi" w:hAnsiTheme="minorHAnsi" w:cstheme="minorHAnsi"/>
        </w:rPr>
        <w:t>In response to the COVID-19 pandemic, p</w:t>
      </w:r>
      <w:r w:rsidR="00B808B2">
        <w:rPr>
          <w:rStyle w:val="normaltextrun"/>
          <w:rFonts w:asciiTheme="minorHAnsi" w:hAnsiTheme="minorHAnsi" w:cstheme="minorHAnsi"/>
        </w:rPr>
        <w:t xml:space="preserve">olicies encouraging the use of LAIB were </w:t>
      </w:r>
      <w:r w:rsidR="006C4489">
        <w:rPr>
          <w:rStyle w:val="normaltextrun"/>
          <w:rFonts w:asciiTheme="minorHAnsi" w:hAnsiTheme="minorHAnsi" w:cstheme="minorHAnsi"/>
        </w:rPr>
        <w:t>introduced</w:t>
      </w:r>
      <w:r w:rsidR="006C4489" w:rsidRPr="00EA3458">
        <w:rPr>
          <w:rStyle w:val="normaltextrun"/>
          <w:rFonts w:asciiTheme="minorHAnsi" w:hAnsiTheme="minorHAnsi" w:cstheme="minorHAnsi"/>
        </w:rPr>
        <w:t xml:space="preserve"> </w:t>
      </w:r>
      <w:r w:rsidR="00B808B2">
        <w:rPr>
          <w:rStyle w:val="normaltextrun"/>
          <w:rFonts w:asciiTheme="minorHAnsi" w:hAnsiTheme="minorHAnsi" w:cstheme="minorHAnsi"/>
        </w:rPr>
        <w:t xml:space="preserve">by state and territory governments </w:t>
      </w:r>
      <w:r w:rsidR="005B0C0C" w:rsidRPr="00EA3458">
        <w:rPr>
          <w:rStyle w:val="normaltextrun"/>
          <w:rFonts w:asciiTheme="minorHAnsi" w:hAnsiTheme="minorHAnsi" w:cstheme="minorHAnsi"/>
        </w:rPr>
        <w:t>as a strategy to reduce footfall at dosing points, due to the weekly or monthly schedule of injections</w:t>
      </w:r>
      <w:r>
        <w:rPr>
          <w:rStyle w:val="normaltextrun"/>
          <w:rFonts w:asciiTheme="minorHAnsi" w:hAnsiTheme="minorHAnsi" w:cstheme="minorHAnsi"/>
        </w:rPr>
        <w:t xml:space="preserve"> (rather than often daily dosing of oral and sublingual ODT medicines)</w:t>
      </w:r>
      <w:r w:rsidR="005B0C0C" w:rsidRPr="00EA3458">
        <w:rPr>
          <w:rStyle w:val="normaltextrun"/>
          <w:rFonts w:asciiTheme="minorHAnsi" w:hAnsiTheme="minorHAnsi" w:cstheme="minorHAnsi"/>
        </w:rPr>
        <w:t>. O</w:t>
      </w:r>
      <w:r w:rsidR="00F73BE3">
        <w:rPr>
          <w:rStyle w:val="normaltextrun"/>
          <w:rFonts w:asciiTheme="minorHAnsi" w:hAnsiTheme="minorHAnsi" w:cstheme="minorHAnsi"/>
        </w:rPr>
        <w:t>D</w:t>
      </w:r>
      <w:r w:rsidR="005B0C0C" w:rsidRPr="00EA3458">
        <w:rPr>
          <w:rStyle w:val="normaltextrun"/>
          <w:rFonts w:asciiTheme="minorHAnsi" w:hAnsiTheme="minorHAnsi" w:cstheme="minorHAnsi"/>
        </w:rPr>
        <w:t>T consumers receiving LAIB described a multitude of benefits from this O</w:t>
      </w:r>
      <w:r w:rsidR="00F73BE3">
        <w:rPr>
          <w:rStyle w:val="normaltextrun"/>
          <w:rFonts w:asciiTheme="minorHAnsi" w:hAnsiTheme="minorHAnsi" w:cstheme="minorHAnsi"/>
        </w:rPr>
        <w:t>D</w:t>
      </w:r>
      <w:r w:rsidR="005B0C0C" w:rsidRPr="00EA3458">
        <w:rPr>
          <w:rStyle w:val="normaltextrun"/>
          <w:rFonts w:asciiTheme="minorHAnsi" w:hAnsiTheme="minorHAnsi" w:cstheme="minorHAnsi"/>
        </w:rPr>
        <w:t>T</w:t>
      </w:r>
      <w:r w:rsidR="00F73BE3">
        <w:rPr>
          <w:rStyle w:val="normaltextrun"/>
          <w:rFonts w:asciiTheme="minorHAnsi" w:hAnsiTheme="minorHAnsi" w:cstheme="minorHAnsi"/>
        </w:rPr>
        <w:t xml:space="preserve"> medicine</w:t>
      </w:r>
      <w:r w:rsidR="005B0C0C" w:rsidRPr="00EA3458">
        <w:rPr>
          <w:rStyle w:val="normaltextrun"/>
          <w:rFonts w:asciiTheme="minorHAnsi" w:hAnsiTheme="minorHAnsi" w:cstheme="minorHAnsi"/>
        </w:rPr>
        <w:t xml:space="preserve"> formulation</w:t>
      </w:r>
      <w:r w:rsidR="00B33F04">
        <w:rPr>
          <w:rStyle w:val="normaltextrun"/>
          <w:rFonts w:asciiTheme="minorHAnsi" w:hAnsiTheme="minorHAnsi" w:cstheme="minorHAnsi"/>
        </w:rPr>
        <w:t>, however some concerns were also observed</w:t>
      </w:r>
      <w:r w:rsidR="007162A7">
        <w:rPr>
          <w:rStyle w:val="normaltextrun"/>
          <w:rFonts w:asciiTheme="minorHAnsi" w:hAnsiTheme="minorHAnsi" w:cstheme="minorHAnsi"/>
        </w:rPr>
        <w:t>.</w:t>
      </w:r>
    </w:p>
    <w:p w14:paraId="041FF63C" w14:textId="64E07E67" w:rsidR="005B0C0C" w:rsidRPr="00EA3458" w:rsidRDefault="005B0C0C" w:rsidP="005B0C0C">
      <w:pPr>
        <w:pStyle w:val="Heading5"/>
      </w:pPr>
      <w:r w:rsidRPr="00EA3458">
        <w:t>Increased access to O</w:t>
      </w:r>
      <w:r w:rsidR="00F73BE3">
        <w:t>D</w:t>
      </w:r>
      <w:r w:rsidRPr="00EA3458">
        <w:t>T</w:t>
      </w:r>
      <w:r w:rsidR="00F73BE3">
        <w:t xml:space="preserve"> medicine</w:t>
      </w:r>
      <w:r w:rsidRPr="00EA3458">
        <w:t xml:space="preserve"> takeaways and treatment adherence</w:t>
      </w:r>
    </w:p>
    <w:p w14:paraId="59360D2C" w14:textId="2D8539A8" w:rsidR="005B0C0C" w:rsidRDefault="005B0C0C" w:rsidP="005B0C0C">
      <w:pPr>
        <w:rPr>
          <w:rStyle w:val="normaltextrun"/>
          <w:rFonts w:asciiTheme="minorHAnsi" w:hAnsiTheme="minorHAnsi" w:cstheme="minorBidi"/>
        </w:rPr>
      </w:pPr>
      <w:r w:rsidRPr="00EA3458">
        <w:rPr>
          <w:rStyle w:val="normaltextrun"/>
          <w:rFonts w:asciiTheme="minorHAnsi" w:hAnsiTheme="minorHAnsi" w:cstheme="minorBidi"/>
        </w:rPr>
        <w:t xml:space="preserve">New </w:t>
      </w:r>
      <w:r w:rsidR="00B808B2">
        <w:rPr>
          <w:rStyle w:val="normaltextrun"/>
          <w:rFonts w:asciiTheme="minorHAnsi" w:hAnsiTheme="minorHAnsi" w:cstheme="minorBidi"/>
        </w:rPr>
        <w:t>state and territory policies</w:t>
      </w:r>
      <w:r w:rsidR="00B808B2" w:rsidRPr="00EA3458">
        <w:rPr>
          <w:rStyle w:val="normaltextrun"/>
          <w:rFonts w:asciiTheme="minorHAnsi" w:hAnsiTheme="minorHAnsi" w:cstheme="minorBidi"/>
        </w:rPr>
        <w:t xml:space="preserve"> </w:t>
      </w:r>
      <w:r w:rsidRPr="00EA3458">
        <w:rPr>
          <w:rStyle w:val="normaltextrun"/>
          <w:rFonts w:asciiTheme="minorHAnsi" w:hAnsiTheme="minorHAnsi" w:cstheme="minorBidi"/>
        </w:rPr>
        <w:t xml:space="preserve">that scaled-up access to takeaways in response to the </w:t>
      </w:r>
      <w:r w:rsidR="00A33097">
        <w:rPr>
          <w:rStyle w:val="normaltextrun"/>
          <w:rFonts w:asciiTheme="minorHAnsi" w:hAnsiTheme="minorHAnsi" w:cstheme="minorBidi"/>
        </w:rPr>
        <w:br/>
      </w:r>
      <w:r w:rsidRPr="00EA3458">
        <w:rPr>
          <w:rStyle w:val="normaltextrun"/>
          <w:rFonts w:asciiTheme="minorHAnsi" w:hAnsiTheme="minorHAnsi" w:cstheme="minorBidi"/>
        </w:rPr>
        <w:t>COVID-19 pandemic raised concerns among providers that there would be an increase in treatment diversion and adverse effects. However, to date no published data have demonstrated an increase in adverse events – although such data may be delayed in being collated and reported. Treatment providers highlighted the need for state-level evaluation to assess the impact on O</w:t>
      </w:r>
      <w:r w:rsidR="00D1454C">
        <w:rPr>
          <w:rStyle w:val="normaltextrun"/>
          <w:rFonts w:asciiTheme="minorHAnsi" w:hAnsiTheme="minorHAnsi" w:cstheme="minorBidi"/>
        </w:rPr>
        <w:t>D</w:t>
      </w:r>
      <w:r w:rsidRPr="00EA3458">
        <w:rPr>
          <w:rStyle w:val="normaltextrun"/>
          <w:rFonts w:asciiTheme="minorHAnsi" w:hAnsiTheme="minorHAnsi" w:cstheme="minorBidi"/>
        </w:rPr>
        <w:t>T</w:t>
      </w:r>
      <w:r w:rsidR="00D1454C">
        <w:rPr>
          <w:rStyle w:val="normaltextrun"/>
          <w:rFonts w:asciiTheme="minorHAnsi" w:hAnsiTheme="minorHAnsi" w:cstheme="minorBidi"/>
        </w:rPr>
        <w:t xml:space="preserve"> medicine</w:t>
      </w:r>
      <w:r w:rsidRPr="00EA3458">
        <w:rPr>
          <w:rStyle w:val="normaltextrun"/>
          <w:rFonts w:asciiTheme="minorHAnsi" w:hAnsiTheme="minorHAnsi" w:cstheme="minorBidi"/>
        </w:rPr>
        <w:t>-related overdose during COVID-19, before maintaining increased access to takeaways</w:t>
      </w:r>
      <w:r w:rsidR="006851EB">
        <w:rPr>
          <w:rStyle w:val="normaltextrun"/>
          <w:rFonts w:asciiTheme="minorHAnsi" w:hAnsiTheme="minorHAnsi" w:cstheme="minorBidi"/>
        </w:rPr>
        <w:t xml:space="preserve"> (some of these initiatives are now being rolled back to pre-pandemic ODT policies in some jurisdictions)</w:t>
      </w:r>
      <w:r w:rsidRPr="00EA3458">
        <w:rPr>
          <w:rStyle w:val="normaltextrun"/>
          <w:rFonts w:asciiTheme="minorHAnsi" w:hAnsiTheme="minorHAnsi" w:cstheme="minorBidi"/>
        </w:rPr>
        <w:t>. O</w:t>
      </w:r>
      <w:r w:rsidR="00D1454C">
        <w:rPr>
          <w:rStyle w:val="normaltextrun"/>
          <w:rFonts w:asciiTheme="minorHAnsi" w:hAnsiTheme="minorHAnsi" w:cstheme="minorBidi"/>
        </w:rPr>
        <w:t>D</w:t>
      </w:r>
      <w:r w:rsidRPr="00EA3458">
        <w:rPr>
          <w:rStyle w:val="normaltextrun"/>
          <w:rFonts w:asciiTheme="minorHAnsi" w:hAnsiTheme="minorHAnsi" w:cstheme="minorBidi"/>
        </w:rPr>
        <w:t>T</w:t>
      </w:r>
      <w:r w:rsidR="00D1454C">
        <w:rPr>
          <w:rStyle w:val="normaltextrun"/>
          <w:rFonts w:asciiTheme="minorHAnsi" w:hAnsiTheme="minorHAnsi" w:cstheme="minorBidi"/>
        </w:rPr>
        <w:t xml:space="preserve"> medicine</w:t>
      </w:r>
      <w:r w:rsidRPr="00EA3458">
        <w:rPr>
          <w:rStyle w:val="normaltextrun"/>
          <w:rFonts w:asciiTheme="minorHAnsi" w:hAnsiTheme="minorHAnsi" w:cstheme="minorBidi"/>
        </w:rPr>
        <w:t xml:space="preserve"> consumers reported that increased takeaways were more convenient, supported flexible dosing, improved treatment adherence, and instilled a sense of empowerment in the consumer.</w:t>
      </w:r>
    </w:p>
    <w:p w14:paraId="6B2D18E2" w14:textId="77777777" w:rsidR="00434810" w:rsidRPr="00EA3458" w:rsidRDefault="00434810" w:rsidP="00F22F00">
      <w:pPr>
        <w:pStyle w:val="Heading4"/>
      </w:pPr>
      <w:r w:rsidRPr="00EA3458">
        <w:t>Comparison across Australian jurisdictions</w:t>
      </w:r>
    </w:p>
    <w:p w14:paraId="3C2095A1" w14:textId="39B42CAA" w:rsidR="00434810" w:rsidRPr="00EA3458" w:rsidRDefault="00434810" w:rsidP="00B54030">
      <w:pPr>
        <w:spacing w:line="276" w:lineRule="auto"/>
        <w:rPr>
          <w:rFonts w:eastAsia="Calibri" w:cs="Calibri"/>
        </w:rPr>
      </w:pPr>
      <w:r w:rsidRPr="00EA3458">
        <w:rPr>
          <w:rFonts w:eastAsia="Calibri" w:cs="Calibri"/>
        </w:rPr>
        <w:t>In April 2021, the Department summarised the O</w:t>
      </w:r>
      <w:r w:rsidR="00D1454C">
        <w:rPr>
          <w:rFonts w:eastAsia="Calibri" w:cs="Calibri"/>
        </w:rPr>
        <w:t>D</w:t>
      </w:r>
      <w:r w:rsidRPr="00EA3458">
        <w:rPr>
          <w:rFonts w:eastAsia="Calibri" w:cs="Calibri"/>
        </w:rPr>
        <w:t>T</w:t>
      </w:r>
      <w:r w:rsidR="00D1454C">
        <w:rPr>
          <w:rFonts w:eastAsia="Calibri" w:cs="Calibri"/>
        </w:rPr>
        <w:t xml:space="preserve"> medicine</w:t>
      </w:r>
      <w:r w:rsidRPr="00EA3458">
        <w:rPr>
          <w:rFonts w:eastAsia="Calibri" w:cs="Calibri"/>
        </w:rPr>
        <w:t xml:space="preserve"> guidelines and policies across all Australian jurisdictions</w:t>
      </w:r>
      <w:r w:rsidR="006704B3">
        <w:rPr>
          <w:rFonts w:eastAsia="Calibri" w:cs="Calibri"/>
        </w:rPr>
        <w:t>.</w:t>
      </w:r>
      <w:r w:rsidR="002565E6" w:rsidRPr="00EA3458">
        <w:rPr>
          <w:rFonts w:eastAsia="Calibri" w:cs="Calibri"/>
          <w:noProof/>
        </w:rPr>
        <w:fldChar w:fldCharType="begin"/>
      </w:r>
      <w:r w:rsidR="002565E6">
        <w:rPr>
          <w:rFonts w:eastAsia="Calibri" w:cs="Calibri"/>
          <w:noProof/>
        </w:rPr>
        <w:instrText xml:space="preserve"> ADDIN EN.CITE &lt;EndNote&gt;&lt;Cite&gt;&lt;Author&gt;Department of Health&lt;/Author&gt;&lt;Year&gt;2021&lt;/Year&gt;&lt;RecNum&gt;32&lt;/RecNum&gt;&lt;DisplayText&gt;&lt;style face="superscript"&gt;31&lt;/style&gt;&lt;/DisplayText&gt;&lt;record&gt;&lt;rec-number&gt;32&lt;/rec-number&gt;&lt;foreign-keys&gt;&lt;key app="EN" db-id="xssz590sx9vzw4ewpzdv0s5sret50aexdtd9" timestamp="1668645396"&gt;32&lt;/key&gt;&lt;/foreign-keys&gt;&lt;ref-type name="Web Page"&gt;12&lt;/ref-type&gt;&lt;contributors&gt;&lt;authors&gt;&lt;author&gt;Department of Health,&lt;/author&gt;&lt;/authors&gt;&lt;/contributors&gt;&lt;titles&gt;&lt;title&gt;Summary of state and territory opioid dependence treatment programs - April 2021 &lt;/title&gt;&lt;/titles&gt;&lt;volume&gt;2022&lt;/volume&gt;&lt;number&gt;2 March 2022&lt;/number&gt;&lt;dates&gt;&lt;year&gt;2021&lt;/year&gt;&lt;/dates&gt;&lt;urls&gt;&lt;related-urls&gt;&lt;url&gt;https://www.pbs.gov.au/reviews/post-market-review-of-opiate-dependence-treatment-program/summary-of-state-and-territory-ODT-programs-April-2021.PDF&lt;/url&gt;&lt;/related-urls&gt;&lt;/urls&gt;&lt;/record&gt;&lt;/Cite&gt;&lt;/EndNote&gt;</w:instrText>
      </w:r>
      <w:r w:rsidR="002565E6" w:rsidRPr="00EA3458">
        <w:rPr>
          <w:rFonts w:eastAsia="Calibri" w:cs="Calibri"/>
          <w:noProof/>
        </w:rPr>
        <w:fldChar w:fldCharType="separate"/>
      </w:r>
      <w:r w:rsidR="002565E6" w:rsidRPr="00646D54">
        <w:rPr>
          <w:rFonts w:eastAsia="Calibri" w:cs="Calibri"/>
          <w:noProof/>
          <w:vertAlign w:val="superscript"/>
        </w:rPr>
        <w:t>31</w:t>
      </w:r>
      <w:r w:rsidR="002565E6" w:rsidRPr="00EA3458">
        <w:rPr>
          <w:rFonts w:eastAsia="Calibri" w:cs="Calibri"/>
          <w:noProof/>
        </w:rPr>
        <w:fldChar w:fldCharType="end"/>
      </w:r>
      <w:r w:rsidR="00F93DFC">
        <w:rPr>
          <w:rFonts w:eastAsia="Calibri" w:cs="Calibri"/>
          <w:noProof/>
        </w:rPr>
        <w:t xml:space="preserve"> The table was updated during the literature review a</w:t>
      </w:r>
      <w:r w:rsidR="00124E70">
        <w:rPr>
          <w:rFonts w:eastAsia="Calibri" w:cs="Calibri"/>
          <w:noProof/>
        </w:rPr>
        <w:t>nd</w:t>
      </w:r>
      <w:r w:rsidR="00F93DFC">
        <w:rPr>
          <w:rFonts w:eastAsia="Calibri" w:cs="Calibri"/>
          <w:noProof/>
        </w:rPr>
        <w:t xml:space="preserve"> is current as at Ma</w:t>
      </w:r>
      <w:r w:rsidR="00124E70">
        <w:rPr>
          <w:rFonts w:eastAsia="Calibri" w:cs="Calibri"/>
          <w:noProof/>
        </w:rPr>
        <w:t>rch</w:t>
      </w:r>
      <w:r w:rsidR="00F93DFC">
        <w:rPr>
          <w:rFonts w:eastAsia="Calibri" w:cs="Calibri"/>
          <w:noProof/>
        </w:rPr>
        <w:t xml:space="preserve"> 2022</w:t>
      </w:r>
      <w:r w:rsidR="00F93DFC">
        <w:rPr>
          <w:rFonts w:eastAsia="Calibri" w:cs="Calibri"/>
        </w:rPr>
        <w:t xml:space="preserve"> </w:t>
      </w:r>
      <w:r w:rsidRPr="00EA3458">
        <w:rPr>
          <w:rFonts w:eastAsia="Calibri" w:cs="Calibri"/>
        </w:rPr>
        <w:t>(</w:t>
      </w:r>
      <w:r w:rsidRPr="00DA49F8">
        <w:rPr>
          <w:rFonts w:eastAsia="Calibri" w:cs="Calibri"/>
        </w:rPr>
        <w:t xml:space="preserve">see Table </w:t>
      </w:r>
      <w:r w:rsidR="00253486">
        <w:rPr>
          <w:rFonts w:eastAsia="Calibri" w:cs="Calibri"/>
        </w:rPr>
        <w:t>6</w:t>
      </w:r>
      <w:r w:rsidRPr="00EA3458">
        <w:rPr>
          <w:rFonts w:eastAsia="Calibri" w:cs="Calibri"/>
        </w:rPr>
        <w:t>).</w:t>
      </w:r>
    </w:p>
    <w:p w14:paraId="49192152" w14:textId="006AE528" w:rsidR="00434810" w:rsidRPr="00EA3458" w:rsidRDefault="00124E70" w:rsidP="00DA0E77">
      <w:pPr>
        <w:pStyle w:val="Heading5"/>
        <w:rPr>
          <w:rFonts w:asciiTheme="minorHAnsi" w:hAnsiTheme="minorHAnsi"/>
        </w:rPr>
      </w:pPr>
      <w:r>
        <w:t>Patient fees charged at c</w:t>
      </w:r>
      <w:r w:rsidR="00434810" w:rsidRPr="00EA3458">
        <w:t>ommunity pharmacies</w:t>
      </w:r>
    </w:p>
    <w:p w14:paraId="64202CD7" w14:textId="56C54B8D" w:rsidR="00434810" w:rsidRPr="00EA3458" w:rsidRDefault="00434810" w:rsidP="00F22F00">
      <w:r w:rsidRPr="00EA3458">
        <w:t>The most common dispensing service for O</w:t>
      </w:r>
      <w:r w:rsidR="00D1454C">
        <w:t>D</w:t>
      </w:r>
      <w:r w:rsidRPr="00EA3458">
        <w:t>T</w:t>
      </w:r>
      <w:r w:rsidR="00D1454C">
        <w:t xml:space="preserve"> medicine</w:t>
      </w:r>
      <w:r w:rsidRPr="00EA3458">
        <w:t xml:space="preserve"> across all states and territories is through community pharmacies. There is usually a dispensing cost to the consumer. Pharmacies can independently set the dispensing fee, with costs averaging $35 per week but known to range between $21 to $90 per week</w:t>
      </w:r>
      <w:r w:rsidR="00B650BA">
        <w:t>.</w:t>
      </w:r>
      <w:r w:rsidR="002565E6" w:rsidRPr="00EA3458">
        <w:fldChar w:fldCharType="begin"/>
      </w:r>
      <w:r w:rsidR="002565E6">
        <w:instrText xml:space="preserve"> ADDIN EN.CITE &lt;EndNote&gt;&lt;Cite&gt;&lt;Author&gt;Pharmacy Guild of Australia&lt;/Author&gt;&lt;Year&gt;2022&lt;/Year&gt;&lt;RecNum&gt;33&lt;/RecNum&gt;&lt;DisplayText&gt;&lt;style face="superscript"&gt;32&lt;/style&gt;&lt;/DisplayText&gt;&lt;record&gt;&lt;rec-number&gt;33&lt;/rec-number&gt;&lt;foreign-keys&gt;&lt;key app="EN" db-id="xssz590sx9vzw4ewpzdv0s5sret50aexdtd9" timestamp="1668645401"&gt;33&lt;/key&gt;&lt;/foreign-keys&gt;&lt;ref-type name="Personal Communication"&gt;26&lt;/ref-type&gt;&lt;contributors&gt;&lt;authors&gt;&lt;author&gt;Pharmacy Guild of Australia,&lt;/author&gt;&lt;/authors&gt;&lt;/contributors&gt;&lt;titles&gt;&lt;/titles&gt;&lt;dates&gt;&lt;year&gt;2022&lt;/year&gt;&lt;/dates&gt;&lt;urls&gt;&lt;/urls&gt;&lt;/record&gt;&lt;/Cite&gt;&lt;/EndNote&gt;</w:instrText>
      </w:r>
      <w:r w:rsidR="002565E6" w:rsidRPr="00EA3458">
        <w:fldChar w:fldCharType="separate"/>
      </w:r>
      <w:r w:rsidR="002565E6" w:rsidRPr="00646D54">
        <w:rPr>
          <w:noProof/>
          <w:vertAlign w:val="superscript"/>
        </w:rPr>
        <w:t>32</w:t>
      </w:r>
      <w:r w:rsidR="002565E6" w:rsidRPr="00EA3458">
        <w:fldChar w:fldCharType="end"/>
      </w:r>
      <w:r w:rsidRPr="00EA3458">
        <w:t xml:space="preserve"> Government subsidy</w:t>
      </w:r>
      <w:r w:rsidR="006851EB">
        <w:t xml:space="preserve"> or targeted incentives</w:t>
      </w:r>
      <w:r w:rsidRPr="00EA3458">
        <w:t xml:space="preserve"> for O</w:t>
      </w:r>
      <w:r w:rsidR="00D1454C">
        <w:t>D</w:t>
      </w:r>
      <w:r w:rsidRPr="00EA3458">
        <w:t>T</w:t>
      </w:r>
      <w:r w:rsidR="00D1454C">
        <w:t xml:space="preserve"> medicines</w:t>
      </w:r>
      <w:r w:rsidRPr="00EA3458">
        <w:t xml:space="preserve"> is available for </w:t>
      </w:r>
      <w:r w:rsidR="006851EB">
        <w:t>community pharmacies</w:t>
      </w:r>
      <w:r w:rsidRPr="00EA3458">
        <w:t xml:space="preserve"> in the ACT, NSW, and Tasmania. </w:t>
      </w:r>
      <w:r w:rsidR="006851EB">
        <w:t>While t</w:t>
      </w:r>
      <w:r w:rsidRPr="00EA3458">
        <w:t xml:space="preserve">he full detail of the subsidy </w:t>
      </w:r>
      <w:r w:rsidR="006851EB">
        <w:t>provided by the</w:t>
      </w:r>
      <w:r w:rsidRPr="00EA3458">
        <w:t xml:space="preserve"> ACT </w:t>
      </w:r>
      <w:r w:rsidR="006851EB">
        <w:t xml:space="preserve">government to pharmacists </w:t>
      </w:r>
      <w:r w:rsidRPr="00EA3458">
        <w:t xml:space="preserve">is </w:t>
      </w:r>
      <w:r w:rsidR="006851EB">
        <w:t>commercial-in-confidence</w:t>
      </w:r>
      <w:r w:rsidRPr="00EA3458">
        <w:t xml:space="preserve">, the </w:t>
      </w:r>
      <w:r w:rsidR="006851EB">
        <w:t>private</w:t>
      </w:r>
      <w:r w:rsidRPr="00EA3458">
        <w:t xml:space="preserve"> dispensing fee </w:t>
      </w:r>
      <w:r w:rsidR="006851EB">
        <w:t>able to be charged to</w:t>
      </w:r>
      <w:r w:rsidRPr="00EA3458">
        <w:t xml:space="preserve"> consumer</w:t>
      </w:r>
      <w:r w:rsidR="006851EB">
        <w:t>s</w:t>
      </w:r>
      <w:r w:rsidRPr="00EA3458">
        <w:t xml:space="preserve"> is capped at $15 per week. NSW provides a $1</w:t>
      </w:r>
      <w:r w:rsidR="007162A7">
        <w:t>,</w:t>
      </w:r>
      <w:r w:rsidRPr="00EA3458">
        <w:t xml:space="preserve">000 one-off payment to pharmacies for enrolment into the treatment program per pharmacy, with an additional $100 per consumer, twice a year (capped at 20 consumers and consumers must be dosed continuously for 2 months). Consumers in WA can be referred to financial assistance services such as Centrelink. However, in practice, if a WA consumer cannot afford to pay for pharmacy dosing, then they cannot </w:t>
      </w:r>
      <w:r w:rsidR="00D1454C">
        <w:t>receive</w:t>
      </w:r>
      <w:r w:rsidRPr="00EA3458">
        <w:t xml:space="preserve"> O</w:t>
      </w:r>
      <w:r w:rsidR="00D1454C">
        <w:t>D</w:t>
      </w:r>
      <w:r w:rsidRPr="00EA3458">
        <w:t>T</w:t>
      </w:r>
      <w:r w:rsidR="00D1454C">
        <w:t xml:space="preserve"> medicines</w:t>
      </w:r>
      <w:r w:rsidRPr="00EA3458">
        <w:t xml:space="preserve"> dispensed by pharmacies.</w:t>
      </w:r>
    </w:p>
    <w:p w14:paraId="41651D15" w14:textId="10631C9B" w:rsidR="00434810" w:rsidRPr="00EA3458" w:rsidRDefault="00434810" w:rsidP="00F22F00">
      <w:pPr>
        <w:pStyle w:val="Heading5"/>
        <w:rPr>
          <w:i/>
        </w:rPr>
      </w:pPr>
      <w:r w:rsidRPr="00EA3458">
        <w:t>P</w:t>
      </w:r>
      <w:r w:rsidR="00124E70">
        <w:t>atient fees at p</w:t>
      </w:r>
      <w:r w:rsidRPr="00EA3458">
        <w:t>ublic clinics and correctional services</w:t>
      </w:r>
    </w:p>
    <w:p w14:paraId="6E95B7CB" w14:textId="2C560DFC" w:rsidR="00434810" w:rsidRPr="00EA3458" w:rsidRDefault="00434810" w:rsidP="006851EB">
      <w:pPr>
        <w:rPr>
          <w:rFonts w:eastAsia="Calibri" w:cs="Calibri"/>
        </w:rPr>
      </w:pPr>
      <w:r w:rsidRPr="00EA3458">
        <w:rPr>
          <w:rFonts w:eastAsia="Calibri" w:cs="Calibri"/>
        </w:rPr>
        <w:t xml:space="preserve">Public clinics are available in ACT, NSW, SA, </w:t>
      </w:r>
      <w:r w:rsidR="00135831">
        <w:rPr>
          <w:rFonts w:eastAsia="Calibri" w:cs="Calibri"/>
        </w:rPr>
        <w:t>NT,</w:t>
      </w:r>
      <w:r w:rsidR="006776CC">
        <w:rPr>
          <w:rFonts w:eastAsia="Calibri" w:cs="Calibri"/>
        </w:rPr>
        <w:t xml:space="preserve"> </w:t>
      </w:r>
      <w:r w:rsidRPr="00EA3458">
        <w:rPr>
          <w:rFonts w:eastAsia="Calibri" w:cs="Calibri"/>
        </w:rPr>
        <w:t>and Tasmania, and provide O</w:t>
      </w:r>
      <w:r w:rsidR="00D1454C">
        <w:rPr>
          <w:rFonts w:eastAsia="Calibri" w:cs="Calibri"/>
        </w:rPr>
        <w:t>D</w:t>
      </w:r>
      <w:r w:rsidRPr="00EA3458">
        <w:rPr>
          <w:rFonts w:eastAsia="Calibri" w:cs="Calibri"/>
        </w:rPr>
        <w:t>T</w:t>
      </w:r>
      <w:r w:rsidR="00D1454C">
        <w:rPr>
          <w:rFonts w:eastAsia="Calibri" w:cs="Calibri"/>
        </w:rPr>
        <w:t xml:space="preserve"> medicines</w:t>
      </w:r>
      <w:r w:rsidRPr="00EA3458">
        <w:rPr>
          <w:rFonts w:eastAsia="Calibri" w:cs="Calibri"/>
        </w:rPr>
        <w:t xml:space="preserve"> with no fees for varying durations. Victoria has no public clinics but covers the treatment fees for consumers on Youth Justice community orders and for consumers released from prison, up to the first 30 days. Queensland does not cover all costs of O</w:t>
      </w:r>
      <w:r w:rsidR="00D1454C">
        <w:rPr>
          <w:rFonts w:eastAsia="Calibri" w:cs="Calibri"/>
        </w:rPr>
        <w:t>D</w:t>
      </w:r>
      <w:r w:rsidRPr="00EA3458">
        <w:rPr>
          <w:rFonts w:eastAsia="Calibri" w:cs="Calibri"/>
        </w:rPr>
        <w:t>T</w:t>
      </w:r>
      <w:r w:rsidR="00D1454C">
        <w:rPr>
          <w:rFonts w:eastAsia="Calibri" w:cs="Calibri"/>
        </w:rPr>
        <w:t xml:space="preserve"> medicines</w:t>
      </w:r>
      <w:r w:rsidRPr="00EA3458">
        <w:rPr>
          <w:rFonts w:eastAsia="Calibri" w:cs="Calibri"/>
        </w:rPr>
        <w:t xml:space="preserve"> in its public clinics or corrective services.</w:t>
      </w:r>
      <w:r w:rsidRPr="00EA3458">
        <w:rPr>
          <w:rFonts w:eastAsia="Calibri" w:cs="Calibri"/>
        </w:rPr>
        <w:br w:type="page"/>
      </w:r>
    </w:p>
    <w:p w14:paraId="00B8DA4A" w14:textId="77777777" w:rsidR="00434810" w:rsidRPr="00EA3458" w:rsidRDefault="00434810">
      <w:pPr>
        <w:spacing w:line="259" w:lineRule="auto"/>
        <w:sectPr w:rsidR="00434810" w:rsidRPr="00EA3458">
          <w:pgSz w:w="11906" w:h="16838"/>
          <w:pgMar w:top="1440" w:right="1440" w:bottom="1440" w:left="1440" w:header="708" w:footer="708" w:gutter="0"/>
          <w:cols w:space="708"/>
          <w:docGrid w:linePitch="360"/>
        </w:sectPr>
      </w:pPr>
    </w:p>
    <w:p w14:paraId="4E9AFFF4" w14:textId="6AA124F2" w:rsidR="00434810" w:rsidRPr="00EA3458" w:rsidRDefault="00434810" w:rsidP="00AF2179">
      <w:pPr>
        <w:pStyle w:val="Tables"/>
        <w:spacing w:before="0"/>
      </w:pPr>
      <w:bookmarkStart w:id="263" w:name="_Toc99542085"/>
      <w:bookmarkStart w:id="264" w:name="_Toc132823426"/>
      <w:bookmarkStart w:id="265" w:name="_Toc120183438"/>
      <w:r w:rsidRPr="00EA3458">
        <w:lastRenderedPageBreak/>
        <w:t xml:space="preserve">Table </w:t>
      </w:r>
      <w:r w:rsidR="00253486">
        <w:t>6</w:t>
      </w:r>
      <w:r w:rsidRPr="00EA3458">
        <w:t>. O</w:t>
      </w:r>
      <w:r w:rsidR="00D1454C">
        <w:t>D</w:t>
      </w:r>
      <w:r w:rsidRPr="00EA3458">
        <w:t xml:space="preserve">T </w:t>
      </w:r>
      <w:r w:rsidR="00D1454C">
        <w:t xml:space="preserve">medicine </w:t>
      </w:r>
      <w:r w:rsidRPr="00EA3458">
        <w:t>guidelines and policies across Australian Jurisdictions</w:t>
      </w:r>
      <w:bookmarkEnd w:id="263"/>
      <w:r w:rsidR="002565E6" w:rsidRPr="00EA3458">
        <w:fldChar w:fldCharType="begin"/>
      </w:r>
      <w:r w:rsidR="002565E6">
        <w:instrText xml:space="preserve"> ADDIN EN.CITE &lt;EndNote&gt;&lt;Cite&gt;&lt;Author&gt;Department of Health&lt;/Author&gt;&lt;Year&gt;2021&lt;/Year&gt;&lt;RecNum&gt;32&lt;/RecNum&gt;&lt;DisplayText&gt;&lt;style face="superscript"&gt;31&lt;/style&gt;&lt;/DisplayText&gt;&lt;record&gt;&lt;rec-number&gt;32&lt;/rec-number&gt;&lt;foreign-keys&gt;&lt;key app="EN" db-id="xssz590sx9vzw4ewpzdv0s5sret50aexdtd9" timestamp="1668645396"&gt;32&lt;/key&gt;&lt;/foreign-keys&gt;&lt;ref-type name="Web Page"&gt;12&lt;/ref-type&gt;&lt;contributors&gt;&lt;authors&gt;&lt;author&gt;Department of Health,&lt;/author&gt;&lt;/authors&gt;&lt;/contributors&gt;&lt;titles&gt;&lt;title&gt;Summary of state and territory opioid dependence treatment programs - April 2021 &lt;/title&gt;&lt;/titles&gt;&lt;volume&gt;2022&lt;/volume&gt;&lt;number&gt;2 March 2022&lt;/number&gt;&lt;dates&gt;&lt;year&gt;2021&lt;/year&gt;&lt;/dates&gt;&lt;urls&gt;&lt;related-urls&gt;&lt;url&gt;https://www.pbs.gov.au/reviews/post-market-review-of-opiate-dependence-treatment-program/summary-of-state-and-territory-ODT-programs-April-2021.PDF&lt;/url&gt;&lt;/related-urls&gt;&lt;/urls&gt;&lt;/record&gt;&lt;/Cite&gt;&lt;/EndNote&gt;</w:instrText>
      </w:r>
      <w:r w:rsidR="002565E6" w:rsidRPr="00EA3458">
        <w:fldChar w:fldCharType="separate"/>
      </w:r>
      <w:r w:rsidR="002565E6" w:rsidRPr="00646D54">
        <w:rPr>
          <w:noProof/>
          <w:vertAlign w:val="superscript"/>
        </w:rPr>
        <w:t>31</w:t>
      </w:r>
      <w:bookmarkEnd w:id="264"/>
      <w:r w:rsidR="002565E6" w:rsidRPr="00EA3458">
        <w:fldChar w:fldCharType="end"/>
      </w:r>
      <w:bookmarkEnd w:id="265"/>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3"/>
        <w:gridCol w:w="1572"/>
        <w:gridCol w:w="1688"/>
        <w:gridCol w:w="1456"/>
        <w:gridCol w:w="1573"/>
        <w:gridCol w:w="1573"/>
        <w:gridCol w:w="1573"/>
        <w:gridCol w:w="1482"/>
        <w:gridCol w:w="1664"/>
      </w:tblGrid>
      <w:tr w:rsidR="00434810" w:rsidRPr="00EA3458" w14:paraId="3B8627EF" w14:textId="77777777" w:rsidTr="004E0719">
        <w:trPr>
          <w:trHeight w:val="20"/>
        </w:trPr>
        <w:tc>
          <w:tcPr>
            <w:tcW w:w="992" w:type="pct"/>
            <w:tcBorders>
              <w:top w:val="single" w:sz="4" w:space="0" w:color="auto"/>
              <w:left w:val="single" w:sz="4" w:space="0" w:color="auto"/>
              <w:bottom w:val="single" w:sz="4" w:space="0" w:color="7F7F7F" w:themeColor="text1" w:themeTint="80"/>
              <w:right w:val="single" w:sz="4" w:space="0" w:color="auto"/>
            </w:tcBorders>
            <w:shd w:val="clear" w:color="auto" w:fill="D9D9D9" w:themeFill="background1" w:themeFillShade="D9"/>
          </w:tcPr>
          <w:p w14:paraId="2B5A20E4" w14:textId="77777777" w:rsidR="00434810" w:rsidRPr="00EA3458" w:rsidRDefault="00434810" w:rsidP="00205455">
            <w:pPr>
              <w:jc w:val="left"/>
              <w:rPr>
                <w:rFonts w:cstheme="minorHAnsi"/>
                <w:sz w:val="16"/>
                <w:szCs w:val="16"/>
              </w:rPr>
            </w:pPr>
          </w:p>
        </w:tc>
        <w:tc>
          <w:tcPr>
            <w:tcW w:w="501" w:type="pct"/>
            <w:tcBorders>
              <w:top w:val="single" w:sz="4" w:space="0" w:color="auto"/>
              <w:left w:val="single" w:sz="4" w:space="0" w:color="auto"/>
              <w:bottom w:val="single" w:sz="4" w:space="0" w:color="7F7F7F" w:themeColor="text1" w:themeTint="80"/>
              <w:right w:val="single" w:sz="4" w:space="0" w:color="auto"/>
            </w:tcBorders>
            <w:shd w:val="clear" w:color="auto" w:fill="D9D9D9" w:themeFill="background1" w:themeFillShade="D9"/>
            <w:hideMark/>
          </w:tcPr>
          <w:p w14:paraId="3BAC8353" w14:textId="77777777" w:rsidR="00434810" w:rsidRPr="00EA3458" w:rsidRDefault="00434810" w:rsidP="00205455">
            <w:pPr>
              <w:jc w:val="center"/>
              <w:rPr>
                <w:rFonts w:cstheme="minorHAnsi"/>
                <w:b/>
                <w:bCs/>
                <w:sz w:val="16"/>
                <w:szCs w:val="16"/>
              </w:rPr>
            </w:pPr>
            <w:r w:rsidRPr="00EA3458">
              <w:rPr>
                <w:rFonts w:cstheme="minorHAnsi"/>
                <w:b/>
                <w:bCs/>
                <w:sz w:val="16"/>
                <w:szCs w:val="16"/>
              </w:rPr>
              <w:t>ACT</w:t>
            </w:r>
          </w:p>
        </w:tc>
        <w:tc>
          <w:tcPr>
            <w:tcW w:w="538" w:type="pct"/>
            <w:tcBorders>
              <w:top w:val="single" w:sz="4" w:space="0" w:color="auto"/>
              <w:left w:val="single" w:sz="4" w:space="0" w:color="auto"/>
              <w:bottom w:val="single" w:sz="4" w:space="0" w:color="7F7F7F" w:themeColor="text1" w:themeTint="80"/>
              <w:right w:val="single" w:sz="4" w:space="0" w:color="auto"/>
            </w:tcBorders>
            <w:shd w:val="clear" w:color="auto" w:fill="D9D9D9" w:themeFill="background1" w:themeFillShade="D9"/>
            <w:hideMark/>
          </w:tcPr>
          <w:p w14:paraId="6436DF57" w14:textId="77777777" w:rsidR="00434810" w:rsidRPr="00EA3458" w:rsidRDefault="00434810" w:rsidP="00205455">
            <w:pPr>
              <w:jc w:val="center"/>
              <w:rPr>
                <w:rFonts w:cstheme="minorHAnsi"/>
                <w:b/>
                <w:bCs/>
                <w:sz w:val="16"/>
                <w:szCs w:val="16"/>
              </w:rPr>
            </w:pPr>
            <w:r w:rsidRPr="00EA3458">
              <w:rPr>
                <w:rFonts w:cstheme="minorHAnsi"/>
                <w:b/>
                <w:bCs/>
                <w:sz w:val="16"/>
                <w:szCs w:val="16"/>
              </w:rPr>
              <w:t>NSW</w:t>
            </w:r>
          </w:p>
        </w:tc>
        <w:tc>
          <w:tcPr>
            <w:tcW w:w="464" w:type="pct"/>
            <w:tcBorders>
              <w:top w:val="single" w:sz="4" w:space="0" w:color="auto"/>
              <w:left w:val="single" w:sz="4" w:space="0" w:color="auto"/>
              <w:bottom w:val="single" w:sz="4" w:space="0" w:color="7F7F7F" w:themeColor="text1" w:themeTint="80"/>
              <w:right w:val="nil"/>
            </w:tcBorders>
            <w:shd w:val="clear" w:color="auto" w:fill="D9D9D9" w:themeFill="background1" w:themeFillShade="D9"/>
            <w:hideMark/>
          </w:tcPr>
          <w:p w14:paraId="282304CB" w14:textId="77777777" w:rsidR="00434810" w:rsidRPr="00EA3458" w:rsidRDefault="00434810" w:rsidP="00205455">
            <w:pPr>
              <w:jc w:val="center"/>
              <w:rPr>
                <w:rFonts w:cstheme="minorHAnsi"/>
                <w:b/>
                <w:bCs/>
                <w:sz w:val="16"/>
                <w:szCs w:val="16"/>
              </w:rPr>
            </w:pPr>
            <w:r w:rsidRPr="00EA3458">
              <w:rPr>
                <w:rFonts w:cstheme="minorHAnsi"/>
                <w:b/>
                <w:bCs/>
                <w:sz w:val="16"/>
                <w:szCs w:val="16"/>
              </w:rPr>
              <w:t>Qld</w:t>
            </w:r>
          </w:p>
        </w:tc>
        <w:tc>
          <w:tcPr>
            <w:tcW w:w="501" w:type="pct"/>
            <w:tcBorders>
              <w:top w:val="single" w:sz="4" w:space="0" w:color="auto"/>
              <w:left w:val="nil"/>
              <w:bottom w:val="single" w:sz="4" w:space="0" w:color="7F7F7F" w:themeColor="text1" w:themeTint="80"/>
              <w:right w:val="single" w:sz="4" w:space="0" w:color="auto"/>
            </w:tcBorders>
            <w:shd w:val="clear" w:color="auto" w:fill="D9D9D9" w:themeFill="background1" w:themeFillShade="D9"/>
            <w:hideMark/>
          </w:tcPr>
          <w:p w14:paraId="627BA0B5" w14:textId="77777777" w:rsidR="00434810" w:rsidRPr="00EA3458" w:rsidRDefault="00434810" w:rsidP="00205455">
            <w:pPr>
              <w:jc w:val="center"/>
              <w:rPr>
                <w:rFonts w:cstheme="minorHAnsi"/>
                <w:b/>
                <w:bCs/>
                <w:sz w:val="16"/>
                <w:szCs w:val="16"/>
              </w:rPr>
            </w:pPr>
            <w:r w:rsidRPr="00EA3458">
              <w:rPr>
                <w:rFonts w:cstheme="minorHAnsi"/>
                <w:b/>
                <w:bCs/>
                <w:sz w:val="16"/>
                <w:szCs w:val="16"/>
              </w:rPr>
              <w:t>WA</w:t>
            </w:r>
          </w:p>
        </w:tc>
        <w:tc>
          <w:tcPr>
            <w:tcW w:w="501" w:type="pct"/>
            <w:tcBorders>
              <w:top w:val="single" w:sz="4" w:space="0" w:color="auto"/>
              <w:left w:val="single" w:sz="4" w:space="0" w:color="auto"/>
              <w:bottom w:val="single" w:sz="4" w:space="0" w:color="7F7F7F" w:themeColor="text1" w:themeTint="80"/>
              <w:right w:val="single" w:sz="4" w:space="0" w:color="auto"/>
            </w:tcBorders>
            <w:shd w:val="clear" w:color="auto" w:fill="D9D9D9" w:themeFill="background1" w:themeFillShade="D9"/>
            <w:hideMark/>
          </w:tcPr>
          <w:p w14:paraId="3BD12C1A" w14:textId="77777777" w:rsidR="00434810" w:rsidRPr="00EA3458" w:rsidRDefault="00434810" w:rsidP="00205455">
            <w:pPr>
              <w:jc w:val="center"/>
              <w:rPr>
                <w:rFonts w:cstheme="minorHAnsi"/>
                <w:b/>
                <w:bCs/>
                <w:sz w:val="16"/>
                <w:szCs w:val="16"/>
              </w:rPr>
            </w:pPr>
            <w:r w:rsidRPr="00EA3458">
              <w:rPr>
                <w:rFonts w:cstheme="minorHAnsi"/>
                <w:b/>
                <w:bCs/>
                <w:sz w:val="16"/>
                <w:szCs w:val="16"/>
              </w:rPr>
              <w:t>SA</w:t>
            </w:r>
          </w:p>
        </w:tc>
        <w:tc>
          <w:tcPr>
            <w:tcW w:w="501" w:type="pct"/>
            <w:tcBorders>
              <w:top w:val="single" w:sz="4" w:space="0" w:color="auto"/>
              <w:left w:val="single" w:sz="4" w:space="0" w:color="auto"/>
              <w:bottom w:val="single" w:sz="4" w:space="0" w:color="7F7F7F" w:themeColor="text1" w:themeTint="80"/>
              <w:right w:val="single" w:sz="4" w:space="0" w:color="auto"/>
            </w:tcBorders>
            <w:shd w:val="clear" w:color="auto" w:fill="D9D9D9" w:themeFill="background1" w:themeFillShade="D9"/>
            <w:hideMark/>
          </w:tcPr>
          <w:p w14:paraId="6295ADF2" w14:textId="77777777" w:rsidR="00434810" w:rsidRPr="00EA3458" w:rsidRDefault="00434810" w:rsidP="00205455">
            <w:pPr>
              <w:jc w:val="center"/>
              <w:rPr>
                <w:rFonts w:cstheme="minorHAnsi"/>
                <w:b/>
                <w:bCs/>
                <w:sz w:val="16"/>
                <w:szCs w:val="16"/>
              </w:rPr>
            </w:pPr>
            <w:r w:rsidRPr="00EA3458">
              <w:rPr>
                <w:rFonts w:cstheme="minorHAnsi"/>
                <w:b/>
                <w:bCs/>
                <w:sz w:val="16"/>
                <w:szCs w:val="16"/>
              </w:rPr>
              <w:t>Tas</w:t>
            </w:r>
          </w:p>
        </w:tc>
        <w:tc>
          <w:tcPr>
            <w:tcW w:w="472" w:type="pct"/>
            <w:tcBorders>
              <w:top w:val="single" w:sz="4" w:space="0" w:color="auto"/>
              <w:left w:val="single" w:sz="4" w:space="0" w:color="auto"/>
              <w:bottom w:val="single" w:sz="4" w:space="0" w:color="7F7F7F" w:themeColor="text1" w:themeTint="80"/>
              <w:right w:val="single" w:sz="4" w:space="0" w:color="auto"/>
            </w:tcBorders>
            <w:shd w:val="clear" w:color="auto" w:fill="D9D9D9" w:themeFill="background1" w:themeFillShade="D9"/>
            <w:hideMark/>
          </w:tcPr>
          <w:p w14:paraId="233F0837" w14:textId="77777777" w:rsidR="00434810" w:rsidRPr="00EA3458" w:rsidRDefault="00434810" w:rsidP="00205455">
            <w:pPr>
              <w:jc w:val="center"/>
              <w:rPr>
                <w:rFonts w:cstheme="minorHAnsi"/>
                <w:b/>
                <w:bCs/>
                <w:sz w:val="16"/>
                <w:szCs w:val="16"/>
              </w:rPr>
            </w:pPr>
            <w:r w:rsidRPr="00EA3458">
              <w:rPr>
                <w:rFonts w:cstheme="minorHAnsi"/>
                <w:b/>
                <w:bCs/>
                <w:sz w:val="16"/>
                <w:szCs w:val="16"/>
              </w:rPr>
              <w:t>NT</w:t>
            </w:r>
          </w:p>
        </w:tc>
        <w:tc>
          <w:tcPr>
            <w:tcW w:w="530" w:type="pct"/>
            <w:tcBorders>
              <w:top w:val="single" w:sz="4" w:space="0" w:color="auto"/>
              <w:left w:val="single" w:sz="4" w:space="0" w:color="auto"/>
              <w:bottom w:val="single" w:sz="4" w:space="0" w:color="7F7F7F" w:themeColor="text1" w:themeTint="80"/>
              <w:right w:val="single" w:sz="4" w:space="0" w:color="auto"/>
            </w:tcBorders>
            <w:shd w:val="clear" w:color="auto" w:fill="D9D9D9" w:themeFill="background1" w:themeFillShade="D9"/>
            <w:hideMark/>
          </w:tcPr>
          <w:p w14:paraId="442ADDA7" w14:textId="77777777" w:rsidR="00434810" w:rsidRPr="00EA3458" w:rsidRDefault="00434810" w:rsidP="00205455">
            <w:pPr>
              <w:jc w:val="center"/>
              <w:rPr>
                <w:rFonts w:cstheme="minorHAnsi"/>
                <w:b/>
                <w:bCs/>
                <w:sz w:val="16"/>
                <w:szCs w:val="16"/>
              </w:rPr>
            </w:pPr>
            <w:r w:rsidRPr="00EA3458">
              <w:rPr>
                <w:rFonts w:cstheme="minorHAnsi"/>
                <w:b/>
                <w:bCs/>
                <w:sz w:val="16"/>
                <w:szCs w:val="16"/>
              </w:rPr>
              <w:t>Vic</w:t>
            </w:r>
          </w:p>
        </w:tc>
      </w:tr>
      <w:tr w:rsidR="00434810" w:rsidRPr="00EA3458" w14:paraId="36926D7A" w14:textId="77777777" w:rsidTr="004E0719">
        <w:trPr>
          <w:trHeight w:val="20"/>
        </w:trPr>
        <w:tc>
          <w:tcPr>
            <w:tcW w:w="992" w:type="pct"/>
            <w:tcBorders>
              <w:top w:val="single" w:sz="4" w:space="0" w:color="7F7F7F" w:themeColor="text1" w:themeTint="80"/>
              <w:left w:val="single" w:sz="4" w:space="0" w:color="auto"/>
              <w:bottom w:val="dotted" w:sz="4" w:space="0" w:color="auto"/>
              <w:right w:val="single" w:sz="4" w:space="0" w:color="auto"/>
            </w:tcBorders>
            <w:hideMark/>
          </w:tcPr>
          <w:p w14:paraId="24B6D49E" w14:textId="77777777" w:rsidR="00434810" w:rsidRPr="00EA3458" w:rsidRDefault="00434810" w:rsidP="00205455">
            <w:pPr>
              <w:spacing w:after="0"/>
              <w:jc w:val="left"/>
              <w:rPr>
                <w:rFonts w:cstheme="minorHAnsi"/>
                <w:sz w:val="16"/>
                <w:szCs w:val="16"/>
              </w:rPr>
            </w:pPr>
            <w:r w:rsidRPr="00EA3458">
              <w:rPr>
                <w:rFonts w:cstheme="minorHAnsi"/>
                <w:sz w:val="16"/>
                <w:szCs w:val="16"/>
              </w:rPr>
              <w:t>Government subsidy for community pharmacies (incl. incentive payments)</w:t>
            </w:r>
          </w:p>
        </w:tc>
        <w:tc>
          <w:tcPr>
            <w:tcW w:w="501" w:type="pct"/>
            <w:tcBorders>
              <w:top w:val="single" w:sz="4" w:space="0" w:color="7F7F7F" w:themeColor="text1" w:themeTint="80"/>
              <w:left w:val="single" w:sz="4" w:space="0" w:color="auto"/>
              <w:bottom w:val="dotted" w:sz="4" w:space="0" w:color="auto"/>
              <w:right w:val="single" w:sz="4" w:space="0" w:color="auto"/>
            </w:tcBorders>
            <w:vAlign w:val="center"/>
            <w:hideMark/>
          </w:tcPr>
          <w:p w14:paraId="15076E3E" w14:textId="77777777" w:rsidR="00434810" w:rsidRPr="00EA3458" w:rsidRDefault="00434810" w:rsidP="00205455">
            <w:pPr>
              <w:spacing w:after="0"/>
              <w:jc w:val="center"/>
              <w:rPr>
                <w:rFonts w:cstheme="minorHAnsi"/>
                <w:sz w:val="16"/>
                <w:szCs w:val="16"/>
              </w:rPr>
            </w:pPr>
            <w:r w:rsidRPr="00EA3458">
              <w:rPr>
                <w:rFonts w:cstheme="minorHAnsi"/>
                <w:sz w:val="16"/>
                <w:szCs w:val="16"/>
              </w:rPr>
              <w:t>Y</w:t>
            </w:r>
          </w:p>
        </w:tc>
        <w:tc>
          <w:tcPr>
            <w:tcW w:w="538" w:type="pct"/>
            <w:tcBorders>
              <w:top w:val="single" w:sz="4" w:space="0" w:color="7F7F7F" w:themeColor="text1" w:themeTint="80"/>
              <w:left w:val="single" w:sz="4" w:space="0" w:color="auto"/>
              <w:bottom w:val="dotted" w:sz="4" w:space="0" w:color="auto"/>
              <w:right w:val="single" w:sz="4" w:space="0" w:color="auto"/>
            </w:tcBorders>
            <w:vAlign w:val="center"/>
            <w:hideMark/>
          </w:tcPr>
          <w:p w14:paraId="591D06E1" w14:textId="77777777" w:rsidR="00434810" w:rsidRPr="00EA3458" w:rsidRDefault="00434810" w:rsidP="00205455">
            <w:pPr>
              <w:spacing w:after="0"/>
              <w:jc w:val="center"/>
              <w:rPr>
                <w:rFonts w:cstheme="minorHAnsi"/>
                <w:sz w:val="16"/>
                <w:szCs w:val="16"/>
              </w:rPr>
            </w:pPr>
            <w:r w:rsidRPr="00EA3458">
              <w:rPr>
                <w:rFonts w:cstheme="minorHAnsi"/>
                <w:sz w:val="16"/>
                <w:szCs w:val="16"/>
              </w:rPr>
              <w:t>Y</w:t>
            </w:r>
          </w:p>
        </w:tc>
        <w:tc>
          <w:tcPr>
            <w:tcW w:w="464" w:type="pct"/>
            <w:tcBorders>
              <w:top w:val="single" w:sz="4" w:space="0" w:color="7F7F7F" w:themeColor="text1" w:themeTint="80"/>
              <w:left w:val="single" w:sz="4" w:space="0" w:color="auto"/>
              <w:bottom w:val="dotted" w:sz="4" w:space="0" w:color="auto"/>
              <w:right w:val="single" w:sz="4" w:space="0" w:color="auto"/>
            </w:tcBorders>
            <w:vAlign w:val="center"/>
            <w:hideMark/>
          </w:tcPr>
          <w:p w14:paraId="499DD515" w14:textId="77777777" w:rsidR="00434810" w:rsidRPr="00EA3458" w:rsidRDefault="00434810" w:rsidP="00205455">
            <w:pPr>
              <w:spacing w:after="0"/>
              <w:jc w:val="center"/>
              <w:rPr>
                <w:rFonts w:cstheme="minorHAnsi"/>
                <w:sz w:val="16"/>
                <w:szCs w:val="16"/>
              </w:rPr>
            </w:pPr>
            <w:r w:rsidRPr="00EA3458">
              <w:rPr>
                <w:rFonts w:cstheme="minorHAnsi"/>
                <w:sz w:val="16"/>
                <w:szCs w:val="16"/>
              </w:rPr>
              <w:t>N</w:t>
            </w:r>
          </w:p>
        </w:tc>
        <w:tc>
          <w:tcPr>
            <w:tcW w:w="501" w:type="pct"/>
            <w:tcBorders>
              <w:top w:val="single" w:sz="4" w:space="0" w:color="7F7F7F" w:themeColor="text1" w:themeTint="80"/>
              <w:left w:val="single" w:sz="4" w:space="0" w:color="auto"/>
              <w:bottom w:val="dotted" w:sz="4" w:space="0" w:color="auto"/>
              <w:right w:val="single" w:sz="4" w:space="0" w:color="auto"/>
            </w:tcBorders>
            <w:vAlign w:val="center"/>
            <w:hideMark/>
          </w:tcPr>
          <w:p w14:paraId="47045D52" w14:textId="69F05183" w:rsidR="00434810" w:rsidRPr="00EA3458" w:rsidRDefault="00434810" w:rsidP="00205455">
            <w:pPr>
              <w:spacing w:after="0"/>
              <w:jc w:val="center"/>
              <w:rPr>
                <w:rFonts w:cstheme="minorHAnsi"/>
                <w:sz w:val="16"/>
                <w:szCs w:val="16"/>
                <w:vertAlign w:val="superscript"/>
              </w:rPr>
            </w:pPr>
            <w:r w:rsidRPr="00EA3458">
              <w:rPr>
                <w:rFonts w:cstheme="minorHAnsi"/>
                <w:sz w:val="16"/>
                <w:szCs w:val="16"/>
              </w:rPr>
              <w:t>N</w:t>
            </w:r>
            <w:r w:rsidR="001353F7">
              <w:rPr>
                <w:rFonts w:cstheme="minorHAnsi"/>
                <w:sz w:val="16"/>
                <w:szCs w:val="16"/>
                <w:vertAlign w:val="superscript"/>
              </w:rPr>
              <w:t>*</w:t>
            </w:r>
          </w:p>
        </w:tc>
        <w:tc>
          <w:tcPr>
            <w:tcW w:w="501" w:type="pct"/>
            <w:tcBorders>
              <w:top w:val="single" w:sz="4" w:space="0" w:color="7F7F7F" w:themeColor="text1" w:themeTint="80"/>
              <w:left w:val="single" w:sz="4" w:space="0" w:color="auto"/>
              <w:bottom w:val="dotted" w:sz="4" w:space="0" w:color="auto"/>
              <w:right w:val="single" w:sz="4" w:space="0" w:color="auto"/>
            </w:tcBorders>
            <w:vAlign w:val="center"/>
            <w:hideMark/>
          </w:tcPr>
          <w:p w14:paraId="0D7CF2B3" w14:textId="77777777" w:rsidR="00434810" w:rsidRPr="00EA3458" w:rsidRDefault="00434810" w:rsidP="00205455">
            <w:pPr>
              <w:spacing w:after="0"/>
              <w:jc w:val="center"/>
              <w:rPr>
                <w:rFonts w:cstheme="minorHAnsi"/>
                <w:sz w:val="16"/>
                <w:szCs w:val="16"/>
              </w:rPr>
            </w:pPr>
            <w:r w:rsidRPr="00EA3458">
              <w:rPr>
                <w:rFonts w:cstheme="minorHAnsi"/>
                <w:sz w:val="16"/>
                <w:szCs w:val="16"/>
              </w:rPr>
              <w:t>N</w:t>
            </w:r>
          </w:p>
        </w:tc>
        <w:tc>
          <w:tcPr>
            <w:tcW w:w="501" w:type="pct"/>
            <w:tcBorders>
              <w:top w:val="single" w:sz="4" w:space="0" w:color="7F7F7F" w:themeColor="text1" w:themeTint="80"/>
              <w:left w:val="single" w:sz="4" w:space="0" w:color="auto"/>
              <w:bottom w:val="dotted" w:sz="4" w:space="0" w:color="auto"/>
              <w:right w:val="single" w:sz="4" w:space="0" w:color="auto"/>
            </w:tcBorders>
            <w:vAlign w:val="center"/>
            <w:hideMark/>
          </w:tcPr>
          <w:p w14:paraId="0D7783B0" w14:textId="77777777" w:rsidR="00434810" w:rsidRPr="00EA3458" w:rsidRDefault="00434810" w:rsidP="00205455">
            <w:pPr>
              <w:spacing w:after="0"/>
              <w:jc w:val="center"/>
              <w:rPr>
                <w:rFonts w:cstheme="minorHAnsi"/>
                <w:sz w:val="16"/>
                <w:szCs w:val="16"/>
              </w:rPr>
            </w:pPr>
            <w:r w:rsidRPr="00EA3458">
              <w:rPr>
                <w:rFonts w:cstheme="minorHAnsi"/>
                <w:sz w:val="16"/>
                <w:szCs w:val="16"/>
              </w:rPr>
              <w:t>Y</w:t>
            </w:r>
          </w:p>
          <w:p w14:paraId="3D03B56E" w14:textId="77777777" w:rsidR="00434810" w:rsidRPr="00EA3458" w:rsidRDefault="00434810" w:rsidP="00205455">
            <w:pPr>
              <w:spacing w:after="0"/>
              <w:jc w:val="center"/>
              <w:rPr>
                <w:rFonts w:cstheme="minorHAnsi"/>
                <w:sz w:val="16"/>
                <w:szCs w:val="16"/>
              </w:rPr>
            </w:pPr>
            <w:r w:rsidRPr="00EA3458">
              <w:rPr>
                <w:rFonts w:cstheme="minorHAnsi"/>
                <w:sz w:val="16"/>
                <w:szCs w:val="16"/>
              </w:rPr>
              <w:t>(Tiered)</w:t>
            </w:r>
          </w:p>
        </w:tc>
        <w:tc>
          <w:tcPr>
            <w:tcW w:w="472" w:type="pct"/>
            <w:tcBorders>
              <w:top w:val="single" w:sz="4" w:space="0" w:color="7F7F7F" w:themeColor="text1" w:themeTint="80"/>
              <w:left w:val="single" w:sz="4" w:space="0" w:color="auto"/>
              <w:bottom w:val="dotted" w:sz="4" w:space="0" w:color="auto"/>
              <w:right w:val="single" w:sz="4" w:space="0" w:color="auto"/>
            </w:tcBorders>
            <w:vAlign w:val="center"/>
            <w:hideMark/>
          </w:tcPr>
          <w:p w14:paraId="5254032B" w14:textId="77777777" w:rsidR="00434810" w:rsidRPr="00EA3458" w:rsidRDefault="00434810" w:rsidP="00205455">
            <w:pPr>
              <w:spacing w:after="0"/>
              <w:jc w:val="center"/>
              <w:rPr>
                <w:rFonts w:cstheme="minorHAnsi"/>
                <w:sz w:val="16"/>
                <w:szCs w:val="16"/>
              </w:rPr>
            </w:pPr>
            <w:r w:rsidRPr="00EA3458">
              <w:rPr>
                <w:rFonts w:cstheme="minorHAnsi"/>
                <w:sz w:val="16"/>
                <w:szCs w:val="16"/>
              </w:rPr>
              <w:t>N</w:t>
            </w:r>
          </w:p>
        </w:tc>
        <w:tc>
          <w:tcPr>
            <w:tcW w:w="530" w:type="pct"/>
            <w:tcBorders>
              <w:top w:val="single" w:sz="4" w:space="0" w:color="7F7F7F" w:themeColor="text1" w:themeTint="80"/>
              <w:left w:val="single" w:sz="4" w:space="0" w:color="auto"/>
              <w:bottom w:val="dotted" w:sz="4" w:space="0" w:color="auto"/>
              <w:right w:val="single" w:sz="4" w:space="0" w:color="auto"/>
            </w:tcBorders>
            <w:vAlign w:val="center"/>
            <w:hideMark/>
          </w:tcPr>
          <w:p w14:paraId="7C0A6A06" w14:textId="43740101" w:rsidR="00434810" w:rsidRPr="00EA3458" w:rsidRDefault="00434810" w:rsidP="00205455">
            <w:pPr>
              <w:spacing w:after="0"/>
              <w:jc w:val="center"/>
              <w:rPr>
                <w:rFonts w:cstheme="minorHAnsi"/>
                <w:sz w:val="16"/>
                <w:szCs w:val="16"/>
                <w:vertAlign w:val="superscript"/>
              </w:rPr>
            </w:pPr>
            <w:r w:rsidRPr="00EA3458">
              <w:rPr>
                <w:rFonts w:cstheme="minorHAnsi"/>
                <w:sz w:val="16"/>
                <w:szCs w:val="16"/>
              </w:rPr>
              <w:t>N</w:t>
            </w:r>
            <w:r w:rsidR="001353F7" w:rsidRPr="001353F7">
              <w:rPr>
                <w:b/>
                <w:sz w:val="20"/>
                <w:szCs w:val="20"/>
                <w:vertAlign w:val="superscript"/>
              </w:rPr>
              <w:t>†</w:t>
            </w:r>
          </w:p>
        </w:tc>
      </w:tr>
      <w:tr w:rsidR="00434810" w:rsidRPr="00EA3458" w14:paraId="540D3254" w14:textId="77777777" w:rsidTr="004E0719">
        <w:trPr>
          <w:trHeight w:val="20"/>
        </w:trPr>
        <w:tc>
          <w:tcPr>
            <w:tcW w:w="992" w:type="pct"/>
            <w:tcBorders>
              <w:top w:val="dotted" w:sz="4" w:space="0" w:color="auto"/>
              <w:left w:val="single" w:sz="4" w:space="0" w:color="auto"/>
              <w:bottom w:val="dotted" w:sz="4" w:space="0" w:color="auto"/>
              <w:right w:val="single" w:sz="4" w:space="0" w:color="auto"/>
            </w:tcBorders>
            <w:hideMark/>
          </w:tcPr>
          <w:p w14:paraId="2A7EC08E" w14:textId="77777777" w:rsidR="00434810" w:rsidRPr="00EA3458" w:rsidRDefault="00434810" w:rsidP="00205455">
            <w:pPr>
              <w:spacing w:after="0"/>
              <w:jc w:val="left"/>
              <w:rPr>
                <w:rFonts w:cstheme="minorHAnsi"/>
                <w:sz w:val="16"/>
                <w:szCs w:val="16"/>
              </w:rPr>
            </w:pPr>
            <w:r w:rsidRPr="00EA3458">
              <w:rPr>
                <w:rFonts w:cstheme="minorHAnsi"/>
                <w:sz w:val="16"/>
                <w:szCs w:val="16"/>
              </w:rPr>
              <w:t>Cap consumer fee (pharmacies)</w:t>
            </w:r>
          </w:p>
        </w:tc>
        <w:tc>
          <w:tcPr>
            <w:tcW w:w="501" w:type="pct"/>
            <w:tcBorders>
              <w:top w:val="dotted" w:sz="4" w:space="0" w:color="auto"/>
              <w:left w:val="single" w:sz="4" w:space="0" w:color="auto"/>
              <w:bottom w:val="dotted" w:sz="4" w:space="0" w:color="auto"/>
              <w:right w:val="single" w:sz="4" w:space="0" w:color="auto"/>
            </w:tcBorders>
            <w:vAlign w:val="center"/>
            <w:hideMark/>
          </w:tcPr>
          <w:p w14:paraId="5BADDC41" w14:textId="77777777" w:rsidR="00434810" w:rsidRPr="00EA3458" w:rsidRDefault="00434810" w:rsidP="00205455">
            <w:pPr>
              <w:spacing w:after="0"/>
              <w:jc w:val="center"/>
              <w:rPr>
                <w:rFonts w:cstheme="minorHAnsi"/>
                <w:sz w:val="16"/>
                <w:szCs w:val="16"/>
              </w:rPr>
            </w:pPr>
            <w:r w:rsidRPr="00EA3458">
              <w:rPr>
                <w:rFonts w:cstheme="minorHAnsi"/>
                <w:sz w:val="16"/>
                <w:szCs w:val="16"/>
              </w:rPr>
              <w:t>Y</w:t>
            </w:r>
          </w:p>
        </w:tc>
        <w:tc>
          <w:tcPr>
            <w:tcW w:w="538" w:type="pct"/>
            <w:tcBorders>
              <w:top w:val="dotted" w:sz="4" w:space="0" w:color="auto"/>
              <w:left w:val="single" w:sz="4" w:space="0" w:color="auto"/>
              <w:bottom w:val="dotted" w:sz="4" w:space="0" w:color="auto"/>
              <w:right w:val="single" w:sz="4" w:space="0" w:color="auto"/>
            </w:tcBorders>
            <w:vAlign w:val="center"/>
            <w:hideMark/>
          </w:tcPr>
          <w:p w14:paraId="37E78D32" w14:textId="77777777" w:rsidR="00434810" w:rsidRPr="00EA3458" w:rsidRDefault="00434810" w:rsidP="00205455">
            <w:pPr>
              <w:spacing w:after="0"/>
              <w:jc w:val="center"/>
              <w:rPr>
                <w:rFonts w:cstheme="minorHAnsi"/>
                <w:sz w:val="16"/>
                <w:szCs w:val="16"/>
              </w:rPr>
            </w:pPr>
            <w:r w:rsidRPr="00EA3458">
              <w:rPr>
                <w:rFonts w:cstheme="minorHAnsi"/>
                <w:sz w:val="16"/>
                <w:szCs w:val="16"/>
              </w:rPr>
              <w:t>N</w:t>
            </w:r>
          </w:p>
        </w:tc>
        <w:tc>
          <w:tcPr>
            <w:tcW w:w="464" w:type="pct"/>
            <w:tcBorders>
              <w:top w:val="dotted" w:sz="4" w:space="0" w:color="auto"/>
              <w:left w:val="single" w:sz="4" w:space="0" w:color="auto"/>
              <w:bottom w:val="dotted" w:sz="4" w:space="0" w:color="auto"/>
              <w:right w:val="single" w:sz="4" w:space="0" w:color="auto"/>
            </w:tcBorders>
            <w:vAlign w:val="center"/>
            <w:hideMark/>
          </w:tcPr>
          <w:p w14:paraId="49207A00" w14:textId="77777777" w:rsidR="00434810" w:rsidRPr="00EA3458" w:rsidRDefault="00434810" w:rsidP="00205455">
            <w:pPr>
              <w:spacing w:after="0"/>
              <w:jc w:val="center"/>
              <w:rPr>
                <w:rFonts w:cstheme="minorHAnsi"/>
                <w:sz w:val="16"/>
                <w:szCs w:val="16"/>
              </w:rPr>
            </w:pPr>
            <w:r w:rsidRPr="00EA3458">
              <w:rPr>
                <w:rFonts w:cstheme="minorHAnsi"/>
                <w:sz w:val="16"/>
                <w:szCs w:val="16"/>
              </w:rPr>
              <w:t>N</w:t>
            </w:r>
          </w:p>
        </w:tc>
        <w:tc>
          <w:tcPr>
            <w:tcW w:w="501" w:type="pct"/>
            <w:tcBorders>
              <w:top w:val="dotted" w:sz="4" w:space="0" w:color="auto"/>
              <w:left w:val="single" w:sz="4" w:space="0" w:color="auto"/>
              <w:bottom w:val="dotted" w:sz="4" w:space="0" w:color="auto"/>
              <w:right w:val="single" w:sz="4" w:space="0" w:color="auto"/>
            </w:tcBorders>
            <w:vAlign w:val="center"/>
            <w:hideMark/>
          </w:tcPr>
          <w:p w14:paraId="7DF52CBC" w14:textId="77777777" w:rsidR="00434810" w:rsidRPr="00EA3458" w:rsidRDefault="00434810" w:rsidP="00205455">
            <w:pPr>
              <w:spacing w:after="0"/>
              <w:jc w:val="center"/>
              <w:rPr>
                <w:rFonts w:cstheme="minorHAnsi"/>
                <w:sz w:val="16"/>
                <w:szCs w:val="16"/>
              </w:rPr>
            </w:pPr>
            <w:r w:rsidRPr="00EA3458">
              <w:rPr>
                <w:rFonts w:cstheme="minorHAnsi"/>
                <w:sz w:val="16"/>
                <w:szCs w:val="16"/>
              </w:rPr>
              <w:t>N</w:t>
            </w:r>
          </w:p>
        </w:tc>
        <w:tc>
          <w:tcPr>
            <w:tcW w:w="501" w:type="pct"/>
            <w:tcBorders>
              <w:top w:val="dotted" w:sz="4" w:space="0" w:color="auto"/>
              <w:left w:val="single" w:sz="4" w:space="0" w:color="auto"/>
              <w:bottom w:val="dotted" w:sz="4" w:space="0" w:color="auto"/>
              <w:right w:val="single" w:sz="4" w:space="0" w:color="auto"/>
            </w:tcBorders>
            <w:vAlign w:val="center"/>
            <w:hideMark/>
          </w:tcPr>
          <w:p w14:paraId="41C2273A" w14:textId="77777777" w:rsidR="00434810" w:rsidRPr="00EA3458" w:rsidRDefault="00434810" w:rsidP="00205455">
            <w:pPr>
              <w:spacing w:after="0"/>
              <w:jc w:val="center"/>
              <w:rPr>
                <w:rFonts w:cstheme="minorHAnsi"/>
                <w:sz w:val="16"/>
                <w:szCs w:val="16"/>
              </w:rPr>
            </w:pPr>
            <w:r w:rsidRPr="00EA3458">
              <w:rPr>
                <w:rFonts w:cstheme="minorHAnsi"/>
                <w:sz w:val="16"/>
                <w:szCs w:val="16"/>
              </w:rPr>
              <w:t>N</w:t>
            </w:r>
          </w:p>
        </w:tc>
        <w:tc>
          <w:tcPr>
            <w:tcW w:w="501" w:type="pct"/>
            <w:tcBorders>
              <w:top w:val="dotted" w:sz="4" w:space="0" w:color="auto"/>
              <w:left w:val="single" w:sz="4" w:space="0" w:color="auto"/>
              <w:bottom w:val="dotted" w:sz="4" w:space="0" w:color="auto"/>
              <w:right w:val="single" w:sz="4" w:space="0" w:color="auto"/>
            </w:tcBorders>
            <w:vAlign w:val="center"/>
            <w:hideMark/>
          </w:tcPr>
          <w:p w14:paraId="5067AA85" w14:textId="77777777" w:rsidR="00434810" w:rsidRPr="00EA3458" w:rsidRDefault="00434810" w:rsidP="00205455">
            <w:pPr>
              <w:spacing w:after="0"/>
              <w:jc w:val="center"/>
              <w:rPr>
                <w:rFonts w:cstheme="minorHAnsi"/>
                <w:sz w:val="16"/>
                <w:szCs w:val="16"/>
              </w:rPr>
            </w:pPr>
            <w:r w:rsidRPr="00EA3458">
              <w:rPr>
                <w:rFonts w:cstheme="minorHAnsi"/>
                <w:sz w:val="16"/>
                <w:szCs w:val="16"/>
              </w:rPr>
              <w:t>N</w:t>
            </w:r>
          </w:p>
        </w:tc>
        <w:tc>
          <w:tcPr>
            <w:tcW w:w="472" w:type="pct"/>
            <w:tcBorders>
              <w:top w:val="dotted" w:sz="4" w:space="0" w:color="auto"/>
              <w:left w:val="single" w:sz="4" w:space="0" w:color="auto"/>
              <w:bottom w:val="dotted" w:sz="4" w:space="0" w:color="auto"/>
              <w:right w:val="single" w:sz="4" w:space="0" w:color="auto"/>
            </w:tcBorders>
            <w:vAlign w:val="center"/>
            <w:hideMark/>
          </w:tcPr>
          <w:p w14:paraId="340590FA" w14:textId="77777777" w:rsidR="00434810" w:rsidRPr="00EA3458" w:rsidRDefault="00434810" w:rsidP="00205455">
            <w:pPr>
              <w:spacing w:after="0"/>
              <w:jc w:val="center"/>
              <w:rPr>
                <w:rFonts w:cstheme="minorHAnsi"/>
                <w:sz w:val="16"/>
                <w:szCs w:val="16"/>
              </w:rPr>
            </w:pPr>
            <w:r w:rsidRPr="00EA3458">
              <w:rPr>
                <w:rFonts w:cstheme="minorHAnsi"/>
                <w:sz w:val="16"/>
                <w:szCs w:val="16"/>
              </w:rPr>
              <w:t>N</w:t>
            </w:r>
          </w:p>
        </w:tc>
        <w:tc>
          <w:tcPr>
            <w:tcW w:w="530" w:type="pct"/>
            <w:tcBorders>
              <w:top w:val="dotted" w:sz="4" w:space="0" w:color="auto"/>
              <w:left w:val="single" w:sz="4" w:space="0" w:color="auto"/>
              <w:bottom w:val="dotted" w:sz="4" w:space="0" w:color="auto"/>
              <w:right w:val="single" w:sz="4" w:space="0" w:color="auto"/>
            </w:tcBorders>
            <w:vAlign w:val="center"/>
            <w:hideMark/>
          </w:tcPr>
          <w:p w14:paraId="5497866F" w14:textId="77777777" w:rsidR="00434810" w:rsidRPr="00EA3458" w:rsidRDefault="00434810" w:rsidP="00205455">
            <w:pPr>
              <w:spacing w:after="0"/>
              <w:jc w:val="center"/>
              <w:rPr>
                <w:rFonts w:cstheme="minorHAnsi"/>
                <w:sz w:val="16"/>
                <w:szCs w:val="16"/>
              </w:rPr>
            </w:pPr>
            <w:r w:rsidRPr="00EA3458">
              <w:rPr>
                <w:rFonts w:cstheme="minorHAnsi"/>
                <w:sz w:val="16"/>
                <w:szCs w:val="16"/>
              </w:rPr>
              <w:t>N</w:t>
            </w:r>
          </w:p>
        </w:tc>
      </w:tr>
      <w:tr w:rsidR="00434810" w:rsidRPr="00EA3458" w14:paraId="1B74FA24" w14:textId="77777777" w:rsidTr="004E0719">
        <w:trPr>
          <w:trHeight w:val="20"/>
        </w:trPr>
        <w:tc>
          <w:tcPr>
            <w:tcW w:w="992" w:type="pct"/>
            <w:tcBorders>
              <w:top w:val="dotted" w:sz="4" w:space="0" w:color="auto"/>
              <w:left w:val="single" w:sz="4" w:space="0" w:color="auto"/>
              <w:bottom w:val="dotted" w:sz="4" w:space="0" w:color="auto"/>
              <w:right w:val="single" w:sz="4" w:space="0" w:color="auto"/>
            </w:tcBorders>
            <w:hideMark/>
          </w:tcPr>
          <w:p w14:paraId="1950B0D6" w14:textId="77777777" w:rsidR="00434810" w:rsidRPr="00EA3458" w:rsidRDefault="00434810" w:rsidP="00205455">
            <w:pPr>
              <w:spacing w:after="0"/>
              <w:jc w:val="left"/>
              <w:rPr>
                <w:rFonts w:cstheme="minorHAnsi"/>
                <w:sz w:val="16"/>
                <w:szCs w:val="16"/>
              </w:rPr>
            </w:pPr>
            <w:r w:rsidRPr="00EA3458">
              <w:rPr>
                <w:rFonts w:cstheme="minorHAnsi"/>
                <w:sz w:val="16"/>
                <w:szCs w:val="16"/>
              </w:rPr>
              <w:t>Capped amount for consumer at pharmacy</w:t>
            </w:r>
          </w:p>
        </w:tc>
        <w:tc>
          <w:tcPr>
            <w:tcW w:w="501" w:type="pct"/>
            <w:tcBorders>
              <w:top w:val="dotted" w:sz="4" w:space="0" w:color="auto"/>
              <w:left w:val="single" w:sz="4" w:space="0" w:color="auto"/>
              <w:bottom w:val="dotted" w:sz="4" w:space="0" w:color="auto"/>
              <w:right w:val="single" w:sz="4" w:space="0" w:color="auto"/>
            </w:tcBorders>
            <w:vAlign w:val="center"/>
            <w:hideMark/>
          </w:tcPr>
          <w:p w14:paraId="479CBFEF" w14:textId="77777777" w:rsidR="00434810" w:rsidRPr="00EA3458" w:rsidRDefault="00434810" w:rsidP="00205455">
            <w:pPr>
              <w:spacing w:after="0"/>
              <w:jc w:val="center"/>
              <w:rPr>
                <w:sz w:val="16"/>
                <w:szCs w:val="16"/>
              </w:rPr>
            </w:pPr>
            <w:r w:rsidRPr="00EA3458">
              <w:rPr>
                <w:sz w:val="16"/>
                <w:szCs w:val="16"/>
              </w:rPr>
              <w:t>$15/wk.</w:t>
            </w:r>
          </w:p>
        </w:tc>
        <w:tc>
          <w:tcPr>
            <w:tcW w:w="538" w:type="pct"/>
            <w:tcBorders>
              <w:top w:val="dotted" w:sz="4" w:space="0" w:color="auto"/>
              <w:left w:val="single" w:sz="4" w:space="0" w:color="auto"/>
              <w:bottom w:val="dotted" w:sz="4" w:space="0" w:color="auto"/>
              <w:right w:val="single" w:sz="4" w:space="0" w:color="auto"/>
            </w:tcBorders>
            <w:vAlign w:val="center"/>
            <w:hideMark/>
          </w:tcPr>
          <w:p w14:paraId="637C0485" w14:textId="77777777" w:rsidR="00434810" w:rsidRPr="00EA3458" w:rsidRDefault="00434810" w:rsidP="00205455">
            <w:pPr>
              <w:spacing w:after="0"/>
              <w:jc w:val="center"/>
              <w:rPr>
                <w:rFonts w:cstheme="minorHAnsi"/>
                <w:sz w:val="16"/>
                <w:szCs w:val="16"/>
              </w:rPr>
            </w:pPr>
            <w:r w:rsidRPr="00EA3458">
              <w:rPr>
                <w:rFonts w:cstheme="minorHAnsi"/>
                <w:sz w:val="16"/>
                <w:szCs w:val="16"/>
              </w:rPr>
              <w:t>N</w:t>
            </w:r>
          </w:p>
        </w:tc>
        <w:tc>
          <w:tcPr>
            <w:tcW w:w="464" w:type="pct"/>
            <w:tcBorders>
              <w:top w:val="dotted" w:sz="4" w:space="0" w:color="auto"/>
              <w:left w:val="single" w:sz="4" w:space="0" w:color="auto"/>
              <w:bottom w:val="dotted" w:sz="4" w:space="0" w:color="auto"/>
              <w:right w:val="single" w:sz="4" w:space="0" w:color="auto"/>
            </w:tcBorders>
            <w:vAlign w:val="center"/>
            <w:hideMark/>
          </w:tcPr>
          <w:p w14:paraId="27C65436" w14:textId="77777777" w:rsidR="00434810" w:rsidRPr="00EA3458" w:rsidRDefault="00434810" w:rsidP="00205455">
            <w:pPr>
              <w:spacing w:after="0"/>
              <w:jc w:val="center"/>
              <w:rPr>
                <w:rFonts w:cstheme="minorHAnsi"/>
                <w:sz w:val="16"/>
                <w:szCs w:val="16"/>
              </w:rPr>
            </w:pPr>
            <w:r w:rsidRPr="00EA3458">
              <w:rPr>
                <w:rFonts w:cstheme="minorHAnsi"/>
                <w:sz w:val="16"/>
                <w:szCs w:val="16"/>
              </w:rPr>
              <w:t>N</w:t>
            </w:r>
          </w:p>
        </w:tc>
        <w:tc>
          <w:tcPr>
            <w:tcW w:w="501" w:type="pct"/>
            <w:tcBorders>
              <w:top w:val="dotted" w:sz="4" w:space="0" w:color="auto"/>
              <w:left w:val="single" w:sz="4" w:space="0" w:color="auto"/>
              <w:bottom w:val="dotted" w:sz="4" w:space="0" w:color="auto"/>
              <w:right w:val="single" w:sz="4" w:space="0" w:color="auto"/>
            </w:tcBorders>
            <w:vAlign w:val="center"/>
            <w:hideMark/>
          </w:tcPr>
          <w:p w14:paraId="7E9952B0" w14:textId="77777777" w:rsidR="00434810" w:rsidRPr="00EA3458" w:rsidRDefault="00434810" w:rsidP="00205455">
            <w:pPr>
              <w:spacing w:after="0"/>
              <w:jc w:val="center"/>
              <w:rPr>
                <w:rFonts w:cstheme="minorHAnsi"/>
                <w:sz w:val="16"/>
                <w:szCs w:val="16"/>
              </w:rPr>
            </w:pPr>
            <w:r w:rsidRPr="00EA3458">
              <w:rPr>
                <w:rFonts w:cstheme="minorHAnsi"/>
                <w:sz w:val="16"/>
                <w:szCs w:val="16"/>
              </w:rPr>
              <w:t>N</w:t>
            </w:r>
          </w:p>
        </w:tc>
        <w:tc>
          <w:tcPr>
            <w:tcW w:w="501" w:type="pct"/>
            <w:tcBorders>
              <w:top w:val="dotted" w:sz="4" w:space="0" w:color="auto"/>
              <w:left w:val="single" w:sz="4" w:space="0" w:color="auto"/>
              <w:bottom w:val="dotted" w:sz="4" w:space="0" w:color="auto"/>
              <w:right w:val="single" w:sz="4" w:space="0" w:color="auto"/>
            </w:tcBorders>
            <w:vAlign w:val="center"/>
            <w:hideMark/>
          </w:tcPr>
          <w:p w14:paraId="5B06172E" w14:textId="77777777" w:rsidR="00434810" w:rsidRPr="00EA3458" w:rsidRDefault="00434810" w:rsidP="00205455">
            <w:pPr>
              <w:spacing w:after="0"/>
              <w:jc w:val="center"/>
              <w:rPr>
                <w:rFonts w:cstheme="minorHAnsi"/>
                <w:sz w:val="16"/>
                <w:szCs w:val="16"/>
              </w:rPr>
            </w:pPr>
            <w:r w:rsidRPr="00EA3458">
              <w:rPr>
                <w:rFonts w:cstheme="minorHAnsi"/>
                <w:sz w:val="16"/>
                <w:szCs w:val="16"/>
              </w:rPr>
              <w:t>N</w:t>
            </w:r>
          </w:p>
        </w:tc>
        <w:tc>
          <w:tcPr>
            <w:tcW w:w="501" w:type="pct"/>
            <w:tcBorders>
              <w:top w:val="dotted" w:sz="4" w:space="0" w:color="auto"/>
              <w:left w:val="single" w:sz="4" w:space="0" w:color="auto"/>
              <w:bottom w:val="dotted" w:sz="4" w:space="0" w:color="auto"/>
              <w:right w:val="single" w:sz="4" w:space="0" w:color="auto"/>
            </w:tcBorders>
            <w:vAlign w:val="center"/>
            <w:hideMark/>
          </w:tcPr>
          <w:p w14:paraId="13B4399F" w14:textId="77777777" w:rsidR="00434810" w:rsidRPr="00EA3458" w:rsidRDefault="00434810" w:rsidP="00205455">
            <w:pPr>
              <w:spacing w:after="0"/>
              <w:jc w:val="center"/>
              <w:rPr>
                <w:rFonts w:cstheme="minorHAnsi"/>
                <w:sz w:val="16"/>
                <w:szCs w:val="16"/>
              </w:rPr>
            </w:pPr>
            <w:r w:rsidRPr="00EA3458">
              <w:rPr>
                <w:rFonts w:cstheme="minorHAnsi"/>
                <w:sz w:val="16"/>
                <w:szCs w:val="16"/>
              </w:rPr>
              <w:t>N</w:t>
            </w:r>
          </w:p>
        </w:tc>
        <w:tc>
          <w:tcPr>
            <w:tcW w:w="472" w:type="pct"/>
            <w:tcBorders>
              <w:top w:val="dotted" w:sz="4" w:space="0" w:color="auto"/>
              <w:left w:val="single" w:sz="4" w:space="0" w:color="auto"/>
              <w:bottom w:val="dotted" w:sz="4" w:space="0" w:color="auto"/>
              <w:right w:val="single" w:sz="4" w:space="0" w:color="auto"/>
            </w:tcBorders>
            <w:vAlign w:val="center"/>
            <w:hideMark/>
          </w:tcPr>
          <w:p w14:paraId="0413508C" w14:textId="77777777" w:rsidR="00434810" w:rsidRPr="00EA3458" w:rsidRDefault="00434810" w:rsidP="00205455">
            <w:pPr>
              <w:spacing w:after="0"/>
              <w:jc w:val="center"/>
              <w:rPr>
                <w:rFonts w:cstheme="minorHAnsi"/>
                <w:sz w:val="16"/>
                <w:szCs w:val="16"/>
              </w:rPr>
            </w:pPr>
            <w:r w:rsidRPr="00EA3458">
              <w:rPr>
                <w:rFonts w:cstheme="minorHAnsi"/>
                <w:sz w:val="16"/>
                <w:szCs w:val="16"/>
              </w:rPr>
              <w:t>N</w:t>
            </w:r>
          </w:p>
        </w:tc>
        <w:tc>
          <w:tcPr>
            <w:tcW w:w="530" w:type="pct"/>
            <w:tcBorders>
              <w:top w:val="dotted" w:sz="4" w:space="0" w:color="auto"/>
              <w:left w:val="single" w:sz="4" w:space="0" w:color="auto"/>
              <w:bottom w:val="dotted" w:sz="4" w:space="0" w:color="auto"/>
              <w:right w:val="single" w:sz="4" w:space="0" w:color="auto"/>
            </w:tcBorders>
            <w:vAlign w:val="center"/>
            <w:hideMark/>
          </w:tcPr>
          <w:p w14:paraId="7405BEC8" w14:textId="77777777" w:rsidR="00434810" w:rsidRPr="00EA3458" w:rsidRDefault="00434810" w:rsidP="00205455">
            <w:pPr>
              <w:spacing w:after="0"/>
              <w:jc w:val="center"/>
              <w:rPr>
                <w:rFonts w:cstheme="minorHAnsi"/>
                <w:sz w:val="16"/>
                <w:szCs w:val="16"/>
              </w:rPr>
            </w:pPr>
            <w:r w:rsidRPr="00EA3458">
              <w:rPr>
                <w:rFonts w:cstheme="minorHAnsi"/>
                <w:sz w:val="16"/>
                <w:szCs w:val="16"/>
              </w:rPr>
              <w:t>N</w:t>
            </w:r>
          </w:p>
        </w:tc>
      </w:tr>
      <w:tr w:rsidR="00434810" w:rsidRPr="00EA3458" w14:paraId="34ACD946" w14:textId="77777777" w:rsidTr="004E0719">
        <w:trPr>
          <w:trHeight w:val="20"/>
        </w:trPr>
        <w:tc>
          <w:tcPr>
            <w:tcW w:w="992" w:type="pct"/>
            <w:tcBorders>
              <w:top w:val="dotted" w:sz="4" w:space="0" w:color="auto"/>
              <w:left w:val="single" w:sz="4" w:space="0" w:color="auto"/>
              <w:bottom w:val="dotted" w:sz="4" w:space="0" w:color="auto"/>
              <w:right w:val="single" w:sz="4" w:space="0" w:color="auto"/>
            </w:tcBorders>
            <w:hideMark/>
          </w:tcPr>
          <w:p w14:paraId="71ACF7BD" w14:textId="5B29A8E9" w:rsidR="00434810" w:rsidRPr="00EA3458" w:rsidRDefault="00434810" w:rsidP="00205455">
            <w:pPr>
              <w:spacing w:after="0"/>
              <w:jc w:val="left"/>
              <w:rPr>
                <w:rFonts w:cstheme="minorHAnsi"/>
                <w:sz w:val="16"/>
                <w:szCs w:val="16"/>
              </w:rPr>
            </w:pPr>
            <w:r w:rsidRPr="00EA3458">
              <w:rPr>
                <w:rFonts w:cstheme="minorHAnsi"/>
                <w:sz w:val="16"/>
                <w:szCs w:val="16"/>
              </w:rPr>
              <w:t>Subsidy amount to pharmacists for services relating to supply of O</w:t>
            </w:r>
            <w:r w:rsidR="00D1454C">
              <w:rPr>
                <w:rFonts w:cstheme="minorHAnsi"/>
                <w:sz w:val="16"/>
                <w:szCs w:val="16"/>
              </w:rPr>
              <w:t>D</w:t>
            </w:r>
            <w:r w:rsidRPr="00EA3458">
              <w:rPr>
                <w:rFonts w:cstheme="minorHAnsi"/>
                <w:sz w:val="16"/>
                <w:szCs w:val="16"/>
              </w:rPr>
              <w:t>T medicines</w:t>
            </w:r>
          </w:p>
        </w:tc>
        <w:tc>
          <w:tcPr>
            <w:tcW w:w="501" w:type="pct"/>
            <w:tcBorders>
              <w:top w:val="dotted" w:sz="4" w:space="0" w:color="auto"/>
              <w:left w:val="single" w:sz="4" w:space="0" w:color="auto"/>
              <w:bottom w:val="dotted" w:sz="4" w:space="0" w:color="auto"/>
              <w:right w:val="single" w:sz="4" w:space="0" w:color="auto"/>
            </w:tcBorders>
            <w:vAlign w:val="center"/>
            <w:hideMark/>
          </w:tcPr>
          <w:p w14:paraId="13A90480" w14:textId="77777777" w:rsidR="00434810" w:rsidRPr="00EA3458" w:rsidRDefault="00434810" w:rsidP="00205455">
            <w:pPr>
              <w:spacing w:after="0"/>
              <w:jc w:val="center"/>
              <w:rPr>
                <w:rFonts w:cstheme="minorHAnsi"/>
                <w:sz w:val="16"/>
                <w:szCs w:val="16"/>
              </w:rPr>
            </w:pPr>
            <w:r w:rsidRPr="00EA3458">
              <w:rPr>
                <w:rFonts w:cstheme="minorHAnsi"/>
                <w:sz w:val="16"/>
                <w:szCs w:val="16"/>
              </w:rPr>
              <w:t>Not disclosed</w:t>
            </w:r>
          </w:p>
        </w:tc>
        <w:tc>
          <w:tcPr>
            <w:tcW w:w="538" w:type="pct"/>
            <w:tcBorders>
              <w:top w:val="dotted" w:sz="4" w:space="0" w:color="auto"/>
              <w:left w:val="single" w:sz="4" w:space="0" w:color="auto"/>
              <w:bottom w:val="dotted" w:sz="4" w:space="0" w:color="auto"/>
              <w:right w:val="single" w:sz="4" w:space="0" w:color="auto"/>
            </w:tcBorders>
            <w:vAlign w:val="center"/>
            <w:hideMark/>
          </w:tcPr>
          <w:p w14:paraId="561E5946" w14:textId="77777777" w:rsidR="00434810" w:rsidRPr="00EA3458" w:rsidRDefault="00434810" w:rsidP="00205455">
            <w:pPr>
              <w:spacing w:after="0"/>
              <w:jc w:val="center"/>
              <w:rPr>
                <w:rFonts w:cstheme="minorHAnsi"/>
                <w:sz w:val="16"/>
                <w:szCs w:val="16"/>
              </w:rPr>
            </w:pPr>
            <w:r w:rsidRPr="00EA3458">
              <w:rPr>
                <w:rFonts w:cstheme="minorHAnsi"/>
                <w:sz w:val="16"/>
                <w:szCs w:val="16"/>
              </w:rPr>
              <w:t>$1000/pharmacy, once $100/consumer, twice a year (capped 20 consumers)</w:t>
            </w:r>
          </w:p>
        </w:tc>
        <w:tc>
          <w:tcPr>
            <w:tcW w:w="464" w:type="pct"/>
            <w:tcBorders>
              <w:top w:val="dotted" w:sz="4" w:space="0" w:color="auto"/>
              <w:left w:val="single" w:sz="4" w:space="0" w:color="auto"/>
              <w:bottom w:val="dotted" w:sz="4" w:space="0" w:color="auto"/>
              <w:right w:val="single" w:sz="4" w:space="0" w:color="auto"/>
            </w:tcBorders>
            <w:vAlign w:val="center"/>
            <w:hideMark/>
          </w:tcPr>
          <w:p w14:paraId="6553A3CD" w14:textId="77777777" w:rsidR="00434810" w:rsidRPr="00EA3458" w:rsidRDefault="00434810" w:rsidP="00205455">
            <w:pPr>
              <w:spacing w:after="0"/>
              <w:jc w:val="center"/>
              <w:rPr>
                <w:rFonts w:cstheme="minorHAnsi"/>
                <w:sz w:val="16"/>
                <w:szCs w:val="16"/>
              </w:rPr>
            </w:pPr>
            <w:r w:rsidRPr="00EA3458">
              <w:rPr>
                <w:rFonts w:cstheme="minorHAnsi"/>
                <w:sz w:val="16"/>
                <w:szCs w:val="16"/>
              </w:rPr>
              <w:t>N</w:t>
            </w:r>
          </w:p>
        </w:tc>
        <w:tc>
          <w:tcPr>
            <w:tcW w:w="501" w:type="pct"/>
            <w:tcBorders>
              <w:top w:val="dotted" w:sz="4" w:space="0" w:color="auto"/>
              <w:left w:val="single" w:sz="4" w:space="0" w:color="auto"/>
              <w:bottom w:val="dotted" w:sz="4" w:space="0" w:color="auto"/>
              <w:right w:val="single" w:sz="4" w:space="0" w:color="auto"/>
            </w:tcBorders>
            <w:vAlign w:val="center"/>
            <w:hideMark/>
          </w:tcPr>
          <w:p w14:paraId="54BFD35A" w14:textId="77777777" w:rsidR="00434810" w:rsidRPr="00EA3458" w:rsidRDefault="00434810" w:rsidP="00205455">
            <w:pPr>
              <w:spacing w:after="0"/>
              <w:jc w:val="center"/>
              <w:rPr>
                <w:rFonts w:cstheme="minorHAnsi"/>
                <w:sz w:val="16"/>
                <w:szCs w:val="16"/>
              </w:rPr>
            </w:pPr>
            <w:r w:rsidRPr="00EA3458">
              <w:rPr>
                <w:rFonts w:cstheme="minorHAnsi"/>
                <w:sz w:val="16"/>
                <w:szCs w:val="16"/>
              </w:rPr>
              <w:t>N</w:t>
            </w:r>
          </w:p>
        </w:tc>
        <w:tc>
          <w:tcPr>
            <w:tcW w:w="501" w:type="pct"/>
            <w:tcBorders>
              <w:top w:val="dotted" w:sz="4" w:space="0" w:color="auto"/>
              <w:left w:val="single" w:sz="4" w:space="0" w:color="auto"/>
              <w:bottom w:val="dotted" w:sz="4" w:space="0" w:color="auto"/>
              <w:right w:val="single" w:sz="4" w:space="0" w:color="auto"/>
            </w:tcBorders>
            <w:vAlign w:val="center"/>
            <w:hideMark/>
          </w:tcPr>
          <w:p w14:paraId="5E1C0267" w14:textId="77777777" w:rsidR="00434810" w:rsidRPr="00EA3458" w:rsidRDefault="00434810" w:rsidP="00205455">
            <w:pPr>
              <w:spacing w:after="0"/>
              <w:jc w:val="center"/>
              <w:rPr>
                <w:rFonts w:cstheme="minorHAnsi"/>
                <w:sz w:val="16"/>
                <w:szCs w:val="16"/>
              </w:rPr>
            </w:pPr>
            <w:r w:rsidRPr="00EA3458">
              <w:rPr>
                <w:rFonts w:cstheme="minorHAnsi"/>
                <w:sz w:val="16"/>
                <w:szCs w:val="16"/>
              </w:rPr>
              <w:t>N</w:t>
            </w:r>
          </w:p>
        </w:tc>
        <w:tc>
          <w:tcPr>
            <w:tcW w:w="501" w:type="pct"/>
            <w:tcBorders>
              <w:top w:val="dotted" w:sz="4" w:space="0" w:color="auto"/>
              <w:left w:val="single" w:sz="4" w:space="0" w:color="auto"/>
              <w:bottom w:val="dotted" w:sz="4" w:space="0" w:color="auto"/>
              <w:right w:val="single" w:sz="4" w:space="0" w:color="auto"/>
            </w:tcBorders>
            <w:vAlign w:val="center"/>
            <w:hideMark/>
          </w:tcPr>
          <w:p w14:paraId="73951A08" w14:textId="77777777" w:rsidR="00434810" w:rsidRPr="00EA3458" w:rsidRDefault="00434810" w:rsidP="00205455">
            <w:pPr>
              <w:spacing w:after="0"/>
              <w:jc w:val="center"/>
              <w:rPr>
                <w:sz w:val="16"/>
                <w:szCs w:val="16"/>
              </w:rPr>
            </w:pPr>
            <w:r w:rsidRPr="00EA3458">
              <w:rPr>
                <w:sz w:val="16"/>
                <w:szCs w:val="16"/>
              </w:rPr>
              <w:t>Depends on drug and number of days/wk. attending</w:t>
            </w:r>
          </w:p>
        </w:tc>
        <w:tc>
          <w:tcPr>
            <w:tcW w:w="472" w:type="pct"/>
            <w:tcBorders>
              <w:top w:val="dotted" w:sz="4" w:space="0" w:color="auto"/>
              <w:left w:val="single" w:sz="4" w:space="0" w:color="auto"/>
              <w:bottom w:val="dotted" w:sz="4" w:space="0" w:color="auto"/>
              <w:right w:val="single" w:sz="4" w:space="0" w:color="auto"/>
            </w:tcBorders>
            <w:vAlign w:val="center"/>
            <w:hideMark/>
          </w:tcPr>
          <w:p w14:paraId="3A14A556" w14:textId="77777777" w:rsidR="00434810" w:rsidRPr="00EA3458" w:rsidRDefault="00434810" w:rsidP="00205455">
            <w:pPr>
              <w:spacing w:after="0"/>
              <w:jc w:val="center"/>
              <w:rPr>
                <w:rFonts w:cstheme="minorHAnsi"/>
                <w:sz w:val="16"/>
                <w:szCs w:val="16"/>
              </w:rPr>
            </w:pPr>
            <w:r w:rsidRPr="00EA3458">
              <w:rPr>
                <w:rFonts w:cstheme="minorHAnsi"/>
                <w:sz w:val="16"/>
                <w:szCs w:val="16"/>
              </w:rPr>
              <w:t>N</w:t>
            </w:r>
          </w:p>
        </w:tc>
        <w:tc>
          <w:tcPr>
            <w:tcW w:w="530" w:type="pct"/>
            <w:tcBorders>
              <w:top w:val="dotted" w:sz="4" w:space="0" w:color="auto"/>
              <w:left w:val="single" w:sz="4" w:space="0" w:color="auto"/>
              <w:bottom w:val="dotted" w:sz="4" w:space="0" w:color="auto"/>
              <w:right w:val="single" w:sz="4" w:space="0" w:color="auto"/>
            </w:tcBorders>
            <w:vAlign w:val="center"/>
            <w:hideMark/>
          </w:tcPr>
          <w:p w14:paraId="4517949B" w14:textId="77777777" w:rsidR="00434810" w:rsidRPr="00EA3458" w:rsidRDefault="00434810" w:rsidP="00205455">
            <w:pPr>
              <w:spacing w:after="0"/>
              <w:jc w:val="center"/>
              <w:rPr>
                <w:rFonts w:cstheme="minorHAnsi"/>
                <w:sz w:val="16"/>
                <w:szCs w:val="16"/>
              </w:rPr>
            </w:pPr>
            <w:r w:rsidRPr="00EA3458">
              <w:rPr>
                <w:rFonts w:cstheme="minorHAnsi"/>
                <w:sz w:val="16"/>
                <w:szCs w:val="16"/>
              </w:rPr>
              <w:t>N</w:t>
            </w:r>
          </w:p>
        </w:tc>
      </w:tr>
      <w:tr w:rsidR="00434810" w:rsidRPr="00EA3458" w14:paraId="55463B83" w14:textId="77777777" w:rsidTr="004E0719">
        <w:trPr>
          <w:trHeight w:val="20"/>
        </w:trPr>
        <w:tc>
          <w:tcPr>
            <w:tcW w:w="992" w:type="pct"/>
            <w:tcBorders>
              <w:top w:val="dotted" w:sz="4" w:space="0" w:color="auto"/>
              <w:left w:val="single" w:sz="4" w:space="0" w:color="auto"/>
              <w:bottom w:val="dotted" w:sz="4" w:space="0" w:color="auto"/>
              <w:right w:val="single" w:sz="4" w:space="0" w:color="auto"/>
            </w:tcBorders>
            <w:hideMark/>
          </w:tcPr>
          <w:p w14:paraId="66181989" w14:textId="77777777" w:rsidR="00434810" w:rsidRPr="00EA3458" w:rsidRDefault="00434810" w:rsidP="00205455">
            <w:pPr>
              <w:spacing w:after="0"/>
              <w:jc w:val="left"/>
              <w:rPr>
                <w:rFonts w:cstheme="minorHAnsi"/>
                <w:sz w:val="16"/>
                <w:szCs w:val="16"/>
              </w:rPr>
            </w:pPr>
            <w:r w:rsidRPr="00EA3458">
              <w:rPr>
                <w:rFonts w:cstheme="minorHAnsi"/>
                <w:sz w:val="16"/>
                <w:szCs w:val="16"/>
              </w:rPr>
              <w:t>Services largely delivered via</w:t>
            </w:r>
          </w:p>
        </w:tc>
        <w:tc>
          <w:tcPr>
            <w:tcW w:w="501" w:type="pct"/>
            <w:tcBorders>
              <w:top w:val="dotted" w:sz="4" w:space="0" w:color="auto"/>
              <w:left w:val="single" w:sz="4" w:space="0" w:color="auto"/>
              <w:bottom w:val="dotted" w:sz="4" w:space="0" w:color="auto"/>
              <w:right w:val="single" w:sz="4" w:space="0" w:color="auto"/>
            </w:tcBorders>
            <w:vAlign w:val="center"/>
            <w:hideMark/>
          </w:tcPr>
          <w:p w14:paraId="45988512" w14:textId="54576B37" w:rsidR="00434810" w:rsidRPr="00EA3458" w:rsidRDefault="00434810" w:rsidP="00205455">
            <w:pPr>
              <w:spacing w:after="0"/>
              <w:jc w:val="center"/>
              <w:rPr>
                <w:rFonts w:cstheme="minorHAnsi"/>
                <w:sz w:val="16"/>
                <w:szCs w:val="16"/>
              </w:rPr>
            </w:pPr>
            <w:r w:rsidRPr="00EA3458">
              <w:rPr>
                <w:rFonts w:cstheme="minorHAnsi"/>
                <w:sz w:val="16"/>
                <w:szCs w:val="16"/>
              </w:rPr>
              <w:t>Community pharmacy</w:t>
            </w:r>
            <w:r w:rsidR="001353F7" w:rsidRPr="001353F7">
              <w:rPr>
                <w:rFonts w:eastAsia="Calibri" w:cs="Calibri"/>
                <w:sz w:val="16"/>
                <w:szCs w:val="16"/>
                <w:vertAlign w:val="superscript"/>
              </w:rPr>
              <w:t>‡</w:t>
            </w:r>
            <w:r w:rsidRPr="00EA3458">
              <w:rPr>
                <w:rFonts w:cstheme="minorHAnsi"/>
                <w:sz w:val="16"/>
                <w:szCs w:val="16"/>
              </w:rPr>
              <w:t xml:space="preserve"> (72%)</w:t>
            </w:r>
          </w:p>
        </w:tc>
        <w:tc>
          <w:tcPr>
            <w:tcW w:w="538" w:type="pct"/>
            <w:tcBorders>
              <w:top w:val="dotted" w:sz="4" w:space="0" w:color="auto"/>
              <w:left w:val="single" w:sz="4" w:space="0" w:color="auto"/>
              <w:bottom w:val="dotted" w:sz="4" w:space="0" w:color="auto"/>
              <w:right w:val="single" w:sz="4" w:space="0" w:color="auto"/>
            </w:tcBorders>
            <w:vAlign w:val="center"/>
            <w:hideMark/>
          </w:tcPr>
          <w:p w14:paraId="0735D763" w14:textId="38B8ED61" w:rsidR="00434810" w:rsidRPr="00EA3458" w:rsidRDefault="00434810" w:rsidP="00205455">
            <w:pPr>
              <w:spacing w:after="0"/>
              <w:jc w:val="center"/>
              <w:rPr>
                <w:rFonts w:cstheme="minorHAnsi"/>
                <w:sz w:val="16"/>
                <w:szCs w:val="16"/>
              </w:rPr>
            </w:pPr>
            <w:r w:rsidRPr="00EA3458">
              <w:rPr>
                <w:rFonts w:cstheme="minorHAnsi"/>
                <w:sz w:val="16"/>
                <w:szCs w:val="16"/>
              </w:rPr>
              <w:t>Community pharmacy</w:t>
            </w:r>
            <w:r w:rsidR="001353F7" w:rsidRPr="001353F7">
              <w:rPr>
                <w:rFonts w:eastAsia="Calibri" w:cs="Calibri"/>
                <w:sz w:val="16"/>
                <w:szCs w:val="16"/>
                <w:vertAlign w:val="superscript"/>
              </w:rPr>
              <w:t>‡</w:t>
            </w:r>
            <w:r w:rsidRPr="00EA3458">
              <w:rPr>
                <w:rFonts w:cstheme="minorHAnsi"/>
                <w:sz w:val="16"/>
                <w:szCs w:val="16"/>
              </w:rPr>
              <w:t xml:space="preserve"> (52%)</w:t>
            </w:r>
          </w:p>
        </w:tc>
        <w:tc>
          <w:tcPr>
            <w:tcW w:w="464" w:type="pct"/>
            <w:tcBorders>
              <w:top w:val="dotted" w:sz="4" w:space="0" w:color="auto"/>
              <w:left w:val="single" w:sz="4" w:space="0" w:color="auto"/>
              <w:bottom w:val="dotted" w:sz="4" w:space="0" w:color="auto"/>
              <w:right w:val="single" w:sz="4" w:space="0" w:color="auto"/>
            </w:tcBorders>
            <w:vAlign w:val="center"/>
            <w:hideMark/>
          </w:tcPr>
          <w:p w14:paraId="3794AE42" w14:textId="29777842" w:rsidR="00434810" w:rsidRPr="00EA3458" w:rsidRDefault="00434810" w:rsidP="00205455">
            <w:pPr>
              <w:spacing w:after="0"/>
              <w:jc w:val="center"/>
              <w:rPr>
                <w:sz w:val="16"/>
                <w:szCs w:val="16"/>
              </w:rPr>
            </w:pPr>
            <w:r w:rsidRPr="00EA3458">
              <w:rPr>
                <w:rFonts w:cstheme="minorHAnsi"/>
                <w:sz w:val="16"/>
                <w:szCs w:val="16"/>
              </w:rPr>
              <w:t>Community pharmacy</w:t>
            </w:r>
            <w:r w:rsidR="001353F7" w:rsidRPr="001353F7">
              <w:rPr>
                <w:rFonts w:eastAsia="Calibri" w:cs="Calibri"/>
                <w:sz w:val="16"/>
                <w:szCs w:val="16"/>
                <w:vertAlign w:val="superscript"/>
              </w:rPr>
              <w:t>‡</w:t>
            </w:r>
            <w:r w:rsidRPr="00EA3458">
              <w:rPr>
                <w:rFonts w:cstheme="minorHAnsi"/>
                <w:sz w:val="16"/>
                <w:szCs w:val="16"/>
              </w:rPr>
              <w:t xml:space="preserve"> </w:t>
            </w:r>
            <w:r w:rsidRPr="00EA3458">
              <w:rPr>
                <w:sz w:val="16"/>
                <w:szCs w:val="16"/>
              </w:rPr>
              <w:t>(68%)</w:t>
            </w:r>
          </w:p>
        </w:tc>
        <w:tc>
          <w:tcPr>
            <w:tcW w:w="501" w:type="pct"/>
            <w:tcBorders>
              <w:top w:val="dotted" w:sz="4" w:space="0" w:color="auto"/>
              <w:left w:val="single" w:sz="4" w:space="0" w:color="auto"/>
              <w:bottom w:val="dotted" w:sz="4" w:space="0" w:color="auto"/>
              <w:right w:val="single" w:sz="4" w:space="0" w:color="auto"/>
            </w:tcBorders>
            <w:vAlign w:val="center"/>
            <w:hideMark/>
          </w:tcPr>
          <w:p w14:paraId="5DEDE3C8" w14:textId="674D4388" w:rsidR="00434810" w:rsidRPr="00EA3458" w:rsidRDefault="00434810" w:rsidP="00205455">
            <w:pPr>
              <w:spacing w:after="0"/>
              <w:jc w:val="center"/>
              <w:rPr>
                <w:rFonts w:cstheme="minorHAnsi"/>
                <w:sz w:val="16"/>
                <w:szCs w:val="16"/>
              </w:rPr>
            </w:pPr>
            <w:r w:rsidRPr="00EA3458">
              <w:rPr>
                <w:rFonts w:cstheme="minorHAnsi"/>
                <w:sz w:val="16"/>
                <w:szCs w:val="16"/>
              </w:rPr>
              <w:t>Community pharmacy</w:t>
            </w:r>
            <w:r w:rsidR="001353F7" w:rsidRPr="001353F7">
              <w:rPr>
                <w:rFonts w:eastAsia="Calibri" w:cs="Calibri"/>
                <w:sz w:val="16"/>
                <w:szCs w:val="16"/>
                <w:vertAlign w:val="superscript"/>
              </w:rPr>
              <w:t>‡</w:t>
            </w:r>
            <w:r w:rsidRPr="00EA3458">
              <w:rPr>
                <w:rFonts w:cstheme="minorHAnsi"/>
                <w:sz w:val="16"/>
                <w:szCs w:val="16"/>
              </w:rPr>
              <w:t xml:space="preserve"> (91%)</w:t>
            </w:r>
          </w:p>
        </w:tc>
        <w:tc>
          <w:tcPr>
            <w:tcW w:w="501" w:type="pct"/>
            <w:tcBorders>
              <w:top w:val="dotted" w:sz="4" w:space="0" w:color="auto"/>
              <w:left w:val="single" w:sz="4" w:space="0" w:color="auto"/>
              <w:bottom w:val="dotted" w:sz="4" w:space="0" w:color="auto"/>
              <w:right w:val="single" w:sz="4" w:space="0" w:color="auto"/>
            </w:tcBorders>
            <w:vAlign w:val="center"/>
            <w:hideMark/>
          </w:tcPr>
          <w:p w14:paraId="0A484647" w14:textId="1A24A428" w:rsidR="00434810" w:rsidRPr="00EA3458" w:rsidRDefault="00434810" w:rsidP="00205455">
            <w:pPr>
              <w:spacing w:after="0"/>
              <w:jc w:val="center"/>
              <w:rPr>
                <w:sz w:val="16"/>
                <w:szCs w:val="16"/>
              </w:rPr>
            </w:pPr>
            <w:r w:rsidRPr="00EA3458">
              <w:rPr>
                <w:rFonts w:cstheme="minorHAnsi"/>
                <w:sz w:val="16"/>
                <w:szCs w:val="16"/>
              </w:rPr>
              <w:t>Community pharmacy</w:t>
            </w:r>
            <w:r w:rsidR="001353F7" w:rsidRPr="001353F7">
              <w:rPr>
                <w:rFonts w:eastAsia="Calibri" w:cs="Calibri"/>
                <w:sz w:val="16"/>
                <w:szCs w:val="16"/>
                <w:vertAlign w:val="superscript"/>
              </w:rPr>
              <w:t>‡</w:t>
            </w:r>
            <w:r w:rsidRPr="00EA3458">
              <w:rPr>
                <w:rFonts w:cstheme="minorHAnsi"/>
                <w:sz w:val="16"/>
                <w:szCs w:val="16"/>
              </w:rPr>
              <w:t xml:space="preserve"> </w:t>
            </w:r>
            <w:r w:rsidRPr="00EA3458">
              <w:rPr>
                <w:sz w:val="16"/>
                <w:szCs w:val="16"/>
              </w:rPr>
              <w:t>(90%)</w:t>
            </w:r>
          </w:p>
        </w:tc>
        <w:tc>
          <w:tcPr>
            <w:tcW w:w="501" w:type="pct"/>
            <w:tcBorders>
              <w:top w:val="dotted" w:sz="4" w:space="0" w:color="auto"/>
              <w:left w:val="single" w:sz="4" w:space="0" w:color="auto"/>
              <w:bottom w:val="dotted" w:sz="4" w:space="0" w:color="auto"/>
              <w:right w:val="single" w:sz="4" w:space="0" w:color="auto"/>
            </w:tcBorders>
            <w:vAlign w:val="center"/>
            <w:hideMark/>
          </w:tcPr>
          <w:p w14:paraId="11BCC45F" w14:textId="0ABA4DA7" w:rsidR="00434810" w:rsidRPr="00EA3458" w:rsidRDefault="00434810" w:rsidP="00205455">
            <w:pPr>
              <w:spacing w:after="0"/>
              <w:jc w:val="center"/>
              <w:rPr>
                <w:rFonts w:cstheme="minorHAnsi"/>
                <w:sz w:val="16"/>
                <w:szCs w:val="16"/>
                <w:vertAlign w:val="superscript"/>
              </w:rPr>
            </w:pPr>
            <w:r w:rsidRPr="00EA3458">
              <w:rPr>
                <w:rFonts w:cstheme="minorHAnsi"/>
                <w:sz w:val="16"/>
                <w:szCs w:val="16"/>
              </w:rPr>
              <w:t>Community pharmacy</w:t>
            </w:r>
            <w:r w:rsidR="001353F7" w:rsidRPr="001353F7">
              <w:rPr>
                <w:rFonts w:eastAsia="Calibri" w:cs="Calibri"/>
                <w:sz w:val="16"/>
                <w:szCs w:val="16"/>
                <w:vertAlign w:val="superscript"/>
              </w:rPr>
              <w:t>‡</w:t>
            </w:r>
            <w:r w:rsidRPr="00EA3458">
              <w:rPr>
                <w:rFonts w:cstheme="minorHAnsi"/>
                <w:sz w:val="16"/>
                <w:szCs w:val="16"/>
                <w:vertAlign w:val="superscript"/>
              </w:rPr>
              <w:t xml:space="preserve"> </w:t>
            </w:r>
            <w:r w:rsidRPr="00EA3458">
              <w:rPr>
                <w:sz w:val="16"/>
                <w:szCs w:val="16"/>
              </w:rPr>
              <w:t>(88%)</w:t>
            </w:r>
          </w:p>
        </w:tc>
        <w:tc>
          <w:tcPr>
            <w:tcW w:w="472" w:type="pct"/>
            <w:tcBorders>
              <w:top w:val="dotted" w:sz="4" w:space="0" w:color="auto"/>
              <w:left w:val="single" w:sz="4" w:space="0" w:color="auto"/>
              <w:bottom w:val="dotted" w:sz="4" w:space="0" w:color="auto"/>
              <w:right w:val="single" w:sz="4" w:space="0" w:color="auto"/>
            </w:tcBorders>
            <w:vAlign w:val="center"/>
            <w:hideMark/>
          </w:tcPr>
          <w:p w14:paraId="11C63B4B" w14:textId="2841BF35" w:rsidR="00434810" w:rsidRPr="00EA3458" w:rsidRDefault="00434810" w:rsidP="00205455">
            <w:pPr>
              <w:spacing w:after="0"/>
              <w:jc w:val="center"/>
              <w:rPr>
                <w:rFonts w:cstheme="minorHAnsi"/>
                <w:sz w:val="16"/>
                <w:szCs w:val="16"/>
              </w:rPr>
            </w:pPr>
            <w:r w:rsidRPr="00EA3458">
              <w:rPr>
                <w:rFonts w:cstheme="minorHAnsi"/>
                <w:sz w:val="16"/>
                <w:szCs w:val="16"/>
              </w:rPr>
              <w:t>Community pharmacy</w:t>
            </w:r>
            <w:r w:rsidR="001353F7" w:rsidRPr="001353F7">
              <w:rPr>
                <w:rFonts w:eastAsia="Calibri" w:cs="Calibri"/>
                <w:sz w:val="16"/>
                <w:szCs w:val="16"/>
                <w:vertAlign w:val="superscript"/>
              </w:rPr>
              <w:t>‡</w:t>
            </w:r>
            <w:r w:rsidRPr="00EA3458">
              <w:rPr>
                <w:rFonts w:cstheme="minorHAnsi"/>
                <w:sz w:val="16"/>
                <w:szCs w:val="16"/>
                <w:vertAlign w:val="superscript"/>
              </w:rPr>
              <w:t xml:space="preserve"> </w:t>
            </w:r>
            <w:r w:rsidRPr="00EA3458">
              <w:rPr>
                <w:sz w:val="16"/>
                <w:szCs w:val="16"/>
              </w:rPr>
              <w:t>(93%)</w:t>
            </w:r>
          </w:p>
        </w:tc>
        <w:tc>
          <w:tcPr>
            <w:tcW w:w="530" w:type="pct"/>
            <w:tcBorders>
              <w:top w:val="dotted" w:sz="4" w:space="0" w:color="auto"/>
              <w:left w:val="single" w:sz="4" w:space="0" w:color="auto"/>
              <w:bottom w:val="dotted" w:sz="4" w:space="0" w:color="auto"/>
              <w:right w:val="single" w:sz="4" w:space="0" w:color="auto"/>
            </w:tcBorders>
            <w:vAlign w:val="center"/>
            <w:hideMark/>
          </w:tcPr>
          <w:p w14:paraId="7CDD6A5C" w14:textId="7D512F4A" w:rsidR="00434810" w:rsidRPr="00EA3458" w:rsidRDefault="00434810" w:rsidP="00205455">
            <w:pPr>
              <w:spacing w:after="0"/>
              <w:jc w:val="center"/>
              <w:rPr>
                <w:rFonts w:cstheme="minorHAnsi"/>
                <w:sz w:val="16"/>
                <w:szCs w:val="16"/>
              </w:rPr>
            </w:pPr>
            <w:r w:rsidRPr="00EA3458">
              <w:rPr>
                <w:rFonts w:cstheme="minorHAnsi"/>
                <w:sz w:val="16"/>
                <w:szCs w:val="16"/>
              </w:rPr>
              <w:t>Community pharmacy</w:t>
            </w:r>
            <w:r w:rsidR="001353F7" w:rsidRPr="001353F7">
              <w:rPr>
                <w:rFonts w:eastAsia="Calibri" w:cs="Calibri"/>
                <w:sz w:val="16"/>
                <w:szCs w:val="16"/>
                <w:vertAlign w:val="superscript"/>
              </w:rPr>
              <w:t>‡</w:t>
            </w:r>
            <w:r w:rsidRPr="00EA3458">
              <w:rPr>
                <w:rFonts w:cstheme="minorHAnsi"/>
                <w:sz w:val="16"/>
                <w:szCs w:val="16"/>
                <w:vertAlign w:val="superscript"/>
              </w:rPr>
              <w:t xml:space="preserve"> </w:t>
            </w:r>
            <w:r w:rsidRPr="00EA3458">
              <w:rPr>
                <w:sz w:val="16"/>
                <w:szCs w:val="16"/>
              </w:rPr>
              <w:t>(92%)</w:t>
            </w:r>
          </w:p>
        </w:tc>
      </w:tr>
      <w:tr w:rsidR="00434810" w:rsidRPr="00EA3458" w14:paraId="4D6A2177" w14:textId="77777777" w:rsidTr="004E0719">
        <w:trPr>
          <w:trHeight w:val="20"/>
        </w:trPr>
        <w:tc>
          <w:tcPr>
            <w:tcW w:w="992" w:type="pct"/>
            <w:tcBorders>
              <w:top w:val="dotted" w:sz="4" w:space="0" w:color="auto"/>
              <w:left w:val="single" w:sz="4" w:space="0" w:color="auto"/>
              <w:bottom w:val="dotted" w:sz="4" w:space="0" w:color="auto"/>
              <w:right w:val="single" w:sz="4" w:space="0" w:color="auto"/>
            </w:tcBorders>
            <w:hideMark/>
          </w:tcPr>
          <w:p w14:paraId="0266069B" w14:textId="77777777" w:rsidR="00434810" w:rsidRPr="00EA3458" w:rsidRDefault="00434810" w:rsidP="00205455">
            <w:pPr>
              <w:spacing w:after="0"/>
              <w:jc w:val="left"/>
              <w:rPr>
                <w:rFonts w:cstheme="minorHAnsi"/>
                <w:sz w:val="16"/>
                <w:szCs w:val="16"/>
              </w:rPr>
            </w:pPr>
            <w:r w:rsidRPr="00EA3458">
              <w:rPr>
                <w:rFonts w:cstheme="minorHAnsi"/>
                <w:sz w:val="16"/>
                <w:szCs w:val="16"/>
              </w:rPr>
              <w:t>Public funded clinics</w:t>
            </w:r>
          </w:p>
        </w:tc>
        <w:tc>
          <w:tcPr>
            <w:tcW w:w="501" w:type="pct"/>
            <w:tcBorders>
              <w:top w:val="dotted" w:sz="4" w:space="0" w:color="auto"/>
              <w:left w:val="single" w:sz="4" w:space="0" w:color="auto"/>
              <w:bottom w:val="dotted" w:sz="4" w:space="0" w:color="auto"/>
              <w:right w:val="single" w:sz="4" w:space="0" w:color="auto"/>
            </w:tcBorders>
            <w:vAlign w:val="center"/>
            <w:hideMark/>
          </w:tcPr>
          <w:p w14:paraId="1F181F02" w14:textId="77777777" w:rsidR="00434810" w:rsidRPr="00EA3458" w:rsidRDefault="00434810" w:rsidP="00205455">
            <w:pPr>
              <w:spacing w:after="0"/>
              <w:jc w:val="center"/>
              <w:rPr>
                <w:rFonts w:cstheme="minorHAnsi"/>
                <w:sz w:val="16"/>
                <w:szCs w:val="16"/>
              </w:rPr>
            </w:pPr>
            <w:r w:rsidRPr="00EA3458">
              <w:rPr>
                <w:rFonts w:cstheme="minorHAnsi"/>
                <w:sz w:val="16"/>
                <w:szCs w:val="16"/>
              </w:rPr>
              <w:t>Y</w:t>
            </w:r>
          </w:p>
        </w:tc>
        <w:tc>
          <w:tcPr>
            <w:tcW w:w="538" w:type="pct"/>
            <w:tcBorders>
              <w:top w:val="dotted" w:sz="4" w:space="0" w:color="auto"/>
              <w:left w:val="single" w:sz="4" w:space="0" w:color="auto"/>
              <w:bottom w:val="dotted" w:sz="4" w:space="0" w:color="auto"/>
              <w:right w:val="single" w:sz="4" w:space="0" w:color="auto"/>
            </w:tcBorders>
            <w:vAlign w:val="center"/>
            <w:hideMark/>
          </w:tcPr>
          <w:p w14:paraId="7B6A5A21" w14:textId="77777777" w:rsidR="00434810" w:rsidRPr="00EA3458" w:rsidRDefault="00434810" w:rsidP="00205455">
            <w:pPr>
              <w:spacing w:after="0"/>
              <w:jc w:val="center"/>
              <w:rPr>
                <w:rFonts w:cstheme="minorHAnsi"/>
                <w:sz w:val="16"/>
                <w:szCs w:val="16"/>
              </w:rPr>
            </w:pPr>
            <w:r w:rsidRPr="00EA3458">
              <w:rPr>
                <w:rFonts w:cstheme="minorHAnsi"/>
                <w:sz w:val="16"/>
                <w:szCs w:val="16"/>
              </w:rPr>
              <w:t>Y</w:t>
            </w:r>
          </w:p>
        </w:tc>
        <w:tc>
          <w:tcPr>
            <w:tcW w:w="464" w:type="pct"/>
            <w:tcBorders>
              <w:top w:val="dotted" w:sz="4" w:space="0" w:color="auto"/>
              <w:left w:val="single" w:sz="4" w:space="0" w:color="auto"/>
              <w:bottom w:val="dotted" w:sz="4" w:space="0" w:color="auto"/>
              <w:right w:val="single" w:sz="4" w:space="0" w:color="auto"/>
            </w:tcBorders>
            <w:vAlign w:val="center"/>
            <w:hideMark/>
          </w:tcPr>
          <w:p w14:paraId="3A10A2FE" w14:textId="77777777" w:rsidR="00434810" w:rsidRPr="00EA3458" w:rsidRDefault="00434810" w:rsidP="00205455">
            <w:pPr>
              <w:spacing w:after="0"/>
              <w:jc w:val="center"/>
              <w:rPr>
                <w:rFonts w:cstheme="minorHAnsi"/>
                <w:sz w:val="16"/>
                <w:szCs w:val="16"/>
              </w:rPr>
            </w:pPr>
            <w:r w:rsidRPr="00EA3458">
              <w:rPr>
                <w:rFonts w:cstheme="minorHAnsi"/>
                <w:sz w:val="16"/>
                <w:szCs w:val="16"/>
              </w:rPr>
              <w:t>Y</w:t>
            </w:r>
          </w:p>
        </w:tc>
        <w:tc>
          <w:tcPr>
            <w:tcW w:w="501" w:type="pct"/>
            <w:tcBorders>
              <w:top w:val="dotted" w:sz="4" w:space="0" w:color="auto"/>
              <w:left w:val="single" w:sz="4" w:space="0" w:color="auto"/>
              <w:bottom w:val="dotted" w:sz="4" w:space="0" w:color="auto"/>
              <w:right w:val="single" w:sz="4" w:space="0" w:color="auto"/>
            </w:tcBorders>
            <w:vAlign w:val="center"/>
            <w:hideMark/>
          </w:tcPr>
          <w:p w14:paraId="2B49BF9E" w14:textId="77777777" w:rsidR="00434810" w:rsidRPr="00EA3458" w:rsidRDefault="00434810" w:rsidP="00205455">
            <w:pPr>
              <w:spacing w:after="0"/>
              <w:jc w:val="center"/>
              <w:rPr>
                <w:rFonts w:cstheme="minorHAnsi"/>
                <w:sz w:val="16"/>
                <w:szCs w:val="16"/>
              </w:rPr>
            </w:pPr>
            <w:r w:rsidRPr="00EA3458">
              <w:rPr>
                <w:rFonts w:cstheme="minorHAnsi"/>
                <w:sz w:val="16"/>
                <w:szCs w:val="16"/>
              </w:rPr>
              <w:t>Y</w:t>
            </w:r>
          </w:p>
        </w:tc>
        <w:tc>
          <w:tcPr>
            <w:tcW w:w="501" w:type="pct"/>
            <w:tcBorders>
              <w:top w:val="dotted" w:sz="4" w:space="0" w:color="auto"/>
              <w:left w:val="single" w:sz="4" w:space="0" w:color="auto"/>
              <w:bottom w:val="dotted" w:sz="4" w:space="0" w:color="auto"/>
              <w:right w:val="single" w:sz="4" w:space="0" w:color="auto"/>
            </w:tcBorders>
            <w:vAlign w:val="center"/>
            <w:hideMark/>
          </w:tcPr>
          <w:p w14:paraId="4748E5F7" w14:textId="77777777" w:rsidR="00434810" w:rsidRPr="00EA3458" w:rsidRDefault="00434810" w:rsidP="00205455">
            <w:pPr>
              <w:spacing w:after="0"/>
              <w:jc w:val="center"/>
              <w:rPr>
                <w:rFonts w:cstheme="minorHAnsi"/>
                <w:sz w:val="16"/>
                <w:szCs w:val="16"/>
              </w:rPr>
            </w:pPr>
            <w:r w:rsidRPr="00EA3458">
              <w:rPr>
                <w:rFonts w:cstheme="minorHAnsi"/>
                <w:sz w:val="16"/>
                <w:szCs w:val="16"/>
              </w:rPr>
              <w:t>Y</w:t>
            </w:r>
          </w:p>
        </w:tc>
        <w:tc>
          <w:tcPr>
            <w:tcW w:w="501" w:type="pct"/>
            <w:tcBorders>
              <w:top w:val="dotted" w:sz="4" w:space="0" w:color="auto"/>
              <w:left w:val="single" w:sz="4" w:space="0" w:color="auto"/>
              <w:bottom w:val="dotted" w:sz="4" w:space="0" w:color="auto"/>
              <w:right w:val="single" w:sz="4" w:space="0" w:color="auto"/>
            </w:tcBorders>
            <w:vAlign w:val="center"/>
            <w:hideMark/>
          </w:tcPr>
          <w:p w14:paraId="52AB1F34" w14:textId="77777777" w:rsidR="00434810" w:rsidRPr="00EA3458" w:rsidRDefault="00434810" w:rsidP="00205455">
            <w:pPr>
              <w:spacing w:after="0"/>
              <w:jc w:val="center"/>
              <w:rPr>
                <w:rFonts w:cstheme="minorHAnsi"/>
                <w:sz w:val="16"/>
                <w:szCs w:val="16"/>
              </w:rPr>
            </w:pPr>
            <w:r w:rsidRPr="00EA3458">
              <w:rPr>
                <w:rFonts w:cstheme="minorHAnsi"/>
                <w:sz w:val="16"/>
                <w:szCs w:val="16"/>
              </w:rPr>
              <w:t>Y</w:t>
            </w:r>
          </w:p>
        </w:tc>
        <w:tc>
          <w:tcPr>
            <w:tcW w:w="472" w:type="pct"/>
            <w:tcBorders>
              <w:top w:val="dotted" w:sz="4" w:space="0" w:color="auto"/>
              <w:left w:val="single" w:sz="4" w:space="0" w:color="auto"/>
              <w:bottom w:val="dotted" w:sz="4" w:space="0" w:color="auto"/>
              <w:right w:val="single" w:sz="4" w:space="0" w:color="auto"/>
            </w:tcBorders>
            <w:vAlign w:val="center"/>
            <w:hideMark/>
          </w:tcPr>
          <w:p w14:paraId="09D8EC01" w14:textId="77777777" w:rsidR="00434810" w:rsidRPr="00EA3458" w:rsidRDefault="00434810" w:rsidP="00205455">
            <w:pPr>
              <w:spacing w:after="0"/>
              <w:jc w:val="center"/>
              <w:rPr>
                <w:rFonts w:cstheme="minorHAnsi"/>
                <w:sz w:val="16"/>
                <w:szCs w:val="16"/>
              </w:rPr>
            </w:pPr>
            <w:r w:rsidRPr="00EA3458">
              <w:rPr>
                <w:rFonts w:cstheme="minorHAnsi"/>
                <w:sz w:val="16"/>
                <w:szCs w:val="16"/>
              </w:rPr>
              <w:t>Y</w:t>
            </w:r>
          </w:p>
        </w:tc>
        <w:tc>
          <w:tcPr>
            <w:tcW w:w="530" w:type="pct"/>
            <w:tcBorders>
              <w:top w:val="dotted" w:sz="4" w:space="0" w:color="auto"/>
              <w:left w:val="single" w:sz="4" w:space="0" w:color="auto"/>
              <w:bottom w:val="dotted" w:sz="4" w:space="0" w:color="auto"/>
              <w:right w:val="single" w:sz="4" w:space="0" w:color="auto"/>
            </w:tcBorders>
            <w:vAlign w:val="center"/>
            <w:hideMark/>
          </w:tcPr>
          <w:p w14:paraId="61E29B3B" w14:textId="2E901E53" w:rsidR="00434810" w:rsidRPr="00EA3458" w:rsidRDefault="00434810" w:rsidP="00205455">
            <w:pPr>
              <w:spacing w:after="0"/>
              <w:jc w:val="center"/>
              <w:rPr>
                <w:rFonts w:cstheme="minorHAnsi"/>
                <w:sz w:val="16"/>
                <w:szCs w:val="16"/>
                <w:vertAlign w:val="superscript"/>
              </w:rPr>
            </w:pPr>
            <w:r w:rsidRPr="00EA3458">
              <w:rPr>
                <w:rFonts w:cstheme="minorHAnsi"/>
                <w:sz w:val="16"/>
                <w:szCs w:val="16"/>
              </w:rPr>
              <w:t>N</w:t>
            </w:r>
            <w:r w:rsidR="001353F7" w:rsidRPr="001353F7">
              <w:rPr>
                <w:rFonts w:eastAsia="Calibri" w:cs="Calibri"/>
                <w:sz w:val="16"/>
                <w:szCs w:val="16"/>
                <w:vertAlign w:val="superscript"/>
              </w:rPr>
              <w:t>‡</w:t>
            </w:r>
          </w:p>
        </w:tc>
      </w:tr>
      <w:tr w:rsidR="00434810" w:rsidRPr="00EA3458" w14:paraId="35E42705" w14:textId="77777777" w:rsidTr="004E0719">
        <w:trPr>
          <w:trHeight w:val="20"/>
        </w:trPr>
        <w:tc>
          <w:tcPr>
            <w:tcW w:w="992" w:type="pct"/>
            <w:tcBorders>
              <w:top w:val="dotted" w:sz="4" w:space="0" w:color="auto"/>
              <w:left w:val="single" w:sz="4" w:space="0" w:color="auto"/>
              <w:bottom w:val="dotted" w:sz="4" w:space="0" w:color="auto"/>
              <w:right w:val="single" w:sz="4" w:space="0" w:color="auto"/>
            </w:tcBorders>
            <w:hideMark/>
          </w:tcPr>
          <w:p w14:paraId="7B92B5CF" w14:textId="4350B48D" w:rsidR="00434810" w:rsidRPr="00EA3458" w:rsidRDefault="00434810" w:rsidP="00205455">
            <w:pPr>
              <w:spacing w:after="0"/>
              <w:jc w:val="left"/>
              <w:rPr>
                <w:rFonts w:cstheme="minorHAnsi"/>
                <w:sz w:val="16"/>
                <w:szCs w:val="16"/>
              </w:rPr>
            </w:pPr>
            <w:r w:rsidRPr="00EA3458">
              <w:rPr>
                <w:rFonts w:cstheme="minorHAnsi"/>
                <w:sz w:val="16"/>
                <w:szCs w:val="16"/>
              </w:rPr>
              <w:t>O</w:t>
            </w:r>
            <w:r w:rsidR="00D1454C">
              <w:rPr>
                <w:rFonts w:cstheme="minorHAnsi"/>
                <w:sz w:val="16"/>
                <w:szCs w:val="16"/>
              </w:rPr>
              <w:t>D</w:t>
            </w:r>
            <w:r w:rsidRPr="00EA3458">
              <w:rPr>
                <w:rFonts w:cstheme="minorHAnsi"/>
                <w:sz w:val="16"/>
                <w:szCs w:val="16"/>
              </w:rPr>
              <w:t>T medication provided for free from public clinic (largely)</w:t>
            </w:r>
          </w:p>
        </w:tc>
        <w:tc>
          <w:tcPr>
            <w:tcW w:w="501" w:type="pct"/>
            <w:tcBorders>
              <w:top w:val="dotted" w:sz="4" w:space="0" w:color="auto"/>
              <w:left w:val="single" w:sz="4" w:space="0" w:color="auto"/>
              <w:bottom w:val="dotted" w:sz="4" w:space="0" w:color="auto"/>
              <w:right w:val="single" w:sz="4" w:space="0" w:color="auto"/>
            </w:tcBorders>
            <w:vAlign w:val="center"/>
            <w:hideMark/>
          </w:tcPr>
          <w:p w14:paraId="4655AF66" w14:textId="77777777" w:rsidR="00434810" w:rsidRPr="00EA3458" w:rsidRDefault="00434810" w:rsidP="00205455">
            <w:pPr>
              <w:spacing w:after="0"/>
              <w:jc w:val="center"/>
              <w:rPr>
                <w:rFonts w:cstheme="minorHAnsi"/>
                <w:sz w:val="16"/>
                <w:szCs w:val="16"/>
              </w:rPr>
            </w:pPr>
            <w:r w:rsidRPr="00EA3458">
              <w:rPr>
                <w:rFonts w:cstheme="minorHAnsi"/>
                <w:sz w:val="16"/>
                <w:szCs w:val="16"/>
              </w:rPr>
              <w:t>Y</w:t>
            </w:r>
          </w:p>
        </w:tc>
        <w:tc>
          <w:tcPr>
            <w:tcW w:w="538" w:type="pct"/>
            <w:tcBorders>
              <w:top w:val="dotted" w:sz="4" w:space="0" w:color="auto"/>
              <w:left w:val="single" w:sz="4" w:space="0" w:color="auto"/>
              <w:bottom w:val="dotted" w:sz="4" w:space="0" w:color="auto"/>
              <w:right w:val="single" w:sz="4" w:space="0" w:color="auto"/>
            </w:tcBorders>
            <w:vAlign w:val="center"/>
            <w:hideMark/>
          </w:tcPr>
          <w:p w14:paraId="6036B6CB" w14:textId="77777777" w:rsidR="00434810" w:rsidRPr="00EA3458" w:rsidRDefault="00434810" w:rsidP="00205455">
            <w:pPr>
              <w:spacing w:after="0"/>
              <w:jc w:val="center"/>
              <w:rPr>
                <w:rFonts w:cstheme="minorHAnsi"/>
                <w:sz w:val="16"/>
                <w:szCs w:val="16"/>
              </w:rPr>
            </w:pPr>
            <w:r w:rsidRPr="00EA3458">
              <w:rPr>
                <w:rFonts w:cstheme="minorHAnsi"/>
                <w:sz w:val="16"/>
                <w:szCs w:val="16"/>
              </w:rPr>
              <w:t>Y</w:t>
            </w:r>
          </w:p>
        </w:tc>
        <w:tc>
          <w:tcPr>
            <w:tcW w:w="464" w:type="pct"/>
            <w:tcBorders>
              <w:top w:val="dotted" w:sz="4" w:space="0" w:color="auto"/>
              <w:left w:val="single" w:sz="4" w:space="0" w:color="auto"/>
              <w:bottom w:val="dotted" w:sz="4" w:space="0" w:color="auto"/>
              <w:right w:val="single" w:sz="4" w:space="0" w:color="auto"/>
            </w:tcBorders>
            <w:vAlign w:val="center"/>
            <w:hideMark/>
          </w:tcPr>
          <w:p w14:paraId="2E0F6250" w14:textId="69E8141E" w:rsidR="00434810" w:rsidRPr="00EA3458" w:rsidRDefault="00434810" w:rsidP="00205455">
            <w:pPr>
              <w:spacing w:after="0"/>
              <w:jc w:val="center"/>
              <w:rPr>
                <w:rFonts w:cstheme="minorHAnsi"/>
                <w:sz w:val="16"/>
                <w:szCs w:val="16"/>
                <w:vertAlign w:val="superscript"/>
              </w:rPr>
            </w:pPr>
            <w:r w:rsidRPr="00EA3458">
              <w:rPr>
                <w:rFonts w:cstheme="minorHAnsi"/>
                <w:sz w:val="16"/>
                <w:szCs w:val="16"/>
              </w:rPr>
              <w:t>N</w:t>
            </w:r>
            <w:r w:rsidR="001353F7" w:rsidRPr="001353F7">
              <w:rPr>
                <w:rFonts w:cstheme="minorHAnsi"/>
                <w:sz w:val="16"/>
                <w:szCs w:val="16"/>
                <w:vertAlign w:val="superscript"/>
              </w:rPr>
              <w:t>§</w:t>
            </w:r>
          </w:p>
        </w:tc>
        <w:tc>
          <w:tcPr>
            <w:tcW w:w="501" w:type="pct"/>
            <w:tcBorders>
              <w:top w:val="dotted" w:sz="4" w:space="0" w:color="auto"/>
              <w:left w:val="single" w:sz="4" w:space="0" w:color="auto"/>
              <w:bottom w:val="dotted" w:sz="4" w:space="0" w:color="auto"/>
              <w:right w:val="single" w:sz="4" w:space="0" w:color="auto"/>
            </w:tcBorders>
            <w:vAlign w:val="center"/>
            <w:hideMark/>
          </w:tcPr>
          <w:p w14:paraId="1F3B655D" w14:textId="77777777" w:rsidR="00434810" w:rsidRPr="00EA3458" w:rsidRDefault="00434810" w:rsidP="00205455">
            <w:pPr>
              <w:spacing w:after="0"/>
              <w:jc w:val="center"/>
              <w:rPr>
                <w:rFonts w:cstheme="minorHAnsi"/>
                <w:sz w:val="16"/>
                <w:szCs w:val="16"/>
              </w:rPr>
            </w:pPr>
            <w:r w:rsidRPr="00EA3458">
              <w:rPr>
                <w:rFonts w:cstheme="minorHAnsi"/>
                <w:sz w:val="16"/>
                <w:szCs w:val="16"/>
              </w:rPr>
              <w:t>-</w:t>
            </w:r>
          </w:p>
        </w:tc>
        <w:tc>
          <w:tcPr>
            <w:tcW w:w="501" w:type="pct"/>
            <w:tcBorders>
              <w:top w:val="dotted" w:sz="4" w:space="0" w:color="auto"/>
              <w:left w:val="single" w:sz="4" w:space="0" w:color="auto"/>
              <w:bottom w:val="dotted" w:sz="4" w:space="0" w:color="auto"/>
              <w:right w:val="single" w:sz="4" w:space="0" w:color="auto"/>
            </w:tcBorders>
            <w:vAlign w:val="center"/>
            <w:hideMark/>
          </w:tcPr>
          <w:p w14:paraId="44AC7382" w14:textId="77777777" w:rsidR="00434810" w:rsidRPr="00EA3458" w:rsidRDefault="00434810" w:rsidP="00205455">
            <w:pPr>
              <w:spacing w:after="0"/>
              <w:jc w:val="center"/>
              <w:rPr>
                <w:rFonts w:cstheme="minorHAnsi"/>
                <w:sz w:val="16"/>
                <w:szCs w:val="16"/>
              </w:rPr>
            </w:pPr>
            <w:r w:rsidRPr="00EA3458">
              <w:rPr>
                <w:rFonts w:cstheme="minorHAnsi"/>
                <w:sz w:val="16"/>
                <w:szCs w:val="16"/>
              </w:rPr>
              <w:t>Y</w:t>
            </w:r>
          </w:p>
          <w:p w14:paraId="26D80A16" w14:textId="77777777" w:rsidR="00434810" w:rsidRPr="00EA3458" w:rsidRDefault="00434810" w:rsidP="00205455">
            <w:pPr>
              <w:spacing w:after="0"/>
              <w:jc w:val="center"/>
              <w:rPr>
                <w:rFonts w:cstheme="minorHAnsi"/>
                <w:sz w:val="16"/>
                <w:szCs w:val="16"/>
              </w:rPr>
            </w:pPr>
            <w:r w:rsidRPr="00EA3458">
              <w:rPr>
                <w:rFonts w:cstheme="minorHAnsi"/>
                <w:sz w:val="16"/>
                <w:szCs w:val="16"/>
              </w:rPr>
              <w:t>(6 weeks)</w:t>
            </w:r>
          </w:p>
        </w:tc>
        <w:tc>
          <w:tcPr>
            <w:tcW w:w="501" w:type="pct"/>
            <w:tcBorders>
              <w:top w:val="dotted" w:sz="4" w:space="0" w:color="auto"/>
              <w:left w:val="single" w:sz="4" w:space="0" w:color="auto"/>
              <w:bottom w:val="dotted" w:sz="4" w:space="0" w:color="auto"/>
              <w:right w:val="single" w:sz="4" w:space="0" w:color="auto"/>
            </w:tcBorders>
            <w:vAlign w:val="center"/>
            <w:hideMark/>
          </w:tcPr>
          <w:p w14:paraId="4907A8E3" w14:textId="77777777" w:rsidR="00434810" w:rsidRPr="00EA3458" w:rsidRDefault="00434810" w:rsidP="00205455">
            <w:pPr>
              <w:spacing w:after="0"/>
              <w:jc w:val="center"/>
              <w:rPr>
                <w:rFonts w:cstheme="minorHAnsi"/>
                <w:sz w:val="16"/>
                <w:szCs w:val="16"/>
              </w:rPr>
            </w:pPr>
            <w:r w:rsidRPr="00EA3458">
              <w:rPr>
                <w:rFonts w:cstheme="minorHAnsi"/>
                <w:sz w:val="16"/>
                <w:szCs w:val="16"/>
              </w:rPr>
              <w:t>Y</w:t>
            </w:r>
          </w:p>
        </w:tc>
        <w:tc>
          <w:tcPr>
            <w:tcW w:w="472" w:type="pct"/>
            <w:tcBorders>
              <w:top w:val="dotted" w:sz="4" w:space="0" w:color="auto"/>
              <w:left w:val="single" w:sz="4" w:space="0" w:color="auto"/>
              <w:bottom w:val="dotted" w:sz="4" w:space="0" w:color="auto"/>
              <w:right w:val="single" w:sz="4" w:space="0" w:color="auto"/>
            </w:tcBorders>
            <w:vAlign w:val="center"/>
            <w:hideMark/>
          </w:tcPr>
          <w:p w14:paraId="45E6DD76" w14:textId="4DE902AA" w:rsidR="00434810" w:rsidRPr="00EA3458" w:rsidRDefault="00810E28" w:rsidP="00205455">
            <w:pPr>
              <w:spacing w:after="0"/>
              <w:jc w:val="center"/>
              <w:rPr>
                <w:rFonts w:cstheme="minorHAnsi"/>
                <w:sz w:val="16"/>
                <w:szCs w:val="16"/>
              </w:rPr>
            </w:pPr>
            <w:r>
              <w:rPr>
                <w:rFonts w:cstheme="minorHAnsi"/>
                <w:sz w:val="16"/>
                <w:szCs w:val="16"/>
              </w:rPr>
              <w:t>Y</w:t>
            </w:r>
          </w:p>
        </w:tc>
        <w:tc>
          <w:tcPr>
            <w:tcW w:w="530" w:type="pct"/>
            <w:tcBorders>
              <w:top w:val="dotted" w:sz="4" w:space="0" w:color="auto"/>
              <w:left w:val="single" w:sz="4" w:space="0" w:color="auto"/>
              <w:bottom w:val="dotted" w:sz="4" w:space="0" w:color="auto"/>
              <w:right w:val="single" w:sz="4" w:space="0" w:color="auto"/>
            </w:tcBorders>
            <w:vAlign w:val="center"/>
            <w:hideMark/>
          </w:tcPr>
          <w:p w14:paraId="44CADF45" w14:textId="77777777" w:rsidR="00434810" w:rsidRPr="00EA3458" w:rsidRDefault="00434810" w:rsidP="00205455">
            <w:pPr>
              <w:spacing w:after="0"/>
              <w:jc w:val="center"/>
              <w:rPr>
                <w:rFonts w:cstheme="minorHAnsi"/>
                <w:sz w:val="16"/>
                <w:szCs w:val="16"/>
              </w:rPr>
            </w:pPr>
            <w:r w:rsidRPr="00EA3458">
              <w:rPr>
                <w:rFonts w:cstheme="minorHAnsi"/>
                <w:sz w:val="16"/>
                <w:szCs w:val="16"/>
              </w:rPr>
              <w:t>N</w:t>
            </w:r>
          </w:p>
        </w:tc>
      </w:tr>
      <w:tr w:rsidR="00434810" w:rsidRPr="00EA3458" w14:paraId="67C1FFEF" w14:textId="77777777" w:rsidTr="004E0719">
        <w:trPr>
          <w:trHeight w:val="20"/>
        </w:trPr>
        <w:tc>
          <w:tcPr>
            <w:tcW w:w="992" w:type="pct"/>
            <w:tcBorders>
              <w:top w:val="dotted" w:sz="4" w:space="0" w:color="auto"/>
              <w:left w:val="single" w:sz="4" w:space="0" w:color="auto"/>
              <w:bottom w:val="dotted" w:sz="4" w:space="0" w:color="auto"/>
              <w:right w:val="single" w:sz="4" w:space="0" w:color="auto"/>
            </w:tcBorders>
            <w:hideMark/>
          </w:tcPr>
          <w:p w14:paraId="0CB9B333" w14:textId="77777777" w:rsidR="00434810" w:rsidRPr="00EA3458" w:rsidRDefault="00434810" w:rsidP="00205455">
            <w:pPr>
              <w:spacing w:after="0"/>
              <w:jc w:val="left"/>
              <w:rPr>
                <w:rFonts w:cstheme="minorHAnsi"/>
                <w:sz w:val="16"/>
                <w:szCs w:val="16"/>
              </w:rPr>
            </w:pPr>
            <w:r w:rsidRPr="00EA3458">
              <w:rPr>
                <w:rFonts w:cstheme="minorHAnsi"/>
                <w:sz w:val="16"/>
                <w:szCs w:val="16"/>
              </w:rPr>
              <w:t>No consumer fee at correctional facilities</w:t>
            </w:r>
          </w:p>
        </w:tc>
        <w:tc>
          <w:tcPr>
            <w:tcW w:w="501" w:type="pct"/>
            <w:tcBorders>
              <w:top w:val="dotted" w:sz="4" w:space="0" w:color="auto"/>
              <w:left w:val="single" w:sz="4" w:space="0" w:color="auto"/>
              <w:bottom w:val="dotted" w:sz="4" w:space="0" w:color="auto"/>
              <w:right w:val="single" w:sz="4" w:space="0" w:color="auto"/>
            </w:tcBorders>
            <w:vAlign w:val="center"/>
            <w:hideMark/>
          </w:tcPr>
          <w:p w14:paraId="4B1C70D6" w14:textId="77777777" w:rsidR="00434810" w:rsidRPr="00EA3458" w:rsidRDefault="00434810" w:rsidP="00205455">
            <w:pPr>
              <w:spacing w:after="0"/>
              <w:jc w:val="center"/>
              <w:rPr>
                <w:rFonts w:cstheme="minorHAnsi"/>
                <w:sz w:val="16"/>
                <w:szCs w:val="16"/>
              </w:rPr>
            </w:pPr>
            <w:r w:rsidRPr="00EA3458">
              <w:rPr>
                <w:rFonts w:cstheme="minorHAnsi"/>
                <w:sz w:val="16"/>
                <w:szCs w:val="16"/>
              </w:rPr>
              <w:t>Y</w:t>
            </w:r>
          </w:p>
        </w:tc>
        <w:tc>
          <w:tcPr>
            <w:tcW w:w="538" w:type="pct"/>
            <w:tcBorders>
              <w:top w:val="dotted" w:sz="4" w:space="0" w:color="auto"/>
              <w:left w:val="single" w:sz="4" w:space="0" w:color="auto"/>
              <w:bottom w:val="dotted" w:sz="4" w:space="0" w:color="auto"/>
              <w:right w:val="single" w:sz="4" w:space="0" w:color="auto"/>
            </w:tcBorders>
            <w:vAlign w:val="center"/>
            <w:hideMark/>
          </w:tcPr>
          <w:p w14:paraId="1D219C42" w14:textId="77777777" w:rsidR="00434810" w:rsidRPr="00EA3458" w:rsidRDefault="00434810" w:rsidP="00205455">
            <w:pPr>
              <w:spacing w:after="0"/>
              <w:jc w:val="center"/>
              <w:rPr>
                <w:rFonts w:cstheme="minorHAnsi"/>
                <w:sz w:val="16"/>
                <w:szCs w:val="16"/>
              </w:rPr>
            </w:pPr>
            <w:r w:rsidRPr="00EA3458">
              <w:rPr>
                <w:rFonts w:cstheme="minorHAnsi"/>
                <w:sz w:val="16"/>
                <w:szCs w:val="16"/>
              </w:rPr>
              <w:t>Y</w:t>
            </w:r>
          </w:p>
        </w:tc>
        <w:tc>
          <w:tcPr>
            <w:tcW w:w="464" w:type="pct"/>
            <w:tcBorders>
              <w:top w:val="dotted" w:sz="4" w:space="0" w:color="auto"/>
              <w:left w:val="single" w:sz="4" w:space="0" w:color="auto"/>
              <w:bottom w:val="dotted" w:sz="4" w:space="0" w:color="auto"/>
              <w:right w:val="single" w:sz="4" w:space="0" w:color="auto"/>
            </w:tcBorders>
            <w:vAlign w:val="center"/>
            <w:hideMark/>
          </w:tcPr>
          <w:p w14:paraId="2D7453A3" w14:textId="0758A50F" w:rsidR="00434810" w:rsidRPr="00EA3458" w:rsidRDefault="00434810" w:rsidP="00205455">
            <w:pPr>
              <w:spacing w:after="0"/>
              <w:jc w:val="center"/>
              <w:rPr>
                <w:rFonts w:cstheme="minorHAnsi"/>
                <w:sz w:val="16"/>
                <w:szCs w:val="16"/>
                <w:vertAlign w:val="superscript"/>
              </w:rPr>
            </w:pPr>
            <w:r w:rsidRPr="00EA3458">
              <w:rPr>
                <w:rFonts w:cstheme="minorHAnsi"/>
                <w:sz w:val="16"/>
                <w:szCs w:val="16"/>
              </w:rPr>
              <w:t>N</w:t>
            </w:r>
            <w:r w:rsidR="001353F7" w:rsidRPr="001353F7">
              <w:rPr>
                <w:rFonts w:cstheme="minorHAnsi"/>
                <w:sz w:val="16"/>
                <w:szCs w:val="16"/>
                <w:vertAlign w:val="superscript"/>
              </w:rPr>
              <w:t>§</w:t>
            </w:r>
          </w:p>
        </w:tc>
        <w:tc>
          <w:tcPr>
            <w:tcW w:w="501" w:type="pct"/>
            <w:tcBorders>
              <w:top w:val="dotted" w:sz="4" w:space="0" w:color="auto"/>
              <w:left w:val="single" w:sz="4" w:space="0" w:color="auto"/>
              <w:bottom w:val="dotted" w:sz="4" w:space="0" w:color="auto"/>
              <w:right w:val="single" w:sz="4" w:space="0" w:color="auto"/>
            </w:tcBorders>
            <w:vAlign w:val="center"/>
            <w:hideMark/>
          </w:tcPr>
          <w:p w14:paraId="62B96EE0" w14:textId="6EC0E1F9" w:rsidR="00434810" w:rsidRPr="00EA3458" w:rsidRDefault="00434810" w:rsidP="00205455">
            <w:pPr>
              <w:spacing w:after="0"/>
              <w:jc w:val="center"/>
              <w:rPr>
                <w:rFonts w:cstheme="minorHAnsi"/>
                <w:sz w:val="16"/>
                <w:szCs w:val="16"/>
                <w:vertAlign w:val="superscript"/>
              </w:rPr>
            </w:pPr>
            <w:r w:rsidRPr="00EA3458">
              <w:rPr>
                <w:rFonts w:cstheme="minorHAnsi"/>
                <w:sz w:val="16"/>
                <w:szCs w:val="16"/>
              </w:rPr>
              <w:t>-</w:t>
            </w:r>
            <w:r w:rsidR="001353F7">
              <w:rPr>
                <w:rFonts w:cstheme="minorHAnsi"/>
                <w:sz w:val="16"/>
                <w:szCs w:val="16"/>
                <w:vertAlign w:val="superscript"/>
              </w:rPr>
              <w:t>*</w:t>
            </w:r>
          </w:p>
        </w:tc>
        <w:tc>
          <w:tcPr>
            <w:tcW w:w="501" w:type="pct"/>
            <w:tcBorders>
              <w:top w:val="dotted" w:sz="4" w:space="0" w:color="auto"/>
              <w:left w:val="single" w:sz="4" w:space="0" w:color="auto"/>
              <w:bottom w:val="dotted" w:sz="4" w:space="0" w:color="auto"/>
              <w:right w:val="single" w:sz="4" w:space="0" w:color="auto"/>
            </w:tcBorders>
            <w:vAlign w:val="center"/>
            <w:hideMark/>
          </w:tcPr>
          <w:p w14:paraId="7EDF7F55" w14:textId="77777777" w:rsidR="00434810" w:rsidRPr="00EA3458" w:rsidRDefault="00434810" w:rsidP="00205455">
            <w:pPr>
              <w:spacing w:after="0"/>
              <w:jc w:val="center"/>
              <w:rPr>
                <w:rFonts w:cstheme="minorHAnsi"/>
                <w:sz w:val="16"/>
                <w:szCs w:val="16"/>
              </w:rPr>
            </w:pPr>
            <w:r w:rsidRPr="00EA3458">
              <w:rPr>
                <w:rFonts w:cstheme="minorHAnsi"/>
                <w:sz w:val="16"/>
                <w:szCs w:val="16"/>
              </w:rPr>
              <w:t>Y</w:t>
            </w:r>
          </w:p>
        </w:tc>
        <w:tc>
          <w:tcPr>
            <w:tcW w:w="501" w:type="pct"/>
            <w:tcBorders>
              <w:top w:val="dotted" w:sz="4" w:space="0" w:color="auto"/>
              <w:left w:val="single" w:sz="4" w:space="0" w:color="auto"/>
              <w:bottom w:val="dotted" w:sz="4" w:space="0" w:color="auto"/>
              <w:right w:val="single" w:sz="4" w:space="0" w:color="auto"/>
            </w:tcBorders>
            <w:vAlign w:val="center"/>
            <w:hideMark/>
          </w:tcPr>
          <w:p w14:paraId="5F24D8A9" w14:textId="77777777" w:rsidR="00434810" w:rsidRPr="00EA3458" w:rsidRDefault="00434810" w:rsidP="00205455">
            <w:pPr>
              <w:spacing w:after="0"/>
              <w:jc w:val="center"/>
              <w:rPr>
                <w:rFonts w:cstheme="minorHAnsi"/>
                <w:sz w:val="16"/>
                <w:szCs w:val="16"/>
              </w:rPr>
            </w:pPr>
            <w:r w:rsidRPr="00EA3458">
              <w:rPr>
                <w:rFonts w:cstheme="minorHAnsi"/>
                <w:sz w:val="16"/>
                <w:szCs w:val="16"/>
              </w:rPr>
              <w:t>Y</w:t>
            </w:r>
          </w:p>
        </w:tc>
        <w:tc>
          <w:tcPr>
            <w:tcW w:w="472" w:type="pct"/>
            <w:tcBorders>
              <w:top w:val="dotted" w:sz="4" w:space="0" w:color="auto"/>
              <w:left w:val="single" w:sz="4" w:space="0" w:color="auto"/>
              <w:bottom w:val="dotted" w:sz="4" w:space="0" w:color="auto"/>
              <w:right w:val="single" w:sz="4" w:space="0" w:color="auto"/>
            </w:tcBorders>
            <w:vAlign w:val="center"/>
            <w:hideMark/>
          </w:tcPr>
          <w:p w14:paraId="2398C41B" w14:textId="5A8EE414" w:rsidR="00434810" w:rsidRPr="00EA3458" w:rsidRDefault="00810E28" w:rsidP="00205455">
            <w:pPr>
              <w:spacing w:after="0"/>
              <w:jc w:val="center"/>
              <w:rPr>
                <w:rFonts w:cstheme="minorHAnsi"/>
                <w:sz w:val="16"/>
                <w:szCs w:val="16"/>
              </w:rPr>
            </w:pPr>
            <w:r>
              <w:rPr>
                <w:rFonts w:cstheme="minorHAnsi"/>
                <w:sz w:val="16"/>
                <w:szCs w:val="16"/>
              </w:rPr>
              <w:t>Y</w:t>
            </w:r>
          </w:p>
        </w:tc>
        <w:tc>
          <w:tcPr>
            <w:tcW w:w="530" w:type="pct"/>
            <w:tcBorders>
              <w:top w:val="dotted" w:sz="4" w:space="0" w:color="auto"/>
              <w:left w:val="single" w:sz="4" w:space="0" w:color="auto"/>
              <w:bottom w:val="dotted" w:sz="4" w:space="0" w:color="auto"/>
              <w:right w:val="single" w:sz="4" w:space="0" w:color="auto"/>
            </w:tcBorders>
            <w:vAlign w:val="center"/>
            <w:hideMark/>
          </w:tcPr>
          <w:p w14:paraId="36A80B30" w14:textId="78AA1021" w:rsidR="00434810" w:rsidRPr="00EA3458" w:rsidRDefault="00434810" w:rsidP="00205455">
            <w:pPr>
              <w:spacing w:after="0"/>
              <w:jc w:val="center"/>
              <w:rPr>
                <w:rFonts w:cstheme="minorHAnsi"/>
                <w:sz w:val="16"/>
                <w:szCs w:val="16"/>
                <w:vertAlign w:val="superscript"/>
              </w:rPr>
            </w:pPr>
            <w:r w:rsidRPr="00EA3458">
              <w:rPr>
                <w:rFonts w:cstheme="minorHAnsi"/>
                <w:sz w:val="16"/>
                <w:szCs w:val="16"/>
              </w:rPr>
              <w:t>Y</w:t>
            </w:r>
            <w:r w:rsidR="00E71EF6" w:rsidRPr="00E71EF6">
              <w:rPr>
                <w:rFonts w:eastAsia="Calibri" w:cs="Calibri"/>
                <w:sz w:val="16"/>
                <w:szCs w:val="16"/>
                <w:vertAlign w:val="superscript"/>
              </w:rPr>
              <w:t>#</w:t>
            </w:r>
          </w:p>
        </w:tc>
      </w:tr>
      <w:tr w:rsidR="00434810" w:rsidRPr="00EA3458" w14:paraId="1CDB2F18" w14:textId="77777777" w:rsidTr="004E0719">
        <w:trPr>
          <w:trHeight w:val="20"/>
        </w:trPr>
        <w:tc>
          <w:tcPr>
            <w:tcW w:w="992" w:type="pct"/>
            <w:tcBorders>
              <w:top w:val="dotted" w:sz="4" w:space="0" w:color="auto"/>
              <w:left w:val="single" w:sz="4" w:space="0" w:color="auto"/>
              <w:bottom w:val="dotted" w:sz="4" w:space="0" w:color="auto"/>
              <w:right w:val="single" w:sz="4" w:space="0" w:color="auto"/>
            </w:tcBorders>
            <w:hideMark/>
          </w:tcPr>
          <w:p w14:paraId="18846951" w14:textId="3CF6657D" w:rsidR="00434810" w:rsidRPr="00EA3458" w:rsidRDefault="00434810" w:rsidP="00205455">
            <w:pPr>
              <w:spacing w:after="0"/>
              <w:jc w:val="left"/>
              <w:rPr>
                <w:rFonts w:cstheme="minorHAnsi"/>
                <w:sz w:val="16"/>
                <w:szCs w:val="16"/>
              </w:rPr>
            </w:pPr>
            <w:r w:rsidRPr="00EA3458">
              <w:rPr>
                <w:rFonts w:cstheme="minorHAnsi"/>
                <w:sz w:val="16"/>
                <w:szCs w:val="16"/>
              </w:rPr>
              <w:t>O</w:t>
            </w:r>
            <w:r w:rsidR="00D1454C">
              <w:rPr>
                <w:rFonts w:cstheme="minorHAnsi"/>
                <w:sz w:val="16"/>
                <w:szCs w:val="16"/>
              </w:rPr>
              <w:t>D</w:t>
            </w:r>
            <w:r w:rsidRPr="00EA3458">
              <w:rPr>
                <w:rFonts w:cstheme="minorHAnsi"/>
                <w:sz w:val="16"/>
                <w:szCs w:val="16"/>
              </w:rPr>
              <w:t>T</w:t>
            </w:r>
            <w:r w:rsidR="00D1454C">
              <w:rPr>
                <w:rFonts w:cstheme="minorHAnsi"/>
                <w:sz w:val="16"/>
                <w:szCs w:val="16"/>
              </w:rPr>
              <w:t xml:space="preserve"> medicine</w:t>
            </w:r>
            <w:r w:rsidRPr="00EA3458">
              <w:rPr>
                <w:rFonts w:cstheme="minorHAnsi"/>
                <w:sz w:val="16"/>
                <w:szCs w:val="16"/>
              </w:rPr>
              <w:t xml:space="preserve"> Budget approved</w:t>
            </w:r>
          </w:p>
        </w:tc>
        <w:tc>
          <w:tcPr>
            <w:tcW w:w="501" w:type="pct"/>
            <w:tcBorders>
              <w:top w:val="dotted" w:sz="4" w:space="0" w:color="auto"/>
              <w:left w:val="single" w:sz="4" w:space="0" w:color="auto"/>
              <w:bottom w:val="dotted" w:sz="4" w:space="0" w:color="auto"/>
              <w:right w:val="single" w:sz="4" w:space="0" w:color="auto"/>
            </w:tcBorders>
            <w:vAlign w:val="center"/>
            <w:hideMark/>
          </w:tcPr>
          <w:p w14:paraId="2AC8F4B6" w14:textId="77777777" w:rsidR="00434810" w:rsidRPr="00EA3458" w:rsidRDefault="00434810" w:rsidP="00205455">
            <w:pPr>
              <w:spacing w:after="0"/>
              <w:jc w:val="center"/>
              <w:rPr>
                <w:rFonts w:cstheme="minorHAnsi"/>
                <w:sz w:val="16"/>
                <w:szCs w:val="16"/>
              </w:rPr>
            </w:pPr>
            <w:r w:rsidRPr="00EA3458">
              <w:rPr>
                <w:rFonts w:cstheme="minorHAnsi"/>
                <w:sz w:val="16"/>
                <w:szCs w:val="16"/>
              </w:rPr>
              <w:t>-</w:t>
            </w:r>
          </w:p>
        </w:tc>
        <w:tc>
          <w:tcPr>
            <w:tcW w:w="538" w:type="pct"/>
            <w:tcBorders>
              <w:top w:val="dotted" w:sz="4" w:space="0" w:color="auto"/>
              <w:left w:val="single" w:sz="4" w:space="0" w:color="auto"/>
              <w:bottom w:val="dotted" w:sz="4" w:space="0" w:color="auto"/>
              <w:right w:val="single" w:sz="4" w:space="0" w:color="auto"/>
            </w:tcBorders>
            <w:vAlign w:val="center"/>
            <w:hideMark/>
          </w:tcPr>
          <w:p w14:paraId="7A60AB00" w14:textId="1443EB41" w:rsidR="00434810" w:rsidRPr="00EA3458" w:rsidRDefault="00434810" w:rsidP="00205455">
            <w:pPr>
              <w:spacing w:after="0"/>
              <w:jc w:val="center"/>
              <w:rPr>
                <w:rFonts w:cstheme="minorHAnsi"/>
                <w:sz w:val="16"/>
                <w:szCs w:val="16"/>
              </w:rPr>
            </w:pPr>
            <w:r w:rsidRPr="00EA3458">
              <w:rPr>
                <w:rFonts w:cstheme="minorHAnsi"/>
                <w:sz w:val="16"/>
                <w:szCs w:val="16"/>
              </w:rPr>
              <w:t xml:space="preserve">$306M AOD, not </w:t>
            </w:r>
            <w:r w:rsidR="006061A2">
              <w:rPr>
                <w:rFonts w:cstheme="minorHAnsi"/>
                <w:sz w:val="16"/>
                <w:szCs w:val="16"/>
              </w:rPr>
              <w:t>meds</w:t>
            </w:r>
            <w:r w:rsidRPr="00EA3458">
              <w:rPr>
                <w:rFonts w:cstheme="minorHAnsi"/>
                <w:sz w:val="16"/>
                <w:szCs w:val="16"/>
              </w:rPr>
              <w:t xml:space="preserve"> alone (2020-21)</w:t>
            </w:r>
          </w:p>
        </w:tc>
        <w:tc>
          <w:tcPr>
            <w:tcW w:w="464" w:type="pct"/>
            <w:tcBorders>
              <w:top w:val="dotted" w:sz="4" w:space="0" w:color="auto"/>
              <w:left w:val="single" w:sz="4" w:space="0" w:color="auto"/>
              <w:bottom w:val="dotted" w:sz="4" w:space="0" w:color="auto"/>
              <w:right w:val="single" w:sz="4" w:space="0" w:color="auto"/>
            </w:tcBorders>
            <w:vAlign w:val="center"/>
            <w:hideMark/>
          </w:tcPr>
          <w:p w14:paraId="698D2ABD" w14:textId="77777777" w:rsidR="00434810" w:rsidRPr="00EA3458" w:rsidRDefault="00434810" w:rsidP="00205455">
            <w:pPr>
              <w:spacing w:after="0"/>
              <w:jc w:val="center"/>
              <w:rPr>
                <w:rFonts w:cstheme="minorHAnsi"/>
                <w:sz w:val="16"/>
                <w:szCs w:val="16"/>
              </w:rPr>
            </w:pPr>
            <w:r w:rsidRPr="00EA3458">
              <w:rPr>
                <w:rFonts w:cstheme="minorHAnsi"/>
                <w:sz w:val="16"/>
                <w:szCs w:val="16"/>
              </w:rPr>
              <w:t>-</w:t>
            </w:r>
          </w:p>
        </w:tc>
        <w:tc>
          <w:tcPr>
            <w:tcW w:w="501" w:type="pct"/>
            <w:tcBorders>
              <w:top w:val="dotted" w:sz="4" w:space="0" w:color="auto"/>
              <w:left w:val="single" w:sz="4" w:space="0" w:color="auto"/>
              <w:bottom w:val="dotted" w:sz="4" w:space="0" w:color="auto"/>
              <w:right w:val="single" w:sz="4" w:space="0" w:color="auto"/>
            </w:tcBorders>
            <w:vAlign w:val="center"/>
            <w:hideMark/>
          </w:tcPr>
          <w:p w14:paraId="67AD8BB8" w14:textId="77777777" w:rsidR="00434810" w:rsidRPr="00EA3458" w:rsidRDefault="00434810" w:rsidP="00205455">
            <w:pPr>
              <w:spacing w:after="0"/>
              <w:jc w:val="center"/>
              <w:rPr>
                <w:rFonts w:cstheme="minorHAnsi"/>
                <w:sz w:val="16"/>
                <w:szCs w:val="16"/>
              </w:rPr>
            </w:pPr>
            <w:r w:rsidRPr="00EA3458">
              <w:rPr>
                <w:rFonts w:cstheme="minorHAnsi"/>
                <w:sz w:val="16"/>
                <w:szCs w:val="16"/>
              </w:rPr>
              <w:t>-</w:t>
            </w:r>
          </w:p>
        </w:tc>
        <w:tc>
          <w:tcPr>
            <w:tcW w:w="501" w:type="pct"/>
            <w:tcBorders>
              <w:top w:val="dotted" w:sz="4" w:space="0" w:color="auto"/>
              <w:left w:val="single" w:sz="4" w:space="0" w:color="auto"/>
              <w:bottom w:val="dotted" w:sz="4" w:space="0" w:color="auto"/>
              <w:right w:val="single" w:sz="4" w:space="0" w:color="auto"/>
            </w:tcBorders>
            <w:vAlign w:val="center"/>
            <w:hideMark/>
          </w:tcPr>
          <w:p w14:paraId="07D603BD" w14:textId="77777777" w:rsidR="00434810" w:rsidRPr="00EA3458" w:rsidRDefault="00434810" w:rsidP="00205455">
            <w:pPr>
              <w:spacing w:after="0"/>
              <w:jc w:val="center"/>
              <w:rPr>
                <w:rFonts w:cstheme="minorHAnsi"/>
                <w:sz w:val="16"/>
                <w:szCs w:val="16"/>
              </w:rPr>
            </w:pPr>
            <w:r w:rsidRPr="00EA3458">
              <w:rPr>
                <w:rFonts w:cstheme="minorHAnsi"/>
                <w:sz w:val="16"/>
                <w:szCs w:val="16"/>
              </w:rPr>
              <w:t>-</w:t>
            </w:r>
          </w:p>
        </w:tc>
        <w:tc>
          <w:tcPr>
            <w:tcW w:w="501" w:type="pct"/>
            <w:tcBorders>
              <w:top w:val="dotted" w:sz="4" w:space="0" w:color="auto"/>
              <w:left w:val="single" w:sz="4" w:space="0" w:color="auto"/>
              <w:bottom w:val="dotted" w:sz="4" w:space="0" w:color="auto"/>
              <w:right w:val="single" w:sz="4" w:space="0" w:color="auto"/>
            </w:tcBorders>
            <w:vAlign w:val="center"/>
            <w:hideMark/>
          </w:tcPr>
          <w:p w14:paraId="385A20BC" w14:textId="77777777" w:rsidR="00434810" w:rsidRPr="00EA3458" w:rsidRDefault="00434810" w:rsidP="00205455">
            <w:pPr>
              <w:spacing w:after="0"/>
              <w:jc w:val="center"/>
              <w:rPr>
                <w:rFonts w:cstheme="minorHAnsi"/>
                <w:sz w:val="16"/>
                <w:szCs w:val="16"/>
              </w:rPr>
            </w:pPr>
            <w:r w:rsidRPr="00EA3458">
              <w:rPr>
                <w:rFonts w:cstheme="minorHAnsi"/>
                <w:sz w:val="16"/>
                <w:szCs w:val="16"/>
              </w:rPr>
              <w:t>-</w:t>
            </w:r>
          </w:p>
        </w:tc>
        <w:tc>
          <w:tcPr>
            <w:tcW w:w="472" w:type="pct"/>
            <w:tcBorders>
              <w:top w:val="dotted" w:sz="4" w:space="0" w:color="auto"/>
              <w:left w:val="single" w:sz="4" w:space="0" w:color="auto"/>
              <w:bottom w:val="dotted" w:sz="4" w:space="0" w:color="auto"/>
              <w:right w:val="single" w:sz="4" w:space="0" w:color="auto"/>
            </w:tcBorders>
            <w:vAlign w:val="center"/>
            <w:hideMark/>
          </w:tcPr>
          <w:p w14:paraId="74A6932D" w14:textId="77777777" w:rsidR="00434810" w:rsidRPr="00EA3458" w:rsidRDefault="00434810" w:rsidP="00205455">
            <w:pPr>
              <w:spacing w:after="0"/>
              <w:jc w:val="center"/>
              <w:rPr>
                <w:rFonts w:cstheme="minorHAnsi"/>
                <w:sz w:val="16"/>
                <w:szCs w:val="16"/>
              </w:rPr>
            </w:pPr>
            <w:r w:rsidRPr="00EA3458">
              <w:rPr>
                <w:rFonts w:cstheme="minorHAnsi"/>
                <w:sz w:val="16"/>
                <w:szCs w:val="16"/>
              </w:rPr>
              <w:t>-</w:t>
            </w:r>
          </w:p>
        </w:tc>
        <w:tc>
          <w:tcPr>
            <w:tcW w:w="530" w:type="pct"/>
            <w:tcBorders>
              <w:top w:val="dotted" w:sz="4" w:space="0" w:color="auto"/>
              <w:left w:val="single" w:sz="4" w:space="0" w:color="auto"/>
              <w:bottom w:val="dotted" w:sz="4" w:space="0" w:color="auto"/>
              <w:right w:val="single" w:sz="4" w:space="0" w:color="auto"/>
            </w:tcBorders>
            <w:vAlign w:val="center"/>
            <w:hideMark/>
          </w:tcPr>
          <w:p w14:paraId="35691F1B" w14:textId="4FFB99F3" w:rsidR="00434810" w:rsidRPr="00EA3458" w:rsidRDefault="00434810" w:rsidP="00205455">
            <w:pPr>
              <w:spacing w:after="0"/>
              <w:jc w:val="center"/>
              <w:rPr>
                <w:sz w:val="16"/>
                <w:szCs w:val="16"/>
              </w:rPr>
            </w:pPr>
            <w:r w:rsidRPr="00EA3458">
              <w:rPr>
                <w:sz w:val="16"/>
                <w:szCs w:val="16"/>
              </w:rPr>
              <w:t xml:space="preserve">$315MAOD, not </w:t>
            </w:r>
            <w:r w:rsidR="004E0719">
              <w:rPr>
                <w:sz w:val="16"/>
                <w:szCs w:val="16"/>
              </w:rPr>
              <w:t>meds</w:t>
            </w:r>
            <w:r w:rsidRPr="00EA3458">
              <w:rPr>
                <w:sz w:val="16"/>
                <w:szCs w:val="16"/>
              </w:rPr>
              <w:t xml:space="preserve"> alone (2020-21)</w:t>
            </w:r>
          </w:p>
        </w:tc>
      </w:tr>
      <w:tr w:rsidR="00434810" w:rsidRPr="00EA3458" w14:paraId="24CEB5BC" w14:textId="77777777" w:rsidTr="004E0719">
        <w:trPr>
          <w:trHeight w:val="20"/>
        </w:trPr>
        <w:tc>
          <w:tcPr>
            <w:tcW w:w="992" w:type="pct"/>
            <w:tcBorders>
              <w:top w:val="dotted" w:sz="4" w:space="0" w:color="auto"/>
              <w:left w:val="single" w:sz="4" w:space="0" w:color="auto"/>
              <w:bottom w:val="dotted" w:sz="4" w:space="0" w:color="auto"/>
              <w:right w:val="single" w:sz="4" w:space="0" w:color="auto"/>
            </w:tcBorders>
            <w:hideMark/>
          </w:tcPr>
          <w:p w14:paraId="1FAA6EDB" w14:textId="47888D5A" w:rsidR="00434810" w:rsidRPr="00EA3458" w:rsidRDefault="00434810" w:rsidP="00205455">
            <w:pPr>
              <w:spacing w:after="0"/>
              <w:jc w:val="left"/>
              <w:rPr>
                <w:rFonts w:cstheme="minorHAnsi"/>
                <w:sz w:val="16"/>
                <w:szCs w:val="16"/>
              </w:rPr>
            </w:pPr>
            <w:r w:rsidRPr="00EA3458">
              <w:rPr>
                <w:rFonts w:cstheme="minorHAnsi"/>
                <w:sz w:val="16"/>
                <w:szCs w:val="16"/>
              </w:rPr>
              <w:t>Prescriber approval required for full suite of O</w:t>
            </w:r>
            <w:r w:rsidR="00D1454C">
              <w:rPr>
                <w:rFonts w:cstheme="minorHAnsi"/>
                <w:sz w:val="16"/>
                <w:szCs w:val="16"/>
              </w:rPr>
              <w:t>D</w:t>
            </w:r>
            <w:r w:rsidRPr="00EA3458">
              <w:rPr>
                <w:rFonts w:cstheme="minorHAnsi"/>
                <w:sz w:val="16"/>
                <w:szCs w:val="16"/>
              </w:rPr>
              <w:t>T medicines (legislated)</w:t>
            </w:r>
          </w:p>
        </w:tc>
        <w:tc>
          <w:tcPr>
            <w:tcW w:w="501" w:type="pct"/>
            <w:tcBorders>
              <w:top w:val="dotted" w:sz="4" w:space="0" w:color="auto"/>
              <w:left w:val="single" w:sz="4" w:space="0" w:color="auto"/>
              <w:bottom w:val="dotted" w:sz="4" w:space="0" w:color="auto"/>
              <w:right w:val="single" w:sz="4" w:space="0" w:color="auto"/>
            </w:tcBorders>
            <w:vAlign w:val="center"/>
            <w:hideMark/>
          </w:tcPr>
          <w:p w14:paraId="686B97CE" w14:textId="77777777" w:rsidR="00434810" w:rsidRPr="00EA3458" w:rsidRDefault="00434810" w:rsidP="00205455">
            <w:pPr>
              <w:spacing w:after="0"/>
              <w:jc w:val="center"/>
              <w:rPr>
                <w:rFonts w:cstheme="minorHAnsi"/>
                <w:sz w:val="16"/>
                <w:szCs w:val="16"/>
              </w:rPr>
            </w:pPr>
            <w:r w:rsidRPr="00EA3458">
              <w:rPr>
                <w:rFonts w:cstheme="minorHAnsi"/>
                <w:sz w:val="16"/>
                <w:szCs w:val="16"/>
              </w:rPr>
              <w:t>Y (5+ consumers)</w:t>
            </w:r>
          </w:p>
        </w:tc>
        <w:tc>
          <w:tcPr>
            <w:tcW w:w="538" w:type="pct"/>
            <w:tcBorders>
              <w:top w:val="dotted" w:sz="4" w:space="0" w:color="auto"/>
              <w:left w:val="single" w:sz="4" w:space="0" w:color="auto"/>
              <w:bottom w:val="dotted" w:sz="4" w:space="0" w:color="auto"/>
              <w:right w:val="single" w:sz="4" w:space="0" w:color="auto"/>
            </w:tcBorders>
            <w:vAlign w:val="center"/>
            <w:hideMark/>
          </w:tcPr>
          <w:p w14:paraId="02ABA849" w14:textId="77777777" w:rsidR="00434810" w:rsidRPr="00EA3458" w:rsidRDefault="00434810" w:rsidP="00205455">
            <w:pPr>
              <w:spacing w:after="0"/>
              <w:jc w:val="center"/>
              <w:rPr>
                <w:rFonts w:cstheme="minorHAnsi"/>
                <w:sz w:val="16"/>
                <w:szCs w:val="16"/>
              </w:rPr>
            </w:pPr>
            <w:r w:rsidRPr="00EA3458">
              <w:rPr>
                <w:rFonts w:cstheme="minorHAnsi"/>
                <w:sz w:val="16"/>
                <w:szCs w:val="16"/>
              </w:rPr>
              <w:t>Y</w:t>
            </w:r>
          </w:p>
        </w:tc>
        <w:tc>
          <w:tcPr>
            <w:tcW w:w="464" w:type="pct"/>
            <w:tcBorders>
              <w:top w:val="dotted" w:sz="4" w:space="0" w:color="auto"/>
              <w:left w:val="single" w:sz="4" w:space="0" w:color="auto"/>
              <w:bottom w:val="dotted" w:sz="4" w:space="0" w:color="auto"/>
              <w:right w:val="single" w:sz="4" w:space="0" w:color="auto"/>
            </w:tcBorders>
            <w:vAlign w:val="center"/>
            <w:hideMark/>
          </w:tcPr>
          <w:p w14:paraId="0E63A1F5" w14:textId="77777777" w:rsidR="00434810" w:rsidRPr="00EA3458" w:rsidRDefault="00434810" w:rsidP="00205455">
            <w:pPr>
              <w:spacing w:after="0"/>
              <w:jc w:val="center"/>
              <w:rPr>
                <w:rFonts w:cstheme="minorHAnsi"/>
                <w:sz w:val="16"/>
                <w:szCs w:val="16"/>
              </w:rPr>
            </w:pPr>
            <w:r w:rsidRPr="00EA3458">
              <w:rPr>
                <w:rFonts w:cstheme="minorHAnsi"/>
                <w:sz w:val="16"/>
                <w:szCs w:val="16"/>
              </w:rPr>
              <w:t>Y</w:t>
            </w:r>
          </w:p>
        </w:tc>
        <w:tc>
          <w:tcPr>
            <w:tcW w:w="501" w:type="pct"/>
            <w:tcBorders>
              <w:top w:val="dotted" w:sz="4" w:space="0" w:color="auto"/>
              <w:left w:val="single" w:sz="4" w:space="0" w:color="auto"/>
              <w:bottom w:val="dotted" w:sz="4" w:space="0" w:color="auto"/>
              <w:right w:val="single" w:sz="4" w:space="0" w:color="auto"/>
            </w:tcBorders>
            <w:vAlign w:val="center"/>
            <w:hideMark/>
          </w:tcPr>
          <w:p w14:paraId="1F48F8A5" w14:textId="77777777" w:rsidR="00434810" w:rsidRPr="00EA3458" w:rsidRDefault="00434810" w:rsidP="00205455">
            <w:pPr>
              <w:spacing w:after="0"/>
              <w:jc w:val="center"/>
              <w:rPr>
                <w:rFonts w:cstheme="minorHAnsi"/>
                <w:sz w:val="16"/>
                <w:szCs w:val="16"/>
              </w:rPr>
            </w:pPr>
            <w:r w:rsidRPr="00EA3458">
              <w:rPr>
                <w:rFonts w:cstheme="minorHAnsi"/>
                <w:sz w:val="16"/>
                <w:szCs w:val="16"/>
              </w:rPr>
              <w:t>Y</w:t>
            </w:r>
          </w:p>
        </w:tc>
        <w:tc>
          <w:tcPr>
            <w:tcW w:w="501" w:type="pct"/>
            <w:tcBorders>
              <w:top w:val="dotted" w:sz="4" w:space="0" w:color="auto"/>
              <w:left w:val="single" w:sz="4" w:space="0" w:color="auto"/>
              <w:bottom w:val="dotted" w:sz="4" w:space="0" w:color="auto"/>
              <w:right w:val="single" w:sz="4" w:space="0" w:color="auto"/>
            </w:tcBorders>
            <w:vAlign w:val="center"/>
            <w:hideMark/>
          </w:tcPr>
          <w:p w14:paraId="4D7784BE" w14:textId="77777777" w:rsidR="00434810" w:rsidRPr="00EA3458" w:rsidRDefault="00434810" w:rsidP="00205455">
            <w:pPr>
              <w:spacing w:after="0"/>
              <w:jc w:val="center"/>
              <w:rPr>
                <w:rFonts w:cstheme="minorHAnsi"/>
                <w:sz w:val="16"/>
                <w:szCs w:val="16"/>
              </w:rPr>
            </w:pPr>
            <w:r w:rsidRPr="00EA3458">
              <w:rPr>
                <w:rFonts w:cstheme="minorHAnsi"/>
                <w:sz w:val="16"/>
                <w:szCs w:val="16"/>
              </w:rPr>
              <w:t>Y</w:t>
            </w:r>
          </w:p>
        </w:tc>
        <w:tc>
          <w:tcPr>
            <w:tcW w:w="501" w:type="pct"/>
            <w:tcBorders>
              <w:top w:val="dotted" w:sz="4" w:space="0" w:color="auto"/>
              <w:left w:val="single" w:sz="4" w:space="0" w:color="auto"/>
              <w:bottom w:val="dotted" w:sz="4" w:space="0" w:color="auto"/>
              <w:right w:val="single" w:sz="4" w:space="0" w:color="auto"/>
            </w:tcBorders>
            <w:vAlign w:val="center"/>
            <w:hideMark/>
          </w:tcPr>
          <w:p w14:paraId="7D2C4CB4" w14:textId="77777777" w:rsidR="00434810" w:rsidRPr="00EA3458" w:rsidRDefault="00434810" w:rsidP="00205455">
            <w:pPr>
              <w:spacing w:after="0"/>
              <w:jc w:val="center"/>
              <w:rPr>
                <w:rFonts w:cstheme="minorHAnsi"/>
                <w:sz w:val="16"/>
                <w:szCs w:val="16"/>
              </w:rPr>
            </w:pPr>
            <w:r w:rsidRPr="00EA3458">
              <w:rPr>
                <w:rFonts w:cstheme="minorHAnsi"/>
                <w:sz w:val="16"/>
                <w:szCs w:val="16"/>
              </w:rPr>
              <w:t>Y</w:t>
            </w:r>
          </w:p>
        </w:tc>
        <w:tc>
          <w:tcPr>
            <w:tcW w:w="472" w:type="pct"/>
            <w:tcBorders>
              <w:top w:val="dotted" w:sz="4" w:space="0" w:color="auto"/>
              <w:left w:val="single" w:sz="4" w:space="0" w:color="auto"/>
              <w:bottom w:val="dotted" w:sz="4" w:space="0" w:color="auto"/>
              <w:right w:val="single" w:sz="4" w:space="0" w:color="auto"/>
            </w:tcBorders>
            <w:vAlign w:val="center"/>
            <w:hideMark/>
          </w:tcPr>
          <w:p w14:paraId="278793DF" w14:textId="7FE6A6F5" w:rsidR="00434810" w:rsidRPr="00EA3458" w:rsidRDefault="00810E28" w:rsidP="00205455">
            <w:pPr>
              <w:spacing w:after="0"/>
              <w:jc w:val="center"/>
              <w:rPr>
                <w:rFonts w:cstheme="minorHAnsi"/>
                <w:sz w:val="16"/>
                <w:szCs w:val="16"/>
              </w:rPr>
            </w:pPr>
            <w:r>
              <w:rPr>
                <w:rFonts w:cstheme="minorHAnsi"/>
                <w:sz w:val="16"/>
                <w:szCs w:val="16"/>
              </w:rPr>
              <w:t>Y</w:t>
            </w:r>
          </w:p>
        </w:tc>
        <w:tc>
          <w:tcPr>
            <w:tcW w:w="530" w:type="pct"/>
            <w:tcBorders>
              <w:top w:val="dotted" w:sz="4" w:space="0" w:color="auto"/>
              <w:left w:val="single" w:sz="4" w:space="0" w:color="auto"/>
              <w:bottom w:val="dotted" w:sz="4" w:space="0" w:color="auto"/>
              <w:right w:val="single" w:sz="4" w:space="0" w:color="auto"/>
            </w:tcBorders>
            <w:vAlign w:val="center"/>
            <w:hideMark/>
          </w:tcPr>
          <w:p w14:paraId="17409CDE" w14:textId="2F39B9CD" w:rsidR="00434810" w:rsidRPr="00EA3458" w:rsidRDefault="00434810" w:rsidP="00205455">
            <w:pPr>
              <w:spacing w:after="0"/>
              <w:jc w:val="center"/>
              <w:rPr>
                <w:rFonts w:cstheme="minorHAnsi"/>
                <w:sz w:val="16"/>
                <w:szCs w:val="16"/>
                <w:vertAlign w:val="superscript"/>
              </w:rPr>
            </w:pPr>
            <w:r w:rsidRPr="00EA3458">
              <w:rPr>
                <w:rFonts w:cstheme="minorHAnsi"/>
                <w:sz w:val="16"/>
                <w:szCs w:val="16"/>
              </w:rPr>
              <w:t>Y</w:t>
            </w:r>
            <w:r w:rsidR="00E71EF6">
              <w:rPr>
                <w:rFonts w:cstheme="minorHAnsi"/>
                <w:sz w:val="16"/>
                <w:szCs w:val="16"/>
                <w:vertAlign w:val="superscript"/>
              </w:rPr>
              <w:t>**</w:t>
            </w:r>
          </w:p>
        </w:tc>
      </w:tr>
      <w:tr w:rsidR="00434810" w:rsidRPr="00EA3458" w14:paraId="058A030E" w14:textId="77777777" w:rsidTr="004E0719">
        <w:trPr>
          <w:trHeight w:val="20"/>
        </w:trPr>
        <w:tc>
          <w:tcPr>
            <w:tcW w:w="992" w:type="pct"/>
            <w:tcBorders>
              <w:top w:val="dotted" w:sz="4" w:space="0" w:color="auto"/>
              <w:left w:val="single" w:sz="4" w:space="0" w:color="auto"/>
              <w:bottom w:val="dotted" w:sz="4" w:space="0" w:color="auto"/>
              <w:right w:val="single" w:sz="4" w:space="0" w:color="auto"/>
            </w:tcBorders>
            <w:hideMark/>
          </w:tcPr>
          <w:p w14:paraId="291EB2E8" w14:textId="77777777" w:rsidR="00434810" w:rsidRPr="00EA3458" w:rsidRDefault="00434810" w:rsidP="00205455">
            <w:pPr>
              <w:spacing w:after="0"/>
              <w:jc w:val="left"/>
              <w:rPr>
                <w:rFonts w:cstheme="minorHAnsi"/>
                <w:sz w:val="16"/>
                <w:szCs w:val="16"/>
              </w:rPr>
            </w:pPr>
            <w:r w:rsidRPr="00EA3458">
              <w:rPr>
                <w:rFonts w:cstheme="minorHAnsi"/>
                <w:sz w:val="16"/>
                <w:szCs w:val="16"/>
              </w:rPr>
              <w:t>Consumer cap per prescriber</w:t>
            </w:r>
          </w:p>
        </w:tc>
        <w:tc>
          <w:tcPr>
            <w:tcW w:w="501" w:type="pct"/>
            <w:tcBorders>
              <w:top w:val="dotted" w:sz="4" w:space="0" w:color="auto"/>
              <w:left w:val="single" w:sz="4" w:space="0" w:color="auto"/>
              <w:bottom w:val="dotted" w:sz="4" w:space="0" w:color="auto"/>
              <w:right w:val="single" w:sz="4" w:space="0" w:color="auto"/>
            </w:tcBorders>
            <w:vAlign w:val="center"/>
            <w:hideMark/>
          </w:tcPr>
          <w:p w14:paraId="19C23E4F" w14:textId="5969291B" w:rsidR="00434810" w:rsidRPr="00EA3458" w:rsidRDefault="00434810" w:rsidP="00205455">
            <w:pPr>
              <w:spacing w:after="0"/>
              <w:jc w:val="center"/>
              <w:rPr>
                <w:sz w:val="16"/>
                <w:szCs w:val="16"/>
              </w:rPr>
            </w:pPr>
            <w:r w:rsidRPr="00EA3458">
              <w:rPr>
                <w:sz w:val="16"/>
                <w:szCs w:val="16"/>
              </w:rPr>
              <w:t>Y</w:t>
            </w:r>
          </w:p>
          <w:p w14:paraId="4BDD0FE0" w14:textId="77777777" w:rsidR="00434810" w:rsidRPr="00EA3458" w:rsidRDefault="00434810" w:rsidP="00205455">
            <w:pPr>
              <w:spacing w:after="0"/>
              <w:jc w:val="center"/>
              <w:rPr>
                <w:sz w:val="16"/>
                <w:szCs w:val="16"/>
              </w:rPr>
            </w:pPr>
            <w:r w:rsidRPr="00EA3458">
              <w:rPr>
                <w:sz w:val="16"/>
                <w:szCs w:val="16"/>
              </w:rPr>
              <w:t>(endorsed: no limit, non-end.: 5)</w:t>
            </w:r>
          </w:p>
        </w:tc>
        <w:tc>
          <w:tcPr>
            <w:tcW w:w="538" w:type="pct"/>
            <w:tcBorders>
              <w:top w:val="dotted" w:sz="4" w:space="0" w:color="auto"/>
              <w:left w:val="single" w:sz="4" w:space="0" w:color="auto"/>
              <w:bottom w:val="dotted" w:sz="4" w:space="0" w:color="auto"/>
              <w:right w:val="single" w:sz="4" w:space="0" w:color="auto"/>
            </w:tcBorders>
            <w:vAlign w:val="center"/>
            <w:hideMark/>
          </w:tcPr>
          <w:p w14:paraId="7AB6E089" w14:textId="77777777" w:rsidR="00434810" w:rsidRPr="00EA3458" w:rsidRDefault="00434810" w:rsidP="00205455">
            <w:pPr>
              <w:spacing w:after="0"/>
              <w:jc w:val="center"/>
              <w:rPr>
                <w:rFonts w:cstheme="minorHAnsi"/>
                <w:sz w:val="16"/>
                <w:szCs w:val="16"/>
              </w:rPr>
            </w:pPr>
            <w:r w:rsidRPr="00EA3458">
              <w:rPr>
                <w:rFonts w:cstheme="minorHAnsi"/>
                <w:sz w:val="16"/>
                <w:szCs w:val="16"/>
              </w:rPr>
              <w:t>Y</w:t>
            </w:r>
          </w:p>
          <w:p w14:paraId="54D0D1A4" w14:textId="325ADD9B" w:rsidR="00434810" w:rsidRPr="00EA3458" w:rsidRDefault="00434810" w:rsidP="00205455">
            <w:pPr>
              <w:spacing w:after="0"/>
              <w:jc w:val="center"/>
              <w:rPr>
                <w:sz w:val="16"/>
                <w:szCs w:val="16"/>
              </w:rPr>
            </w:pPr>
            <w:r w:rsidRPr="00EA3458">
              <w:rPr>
                <w:sz w:val="16"/>
                <w:szCs w:val="16"/>
              </w:rPr>
              <w:t>(accredited: 200+,</w:t>
            </w:r>
          </w:p>
          <w:p w14:paraId="6A0773BE" w14:textId="77777777" w:rsidR="00434810" w:rsidRPr="00EA3458" w:rsidRDefault="00434810" w:rsidP="00205455">
            <w:pPr>
              <w:spacing w:after="0"/>
              <w:jc w:val="center"/>
              <w:rPr>
                <w:sz w:val="16"/>
                <w:szCs w:val="16"/>
              </w:rPr>
            </w:pPr>
            <w:r w:rsidRPr="00EA3458">
              <w:rPr>
                <w:sz w:val="16"/>
                <w:szCs w:val="16"/>
              </w:rPr>
              <w:t>non-accredit.: 30)</w:t>
            </w:r>
          </w:p>
        </w:tc>
        <w:tc>
          <w:tcPr>
            <w:tcW w:w="464" w:type="pct"/>
            <w:tcBorders>
              <w:top w:val="dotted" w:sz="4" w:space="0" w:color="auto"/>
              <w:left w:val="single" w:sz="4" w:space="0" w:color="auto"/>
              <w:bottom w:val="dotted" w:sz="4" w:space="0" w:color="auto"/>
              <w:right w:val="single" w:sz="4" w:space="0" w:color="auto"/>
            </w:tcBorders>
            <w:vAlign w:val="center"/>
            <w:hideMark/>
          </w:tcPr>
          <w:p w14:paraId="3AF020D5" w14:textId="5499B208" w:rsidR="00434810" w:rsidRPr="00EA3458" w:rsidRDefault="00434810" w:rsidP="00205455">
            <w:pPr>
              <w:spacing w:after="0"/>
              <w:jc w:val="center"/>
              <w:rPr>
                <w:rFonts w:cstheme="minorHAnsi"/>
                <w:sz w:val="16"/>
                <w:szCs w:val="16"/>
                <w:vertAlign w:val="superscript"/>
              </w:rPr>
            </w:pPr>
            <w:r w:rsidRPr="00EA3458">
              <w:rPr>
                <w:rFonts w:cstheme="minorHAnsi"/>
                <w:sz w:val="16"/>
                <w:szCs w:val="16"/>
              </w:rPr>
              <w:t>Y</w:t>
            </w:r>
            <w:r w:rsidR="00E71EF6" w:rsidRPr="00E71EF6">
              <w:rPr>
                <w:rFonts w:cstheme="minorHAnsi"/>
                <w:sz w:val="16"/>
                <w:szCs w:val="16"/>
                <w:vertAlign w:val="superscript"/>
              </w:rPr>
              <w:t>††</w:t>
            </w:r>
          </w:p>
        </w:tc>
        <w:tc>
          <w:tcPr>
            <w:tcW w:w="501" w:type="pct"/>
            <w:tcBorders>
              <w:top w:val="dotted" w:sz="4" w:space="0" w:color="auto"/>
              <w:left w:val="single" w:sz="4" w:space="0" w:color="auto"/>
              <w:bottom w:val="dotted" w:sz="4" w:space="0" w:color="auto"/>
              <w:right w:val="single" w:sz="4" w:space="0" w:color="auto"/>
            </w:tcBorders>
            <w:vAlign w:val="center"/>
            <w:hideMark/>
          </w:tcPr>
          <w:p w14:paraId="292858EE" w14:textId="62F45341" w:rsidR="00434810" w:rsidRPr="00EA3458" w:rsidRDefault="00434810" w:rsidP="00205455">
            <w:pPr>
              <w:spacing w:after="0"/>
              <w:jc w:val="center"/>
              <w:rPr>
                <w:sz w:val="16"/>
                <w:szCs w:val="16"/>
              </w:rPr>
            </w:pPr>
            <w:r w:rsidRPr="00EA3458">
              <w:rPr>
                <w:sz w:val="16"/>
                <w:szCs w:val="16"/>
              </w:rPr>
              <w:t>Y</w:t>
            </w:r>
          </w:p>
          <w:p w14:paraId="0BE87C3B" w14:textId="77777777" w:rsidR="00434810" w:rsidRPr="00EA3458" w:rsidRDefault="00434810" w:rsidP="00205455">
            <w:pPr>
              <w:spacing w:after="0"/>
              <w:jc w:val="center"/>
              <w:rPr>
                <w:sz w:val="16"/>
                <w:szCs w:val="16"/>
              </w:rPr>
            </w:pPr>
            <w:r w:rsidRPr="00EA3458">
              <w:rPr>
                <w:sz w:val="16"/>
                <w:szCs w:val="16"/>
              </w:rPr>
              <w:t>(metro 50, rural 25)</w:t>
            </w:r>
          </w:p>
        </w:tc>
        <w:tc>
          <w:tcPr>
            <w:tcW w:w="501" w:type="pct"/>
            <w:tcBorders>
              <w:top w:val="dotted" w:sz="4" w:space="0" w:color="auto"/>
              <w:left w:val="single" w:sz="4" w:space="0" w:color="auto"/>
              <w:bottom w:val="dotted" w:sz="4" w:space="0" w:color="auto"/>
              <w:right w:val="single" w:sz="4" w:space="0" w:color="auto"/>
            </w:tcBorders>
            <w:vAlign w:val="center"/>
          </w:tcPr>
          <w:p w14:paraId="70F287C5" w14:textId="140DBB08" w:rsidR="00434810" w:rsidRPr="00EA3458" w:rsidRDefault="00A24353" w:rsidP="00205455">
            <w:pPr>
              <w:spacing w:after="0"/>
              <w:jc w:val="center"/>
              <w:rPr>
                <w:rFonts w:cstheme="minorHAnsi"/>
                <w:sz w:val="16"/>
                <w:szCs w:val="16"/>
              </w:rPr>
            </w:pPr>
            <w:r>
              <w:rPr>
                <w:rFonts w:cstheme="minorHAnsi"/>
                <w:sz w:val="16"/>
                <w:szCs w:val="16"/>
              </w:rPr>
              <w:t>Y</w:t>
            </w:r>
          </w:p>
          <w:p w14:paraId="234F9471" w14:textId="08D74B1E" w:rsidR="00434810" w:rsidRPr="00EA3458" w:rsidRDefault="004E7DEE" w:rsidP="00205455">
            <w:pPr>
              <w:spacing w:after="0"/>
              <w:jc w:val="center"/>
              <w:rPr>
                <w:rFonts w:cstheme="minorHAnsi"/>
                <w:sz w:val="16"/>
                <w:szCs w:val="16"/>
              </w:rPr>
            </w:pPr>
            <w:r>
              <w:rPr>
                <w:rFonts w:cstheme="minorHAnsi"/>
                <w:sz w:val="16"/>
                <w:szCs w:val="16"/>
              </w:rPr>
              <w:t>(non-accredit: 10)</w:t>
            </w:r>
          </w:p>
        </w:tc>
        <w:tc>
          <w:tcPr>
            <w:tcW w:w="501" w:type="pct"/>
            <w:tcBorders>
              <w:top w:val="dotted" w:sz="4" w:space="0" w:color="auto"/>
              <w:left w:val="single" w:sz="4" w:space="0" w:color="auto"/>
              <w:bottom w:val="dotted" w:sz="4" w:space="0" w:color="auto"/>
              <w:right w:val="single" w:sz="4" w:space="0" w:color="auto"/>
            </w:tcBorders>
            <w:vAlign w:val="center"/>
            <w:hideMark/>
          </w:tcPr>
          <w:p w14:paraId="3EFE80E7" w14:textId="77777777" w:rsidR="00434810" w:rsidRPr="00EA3458" w:rsidRDefault="00434810" w:rsidP="00205455">
            <w:pPr>
              <w:spacing w:after="0"/>
              <w:jc w:val="center"/>
              <w:rPr>
                <w:rFonts w:cstheme="minorHAnsi"/>
                <w:sz w:val="16"/>
                <w:szCs w:val="16"/>
              </w:rPr>
            </w:pPr>
            <w:r w:rsidRPr="00EA3458">
              <w:rPr>
                <w:rFonts w:cstheme="minorHAnsi"/>
                <w:sz w:val="16"/>
                <w:szCs w:val="16"/>
              </w:rPr>
              <w:t>Y</w:t>
            </w:r>
          </w:p>
          <w:p w14:paraId="44A3ED31" w14:textId="77777777" w:rsidR="00434810" w:rsidRPr="00EA3458" w:rsidRDefault="00434810" w:rsidP="00205455">
            <w:pPr>
              <w:spacing w:after="0"/>
              <w:jc w:val="center"/>
              <w:rPr>
                <w:rFonts w:cstheme="minorHAnsi"/>
                <w:strike/>
                <w:sz w:val="16"/>
                <w:szCs w:val="16"/>
              </w:rPr>
            </w:pPr>
            <w:r w:rsidRPr="00EA3458">
              <w:rPr>
                <w:rFonts w:cstheme="minorHAnsi"/>
                <w:sz w:val="16"/>
                <w:szCs w:val="16"/>
              </w:rPr>
              <w:t>(20)</w:t>
            </w:r>
          </w:p>
        </w:tc>
        <w:tc>
          <w:tcPr>
            <w:tcW w:w="472" w:type="pct"/>
            <w:tcBorders>
              <w:top w:val="dotted" w:sz="4" w:space="0" w:color="auto"/>
              <w:left w:val="single" w:sz="4" w:space="0" w:color="auto"/>
              <w:bottom w:val="dotted" w:sz="4" w:space="0" w:color="auto"/>
              <w:right w:val="single" w:sz="4" w:space="0" w:color="auto"/>
            </w:tcBorders>
            <w:vAlign w:val="center"/>
            <w:hideMark/>
          </w:tcPr>
          <w:p w14:paraId="5FCF5162" w14:textId="77777777" w:rsidR="00434810" w:rsidRPr="00EA3458" w:rsidRDefault="00434810" w:rsidP="00205455">
            <w:pPr>
              <w:spacing w:after="0"/>
              <w:jc w:val="center"/>
              <w:rPr>
                <w:rFonts w:cstheme="minorHAnsi"/>
                <w:sz w:val="16"/>
                <w:szCs w:val="16"/>
              </w:rPr>
            </w:pPr>
            <w:r w:rsidRPr="00EA3458">
              <w:rPr>
                <w:rFonts w:cstheme="minorHAnsi"/>
                <w:sz w:val="16"/>
                <w:szCs w:val="16"/>
              </w:rPr>
              <w:t>N</w:t>
            </w:r>
          </w:p>
        </w:tc>
        <w:tc>
          <w:tcPr>
            <w:tcW w:w="530" w:type="pct"/>
            <w:tcBorders>
              <w:top w:val="dotted" w:sz="4" w:space="0" w:color="auto"/>
              <w:left w:val="single" w:sz="4" w:space="0" w:color="auto"/>
              <w:bottom w:val="dotted" w:sz="4" w:space="0" w:color="auto"/>
              <w:right w:val="single" w:sz="4" w:space="0" w:color="auto"/>
            </w:tcBorders>
            <w:vAlign w:val="center"/>
            <w:hideMark/>
          </w:tcPr>
          <w:p w14:paraId="2F71FB9D" w14:textId="77777777" w:rsidR="00434810" w:rsidRPr="00EA3458" w:rsidRDefault="00434810" w:rsidP="00205455">
            <w:pPr>
              <w:spacing w:after="0"/>
              <w:jc w:val="center"/>
              <w:rPr>
                <w:rFonts w:cstheme="minorHAnsi"/>
                <w:sz w:val="16"/>
                <w:szCs w:val="16"/>
              </w:rPr>
            </w:pPr>
            <w:r w:rsidRPr="00EA3458">
              <w:rPr>
                <w:rFonts w:cstheme="minorHAnsi"/>
                <w:sz w:val="16"/>
                <w:szCs w:val="16"/>
              </w:rPr>
              <w:t>Y</w:t>
            </w:r>
          </w:p>
          <w:p w14:paraId="42CE75CD" w14:textId="77777777" w:rsidR="00434810" w:rsidRPr="00EA3458" w:rsidRDefault="00434810" w:rsidP="00205455">
            <w:pPr>
              <w:spacing w:after="0"/>
              <w:jc w:val="center"/>
              <w:rPr>
                <w:sz w:val="16"/>
                <w:szCs w:val="16"/>
              </w:rPr>
            </w:pPr>
            <w:r w:rsidRPr="00EA3458">
              <w:rPr>
                <w:sz w:val="16"/>
                <w:szCs w:val="16"/>
              </w:rPr>
              <w:t>(non-accredit.: 30)</w:t>
            </w:r>
          </w:p>
        </w:tc>
      </w:tr>
      <w:tr w:rsidR="00434810" w:rsidRPr="00EA3458" w14:paraId="00796012" w14:textId="77777777" w:rsidTr="004E0719">
        <w:trPr>
          <w:trHeight w:val="20"/>
        </w:trPr>
        <w:tc>
          <w:tcPr>
            <w:tcW w:w="992" w:type="pct"/>
            <w:tcBorders>
              <w:top w:val="dotted" w:sz="4" w:space="0" w:color="auto"/>
              <w:left w:val="single" w:sz="4" w:space="0" w:color="auto"/>
              <w:bottom w:val="dotted" w:sz="4" w:space="0" w:color="auto"/>
              <w:right w:val="single" w:sz="4" w:space="0" w:color="auto"/>
            </w:tcBorders>
            <w:hideMark/>
          </w:tcPr>
          <w:p w14:paraId="1AA3F1CD" w14:textId="77777777" w:rsidR="00434810" w:rsidRPr="00EA3458" w:rsidRDefault="00434810" w:rsidP="00205455">
            <w:pPr>
              <w:spacing w:after="0"/>
              <w:jc w:val="left"/>
              <w:rPr>
                <w:rFonts w:cstheme="minorHAnsi"/>
                <w:sz w:val="16"/>
                <w:szCs w:val="16"/>
              </w:rPr>
            </w:pPr>
            <w:r w:rsidRPr="00EA3458">
              <w:rPr>
                <w:rFonts w:cstheme="minorHAnsi"/>
                <w:sz w:val="16"/>
                <w:szCs w:val="16"/>
              </w:rPr>
              <w:t>Prescriber training</w:t>
            </w:r>
          </w:p>
        </w:tc>
        <w:tc>
          <w:tcPr>
            <w:tcW w:w="501" w:type="pct"/>
            <w:tcBorders>
              <w:top w:val="dotted" w:sz="4" w:space="0" w:color="auto"/>
              <w:left w:val="single" w:sz="4" w:space="0" w:color="auto"/>
              <w:bottom w:val="dotted" w:sz="4" w:space="0" w:color="auto"/>
              <w:right w:val="single" w:sz="4" w:space="0" w:color="auto"/>
            </w:tcBorders>
            <w:vAlign w:val="center"/>
            <w:hideMark/>
          </w:tcPr>
          <w:p w14:paraId="1E80046A" w14:textId="77777777" w:rsidR="00434810" w:rsidRPr="00EA3458" w:rsidRDefault="00434810" w:rsidP="00205455">
            <w:pPr>
              <w:spacing w:after="0"/>
              <w:jc w:val="center"/>
              <w:rPr>
                <w:rFonts w:cstheme="minorHAnsi"/>
                <w:sz w:val="16"/>
                <w:szCs w:val="16"/>
              </w:rPr>
            </w:pPr>
            <w:r w:rsidRPr="00EA3458">
              <w:rPr>
                <w:rFonts w:cstheme="minorHAnsi"/>
                <w:sz w:val="16"/>
                <w:szCs w:val="16"/>
              </w:rPr>
              <w:t>Y</w:t>
            </w:r>
          </w:p>
          <w:p w14:paraId="3036202A" w14:textId="77777777" w:rsidR="00434810" w:rsidRPr="00EA3458" w:rsidRDefault="00434810" w:rsidP="00205455">
            <w:pPr>
              <w:spacing w:after="0"/>
              <w:jc w:val="center"/>
              <w:rPr>
                <w:rFonts w:cstheme="minorHAnsi"/>
                <w:sz w:val="16"/>
                <w:szCs w:val="16"/>
              </w:rPr>
            </w:pPr>
            <w:r w:rsidRPr="00EA3458">
              <w:rPr>
                <w:rFonts w:cstheme="minorHAnsi"/>
                <w:sz w:val="16"/>
                <w:szCs w:val="16"/>
              </w:rPr>
              <w:t>(refresh 5 yrs)</w:t>
            </w:r>
          </w:p>
        </w:tc>
        <w:tc>
          <w:tcPr>
            <w:tcW w:w="538" w:type="pct"/>
            <w:tcBorders>
              <w:top w:val="dotted" w:sz="4" w:space="0" w:color="auto"/>
              <w:left w:val="single" w:sz="4" w:space="0" w:color="auto"/>
              <w:bottom w:val="dotted" w:sz="4" w:space="0" w:color="auto"/>
              <w:right w:val="single" w:sz="4" w:space="0" w:color="auto"/>
            </w:tcBorders>
            <w:vAlign w:val="center"/>
            <w:hideMark/>
          </w:tcPr>
          <w:p w14:paraId="277CB3F1" w14:textId="77777777" w:rsidR="00434810" w:rsidRPr="00EA3458" w:rsidRDefault="00434810" w:rsidP="00205455">
            <w:pPr>
              <w:spacing w:after="0"/>
              <w:jc w:val="center"/>
              <w:rPr>
                <w:rFonts w:cstheme="minorHAnsi"/>
                <w:sz w:val="16"/>
                <w:szCs w:val="16"/>
              </w:rPr>
            </w:pPr>
            <w:r w:rsidRPr="00EA3458">
              <w:rPr>
                <w:rFonts w:cstheme="minorHAnsi"/>
                <w:sz w:val="16"/>
                <w:szCs w:val="16"/>
              </w:rPr>
              <w:t>Y</w:t>
            </w:r>
          </w:p>
        </w:tc>
        <w:tc>
          <w:tcPr>
            <w:tcW w:w="464" w:type="pct"/>
            <w:tcBorders>
              <w:top w:val="dotted" w:sz="4" w:space="0" w:color="auto"/>
              <w:left w:val="single" w:sz="4" w:space="0" w:color="auto"/>
              <w:bottom w:val="dotted" w:sz="4" w:space="0" w:color="auto"/>
              <w:right w:val="single" w:sz="4" w:space="0" w:color="auto"/>
            </w:tcBorders>
            <w:vAlign w:val="center"/>
            <w:hideMark/>
          </w:tcPr>
          <w:p w14:paraId="760FDF5E" w14:textId="77777777" w:rsidR="00434810" w:rsidRPr="00EA3458" w:rsidRDefault="00434810" w:rsidP="00205455">
            <w:pPr>
              <w:spacing w:after="0"/>
              <w:jc w:val="center"/>
              <w:rPr>
                <w:rFonts w:cstheme="minorHAnsi"/>
                <w:sz w:val="16"/>
                <w:szCs w:val="16"/>
              </w:rPr>
            </w:pPr>
            <w:r w:rsidRPr="00EA3458">
              <w:rPr>
                <w:rFonts w:cstheme="minorHAnsi"/>
                <w:sz w:val="16"/>
                <w:szCs w:val="16"/>
              </w:rPr>
              <w:t>Y</w:t>
            </w:r>
          </w:p>
        </w:tc>
        <w:tc>
          <w:tcPr>
            <w:tcW w:w="501" w:type="pct"/>
            <w:tcBorders>
              <w:top w:val="dotted" w:sz="4" w:space="0" w:color="auto"/>
              <w:left w:val="single" w:sz="4" w:space="0" w:color="auto"/>
              <w:bottom w:val="dotted" w:sz="4" w:space="0" w:color="auto"/>
              <w:right w:val="single" w:sz="4" w:space="0" w:color="auto"/>
            </w:tcBorders>
            <w:vAlign w:val="center"/>
            <w:hideMark/>
          </w:tcPr>
          <w:p w14:paraId="59F9098A" w14:textId="77777777" w:rsidR="00434810" w:rsidRPr="00EA3458" w:rsidRDefault="00434810" w:rsidP="00205455">
            <w:pPr>
              <w:spacing w:after="0"/>
              <w:jc w:val="center"/>
              <w:rPr>
                <w:rFonts w:cstheme="minorHAnsi"/>
                <w:sz w:val="16"/>
                <w:szCs w:val="16"/>
              </w:rPr>
            </w:pPr>
            <w:r w:rsidRPr="00EA3458">
              <w:rPr>
                <w:rFonts w:cstheme="minorHAnsi"/>
                <w:sz w:val="16"/>
                <w:szCs w:val="16"/>
              </w:rPr>
              <w:t>Y</w:t>
            </w:r>
          </w:p>
        </w:tc>
        <w:tc>
          <w:tcPr>
            <w:tcW w:w="501" w:type="pct"/>
            <w:tcBorders>
              <w:top w:val="dotted" w:sz="4" w:space="0" w:color="auto"/>
              <w:left w:val="single" w:sz="4" w:space="0" w:color="auto"/>
              <w:bottom w:val="dotted" w:sz="4" w:space="0" w:color="auto"/>
              <w:right w:val="single" w:sz="4" w:space="0" w:color="auto"/>
            </w:tcBorders>
            <w:vAlign w:val="center"/>
            <w:hideMark/>
          </w:tcPr>
          <w:p w14:paraId="41EFDEA8" w14:textId="77777777" w:rsidR="00434810" w:rsidRPr="00EA3458" w:rsidRDefault="00434810" w:rsidP="00205455">
            <w:pPr>
              <w:spacing w:after="0"/>
              <w:jc w:val="center"/>
              <w:rPr>
                <w:rFonts w:cstheme="minorHAnsi"/>
                <w:sz w:val="16"/>
                <w:szCs w:val="16"/>
              </w:rPr>
            </w:pPr>
            <w:r w:rsidRPr="00EA3458">
              <w:rPr>
                <w:rFonts w:cstheme="minorHAnsi"/>
                <w:sz w:val="16"/>
                <w:szCs w:val="16"/>
              </w:rPr>
              <w:t>Y</w:t>
            </w:r>
          </w:p>
        </w:tc>
        <w:tc>
          <w:tcPr>
            <w:tcW w:w="501" w:type="pct"/>
            <w:tcBorders>
              <w:top w:val="dotted" w:sz="4" w:space="0" w:color="auto"/>
              <w:left w:val="single" w:sz="4" w:space="0" w:color="auto"/>
              <w:bottom w:val="dotted" w:sz="4" w:space="0" w:color="auto"/>
              <w:right w:val="single" w:sz="4" w:space="0" w:color="auto"/>
            </w:tcBorders>
            <w:vAlign w:val="center"/>
            <w:hideMark/>
          </w:tcPr>
          <w:p w14:paraId="2A3D9F9C" w14:textId="77777777" w:rsidR="00434810" w:rsidRPr="00EA3458" w:rsidRDefault="00434810" w:rsidP="00205455">
            <w:pPr>
              <w:spacing w:after="0"/>
              <w:jc w:val="center"/>
              <w:rPr>
                <w:rFonts w:cstheme="minorHAnsi"/>
                <w:sz w:val="16"/>
                <w:szCs w:val="16"/>
              </w:rPr>
            </w:pPr>
            <w:r w:rsidRPr="00EA3458">
              <w:rPr>
                <w:rFonts w:cstheme="minorHAnsi"/>
                <w:sz w:val="16"/>
                <w:szCs w:val="16"/>
              </w:rPr>
              <w:t>Y</w:t>
            </w:r>
          </w:p>
        </w:tc>
        <w:tc>
          <w:tcPr>
            <w:tcW w:w="472" w:type="pct"/>
            <w:tcBorders>
              <w:top w:val="dotted" w:sz="4" w:space="0" w:color="auto"/>
              <w:left w:val="single" w:sz="4" w:space="0" w:color="auto"/>
              <w:bottom w:val="dotted" w:sz="4" w:space="0" w:color="auto"/>
              <w:right w:val="single" w:sz="4" w:space="0" w:color="auto"/>
            </w:tcBorders>
            <w:vAlign w:val="center"/>
            <w:hideMark/>
          </w:tcPr>
          <w:p w14:paraId="1920EF94" w14:textId="6C844D88" w:rsidR="00434810" w:rsidRPr="00EA3458" w:rsidRDefault="00810E28" w:rsidP="00205455">
            <w:pPr>
              <w:spacing w:after="0"/>
              <w:jc w:val="center"/>
              <w:rPr>
                <w:rFonts w:cstheme="minorHAnsi"/>
                <w:sz w:val="16"/>
                <w:szCs w:val="16"/>
              </w:rPr>
            </w:pPr>
            <w:r>
              <w:rPr>
                <w:rFonts w:cstheme="minorHAnsi"/>
                <w:sz w:val="16"/>
                <w:szCs w:val="16"/>
              </w:rPr>
              <w:t>Y</w:t>
            </w:r>
          </w:p>
        </w:tc>
        <w:tc>
          <w:tcPr>
            <w:tcW w:w="530" w:type="pct"/>
            <w:tcBorders>
              <w:top w:val="dotted" w:sz="4" w:space="0" w:color="auto"/>
              <w:left w:val="single" w:sz="4" w:space="0" w:color="auto"/>
              <w:bottom w:val="dotted" w:sz="4" w:space="0" w:color="auto"/>
              <w:right w:val="single" w:sz="4" w:space="0" w:color="auto"/>
            </w:tcBorders>
            <w:vAlign w:val="center"/>
            <w:hideMark/>
          </w:tcPr>
          <w:p w14:paraId="1F93B452" w14:textId="77777777" w:rsidR="00434810" w:rsidRPr="00EA3458" w:rsidRDefault="00434810" w:rsidP="00205455">
            <w:pPr>
              <w:spacing w:after="0"/>
              <w:jc w:val="center"/>
              <w:rPr>
                <w:rFonts w:cstheme="minorHAnsi"/>
                <w:sz w:val="16"/>
                <w:szCs w:val="16"/>
              </w:rPr>
            </w:pPr>
            <w:r w:rsidRPr="00EA3458">
              <w:rPr>
                <w:rFonts w:cstheme="minorHAnsi"/>
                <w:sz w:val="16"/>
                <w:szCs w:val="16"/>
              </w:rPr>
              <w:t>Y</w:t>
            </w:r>
          </w:p>
        </w:tc>
      </w:tr>
      <w:tr w:rsidR="00434810" w:rsidRPr="00EA3458" w14:paraId="2B4A2428" w14:textId="77777777" w:rsidTr="004E0719">
        <w:trPr>
          <w:trHeight w:val="20"/>
        </w:trPr>
        <w:tc>
          <w:tcPr>
            <w:tcW w:w="992" w:type="pct"/>
            <w:tcBorders>
              <w:top w:val="dotted" w:sz="4" w:space="0" w:color="auto"/>
              <w:left w:val="single" w:sz="4" w:space="0" w:color="auto"/>
              <w:bottom w:val="dotted" w:sz="4" w:space="0" w:color="auto"/>
              <w:right w:val="single" w:sz="4" w:space="0" w:color="auto"/>
            </w:tcBorders>
            <w:hideMark/>
          </w:tcPr>
          <w:p w14:paraId="4B674172" w14:textId="09FFC9DC" w:rsidR="00434810" w:rsidRPr="00EA3458" w:rsidRDefault="00434810" w:rsidP="00205455">
            <w:pPr>
              <w:spacing w:after="0"/>
              <w:jc w:val="left"/>
              <w:rPr>
                <w:sz w:val="16"/>
                <w:szCs w:val="16"/>
              </w:rPr>
            </w:pPr>
            <w:r w:rsidRPr="00EA3458">
              <w:rPr>
                <w:sz w:val="16"/>
                <w:szCs w:val="16"/>
              </w:rPr>
              <w:t>Specific approval required by community pharmacies to supply O</w:t>
            </w:r>
            <w:r w:rsidR="00D1454C">
              <w:rPr>
                <w:sz w:val="16"/>
                <w:szCs w:val="16"/>
              </w:rPr>
              <w:t>D</w:t>
            </w:r>
            <w:r w:rsidRPr="00EA3458">
              <w:rPr>
                <w:sz w:val="16"/>
                <w:szCs w:val="16"/>
              </w:rPr>
              <w:t>T medicines</w:t>
            </w:r>
          </w:p>
        </w:tc>
        <w:tc>
          <w:tcPr>
            <w:tcW w:w="501" w:type="pct"/>
            <w:tcBorders>
              <w:top w:val="dotted" w:sz="4" w:space="0" w:color="auto"/>
              <w:left w:val="single" w:sz="4" w:space="0" w:color="auto"/>
              <w:bottom w:val="dotted" w:sz="4" w:space="0" w:color="auto"/>
              <w:right w:val="single" w:sz="4" w:space="0" w:color="auto"/>
            </w:tcBorders>
            <w:vAlign w:val="center"/>
            <w:hideMark/>
          </w:tcPr>
          <w:p w14:paraId="53468104" w14:textId="77777777" w:rsidR="00434810" w:rsidRPr="00EA3458" w:rsidRDefault="00434810" w:rsidP="00205455">
            <w:pPr>
              <w:spacing w:after="0"/>
              <w:jc w:val="center"/>
              <w:rPr>
                <w:rFonts w:cstheme="minorHAnsi"/>
                <w:sz w:val="16"/>
                <w:szCs w:val="16"/>
              </w:rPr>
            </w:pPr>
            <w:r w:rsidRPr="00EA3458">
              <w:rPr>
                <w:rFonts w:cstheme="minorHAnsi"/>
                <w:sz w:val="16"/>
                <w:szCs w:val="16"/>
              </w:rPr>
              <w:t>Y</w:t>
            </w:r>
          </w:p>
          <w:p w14:paraId="52D04A26" w14:textId="77777777" w:rsidR="00434810" w:rsidRPr="00EA3458" w:rsidRDefault="00434810" w:rsidP="00205455">
            <w:pPr>
              <w:spacing w:after="0"/>
              <w:jc w:val="center"/>
              <w:rPr>
                <w:rFonts w:cstheme="minorHAnsi"/>
                <w:sz w:val="16"/>
                <w:szCs w:val="16"/>
              </w:rPr>
            </w:pPr>
            <w:r w:rsidRPr="00EA3458">
              <w:rPr>
                <w:rFonts w:cstheme="minorHAnsi"/>
                <w:sz w:val="16"/>
                <w:szCs w:val="16"/>
              </w:rPr>
              <w:t>(regs)</w:t>
            </w:r>
          </w:p>
        </w:tc>
        <w:tc>
          <w:tcPr>
            <w:tcW w:w="538" w:type="pct"/>
            <w:tcBorders>
              <w:top w:val="dotted" w:sz="4" w:space="0" w:color="auto"/>
              <w:left w:val="single" w:sz="4" w:space="0" w:color="auto"/>
              <w:bottom w:val="dotted" w:sz="4" w:space="0" w:color="auto"/>
              <w:right w:val="single" w:sz="4" w:space="0" w:color="auto"/>
            </w:tcBorders>
            <w:vAlign w:val="center"/>
            <w:hideMark/>
          </w:tcPr>
          <w:p w14:paraId="1BB96986" w14:textId="77777777" w:rsidR="00434810" w:rsidRPr="00EA3458" w:rsidRDefault="00434810" w:rsidP="00205455">
            <w:pPr>
              <w:spacing w:after="0"/>
              <w:jc w:val="center"/>
              <w:rPr>
                <w:rFonts w:cstheme="minorHAnsi"/>
                <w:sz w:val="16"/>
                <w:szCs w:val="16"/>
              </w:rPr>
            </w:pPr>
            <w:r w:rsidRPr="00EA3458">
              <w:rPr>
                <w:rFonts w:cstheme="minorHAnsi"/>
                <w:sz w:val="16"/>
                <w:szCs w:val="16"/>
              </w:rPr>
              <w:t>Y</w:t>
            </w:r>
          </w:p>
          <w:p w14:paraId="33120BBA" w14:textId="77777777" w:rsidR="00434810" w:rsidRPr="00EA3458" w:rsidRDefault="00434810" w:rsidP="00205455">
            <w:pPr>
              <w:spacing w:after="0"/>
              <w:jc w:val="center"/>
              <w:rPr>
                <w:rFonts w:cstheme="minorHAnsi"/>
                <w:sz w:val="16"/>
                <w:szCs w:val="16"/>
              </w:rPr>
            </w:pPr>
            <w:r w:rsidRPr="00EA3458">
              <w:rPr>
                <w:rFonts w:cstheme="minorHAnsi"/>
                <w:sz w:val="16"/>
                <w:szCs w:val="16"/>
              </w:rPr>
              <w:t>(policy)</w:t>
            </w:r>
          </w:p>
        </w:tc>
        <w:tc>
          <w:tcPr>
            <w:tcW w:w="464" w:type="pct"/>
            <w:tcBorders>
              <w:top w:val="dotted" w:sz="4" w:space="0" w:color="auto"/>
              <w:left w:val="single" w:sz="4" w:space="0" w:color="auto"/>
              <w:bottom w:val="dotted" w:sz="4" w:space="0" w:color="auto"/>
              <w:right w:val="single" w:sz="4" w:space="0" w:color="auto"/>
            </w:tcBorders>
            <w:vAlign w:val="center"/>
            <w:hideMark/>
          </w:tcPr>
          <w:p w14:paraId="5658B470" w14:textId="522ADD8C" w:rsidR="00434810" w:rsidRPr="00EA3458" w:rsidRDefault="00434810" w:rsidP="00205455">
            <w:pPr>
              <w:spacing w:after="0"/>
              <w:jc w:val="center"/>
              <w:rPr>
                <w:sz w:val="16"/>
                <w:szCs w:val="16"/>
              </w:rPr>
            </w:pPr>
            <w:r w:rsidRPr="00EA3458">
              <w:rPr>
                <w:sz w:val="16"/>
                <w:szCs w:val="16"/>
              </w:rPr>
              <w:t>N</w:t>
            </w:r>
          </w:p>
          <w:p w14:paraId="240F0CAC" w14:textId="77777777" w:rsidR="00434810" w:rsidRPr="00EA3458" w:rsidRDefault="00434810" w:rsidP="00205455">
            <w:pPr>
              <w:spacing w:after="0"/>
              <w:jc w:val="center"/>
              <w:rPr>
                <w:sz w:val="16"/>
                <w:szCs w:val="16"/>
              </w:rPr>
            </w:pPr>
            <w:r w:rsidRPr="00EA3458">
              <w:rPr>
                <w:sz w:val="16"/>
                <w:szCs w:val="16"/>
              </w:rPr>
              <w:t>(broader Sch8)</w:t>
            </w:r>
          </w:p>
        </w:tc>
        <w:tc>
          <w:tcPr>
            <w:tcW w:w="501" w:type="pct"/>
            <w:tcBorders>
              <w:top w:val="dotted" w:sz="4" w:space="0" w:color="auto"/>
              <w:left w:val="single" w:sz="4" w:space="0" w:color="auto"/>
              <w:bottom w:val="dotted" w:sz="4" w:space="0" w:color="auto"/>
              <w:right w:val="single" w:sz="4" w:space="0" w:color="auto"/>
            </w:tcBorders>
            <w:vAlign w:val="center"/>
            <w:hideMark/>
          </w:tcPr>
          <w:p w14:paraId="7065F01C" w14:textId="77777777" w:rsidR="00434810" w:rsidRPr="00EA3458" w:rsidRDefault="00434810" w:rsidP="00205455">
            <w:pPr>
              <w:spacing w:after="0"/>
              <w:jc w:val="center"/>
              <w:rPr>
                <w:rFonts w:cstheme="minorHAnsi"/>
                <w:sz w:val="16"/>
                <w:szCs w:val="16"/>
              </w:rPr>
            </w:pPr>
            <w:r w:rsidRPr="00EA3458">
              <w:rPr>
                <w:rFonts w:cstheme="minorHAnsi"/>
                <w:sz w:val="16"/>
                <w:szCs w:val="16"/>
              </w:rPr>
              <w:t>Y</w:t>
            </w:r>
          </w:p>
          <w:p w14:paraId="11B942E8" w14:textId="77777777" w:rsidR="00434810" w:rsidRPr="00EA3458" w:rsidRDefault="00434810" w:rsidP="00205455">
            <w:pPr>
              <w:spacing w:after="0"/>
              <w:jc w:val="center"/>
              <w:rPr>
                <w:rFonts w:cstheme="minorHAnsi"/>
                <w:sz w:val="16"/>
                <w:szCs w:val="16"/>
              </w:rPr>
            </w:pPr>
            <w:r w:rsidRPr="00EA3458">
              <w:rPr>
                <w:rFonts w:cstheme="minorHAnsi"/>
                <w:sz w:val="16"/>
                <w:szCs w:val="16"/>
              </w:rPr>
              <w:t>(regs)</w:t>
            </w:r>
          </w:p>
        </w:tc>
        <w:tc>
          <w:tcPr>
            <w:tcW w:w="501" w:type="pct"/>
            <w:tcBorders>
              <w:top w:val="dotted" w:sz="4" w:space="0" w:color="auto"/>
              <w:left w:val="single" w:sz="4" w:space="0" w:color="auto"/>
              <w:bottom w:val="dotted" w:sz="4" w:space="0" w:color="auto"/>
              <w:right w:val="single" w:sz="4" w:space="0" w:color="auto"/>
            </w:tcBorders>
            <w:vAlign w:val="center"/>
            <w:hideMark/>
          </w:tcPr>
          <w:p w14:paraId="0B4884F1" w14:textId="51822424" w:rsidR="00434810" w:rsidRPr="00EA3458" w:rsidRDefault="00434810" w:rsidP="00205455">
            <w:pPr>
              <w:spacing w:after="0"/>
              <w:jc w:val="center"/>
              <w:rPr>
                <w:sz w:val="16"/>
                <w:szCs w:val="16"/>
              </w:rPr>
            </w:pPr>
            <w:r w:rsidRPr="00EA3458">
              <w:rPr>
                <w:sz w:val="16"/>
                <w:szCs w:val="16"/>
              </w:rPr>
              <w:t>N</w:t>
            </w:r>
          </w:p>
          <w:p w14:paraId="7820D00A" w14:textId="77777777" w:rsidR="00434810" w:rsidRPr="00EA3458" w:rsidRDefault="00434810" w:rsidP="00205455">
            <w:pPr>
              <w:spacing w:after="0"/>
              <w:jc w:val="center"/>
              <w:rPr>
                <w:sz w:val="16"/>
                <w:szCs w:val="16"/>
              </w:rPr>
            </w:pPr>
            <w:r w:rsidRPr="00EA3458">
              <w:rPr>
                <w:sz w:val="16"/>
                <w:szCs w:val="16"/>
              </w:rPr>
              <w:t>(Broader Sch8)</w:t>
            </w:r>
          </w:p>
        </w:tc>
        <w:tc>
          <w:tcPr>
            <w:tcW w:w="501" w:type="pct"/>
            <w:tcBorders>
              <w:top w:val="dotted" w:sz="4" w:space="0" w:color="auto"/>
              <w:left w:val="single" w:sz="4" w:space="0" w:color="auto"/>
              <w:bottom w:val="dotted" w:sz="4" w:space="0" w:color="auto"/>
              <w:right w:val="single" w:sz="4" w:space="0" w:color="auto"/>
            </w:tcBorders>
            <w:vAlign w:val="center"/>
            <w:hideMark/>
          </w:tcPr>
          <w:p w14:paraId="1DD9FC35" w14:textId="77777777" w:rsidR="00434810" w:rsidRPr="00EA3458" w:rsidRDefault="00434810" w:rsidP="00205455">
            <w:pPr>
              <w:spacing w:after="0"/>
              <w:jc w:val="center"/>
              <w:rPr>
                <w:rFonts w:cstheme="minorHAnsi"/>
                <w:sz w:val="16"/>
                <w:szCs w:val="16"/>
              </w:rPr>
            </w:pPr>
            <w:r w:rsidRPr="00EA3458">
              <w:rPr>
                <w:rFonts w:cstheme="minorHAnsi"/>
                <w:sz w:val="16"/>
                <w:szCs w:val="16"/>
              </w:rPr>
              <w:t>Y</w:t>
            </w:r>
          </w:p>
          <w:p w14:paraId="4EAD385F" w14:textId="77777777" w:rsidR="00434810" w:rsidRPr="00EA3458" w:rsidRDefault="00434810" w:rsidP="00205455">
            <w:pPr>
              <w:spacing w:after="0"/>
              <w:jc w:val="center"/>
              <w:rPr>
                <w:rFonts w:cstheme="minorHAnsi"/>
                <w:sz w:val="16"/>
                <w:szCs w:val="16"/>
              </w:rPr>
            </w:pPr>
            <w:r w:rsidRPr="00EA3458">
              <w:rPr>
                <w:rFonts w:cstheme="minorHAnsi"/>
                <w:sz w:val="16"/>
                <w:szCs w:val="16"/>
              </w:rPr>
              <w:t>(act)</w:t>
            </w:r>
          </w:p>
        </w:tc>
        <w:tc>
          <w:tcPr>
            <w:tcW w:w="472" w:type="pct"/>
            <w:tcBorders>
              <w:top w:val="dotted" w:sz="4" w:space="0" w:color="auto"/>
              <w:left w:val="single" w:sz="4" w:space="0" w:color="auto"/>
              <w:bottom w:val="dotted" w:sz="4" w:space="0" w:color="auto"/>
              <w:right w:val="single" w:sz="4" w:space="0" w:color="auto"/>
            </w:tcBorders>
            <w:vAlign w:val="center"/>
            <w:hideMark/>
          </w:tcPr>
          <w:p w14:paraId="66587A6A" w14:textId="77777777" w:rsidR="00434810" w:rsidRPr="00EA3458" w:rsidRDefault="00434810" w:rsidP="00205455">
            <w:pPr>
              <w:spacing w:after="0"/>
              <w:jc w:val="center"/>
              <w:rPr>
                <w:rFonts w:cstheme="minorHAnsi"/>
                <w:sz w:val="16"/>
                <w:szCs w:val="16"/>
              </w:rPr>
            </w:pPr>
            <w:r w:rsidRPr="00EA3458">
              <w:rPr>
                <w:rFonts w:cstheme="minorHAnsi"/>
                <w:sz w:val="16"/>
                <w:szCs w:val="16"/>
              </w:rPr>
              <w:t>N</w:t>
            </w:r>
          </w:p>
        </w:tc>
        <w:tc>
          <w:tcPr>
            <w:tcW w:w="530" w:type="pct"/>
            <w:tcBorders>
              <w:top w:val="dotted" w:sz="4" w:space="0" w:color="auto"/>
              <w:left w:val="single" w:sz="4" w:space="0" w:color="auto"/>
              <w:bottom w:val="dotted" w:sz="4" w:space="0" w:color="auto"/>
              <w:right w:val="single" w:sz="4" w:space="0" w:color="auto"/>
            </w:tcBorders>
            <w:vAlign w:val="center"/>
            <w:hideMark/>
          </w:tcPr>
          <w:p w14:paraId="6B5D0F8B" w14:textId="274FBE77" w:rsidR="00434810" w:rsidRPr="00EA3458" w:rsidRDefault="00434810" w:rsidP="00205455">
            <w:pPr>
              <w:spacing w:after="0"/>
              <w:jc w:val="center"/>
              <w:rPr>
                <w:sz w:val="16"/>
                <w:szCs w:val="16"/>
                <w:vertAlign w:val="superscript"/>
              </w:rPr>
            </w:pPr>
            <w:r w:rsidRPr="00EA3458">
              <w:rPr>
                <w:sz w:val="16"/>
                <w:szCs w:val="16"/>
              </w:rPr>
              <w:t>Y</w:t>
            </w:r>
            <w:r w:rsidR="00E71EF6" w:rsidRPr="00E71EF6">
              <w:rPr>
                <w:rFonts w:eastAsia="Calibri" w:cs="Calibri"/>
                <w:sz w:val="16"/>
                <w:szCs w:val="16"/>
                <w:vertAlign w:val="superscript"/>
              </w:rPr>
              <w:t>‡‡</w:t>
            </w:r>
          </w:p>
          <w:p w14:paraId="6C2A3BEF" w14:textId="77777777" w:rsidR="00434810" w:rsidRPr="00EA3458" w:rsidRDefault="00434810" w:rsidP="00205455">
            <w:pPr>
              <w:spacing w:after="0"/>
              <w:jc w:val="center"/>
              <w:rPr>
                <w:sz w:val="16"/>
                <w:szCs w:val="16"/>
                <w:vertAlign w:val="superscript"/>
              </w:rPr>
            </w:pPr>
            <w:r w:rsidRPr="00EA3458">
              <w:rPr>
                <w:sz w:val="16"/>
                <w:szCs w:val="16"/>
              </w:rPr>
              <w:t>(policy)</w:t>
            </w:r>
          </w:p>
        </w:tc>
      </w:tr>
      <w:tr w:rsidR="00434810" w:rsidRPr="00EA3458" w14:paraId="398B12CA" w14:textId="77777777" w:rsidTr="004E0719">
        <w:trPr>
          <w:trHeight w:val="20"/>
        </w:trPr>
        <w:tc>
          <w:tcPr>
            <w:tcW w:w="992" w:type="pct"/>
            <w:tcBorders>
              <w:top w:val="dotted" w:sz="4" w:space="0" w:color="auto"/>
              <w:left w:val="single" w:sz="4" w:space="0" w:color="auto"/>
              <w:bottom w:val="dotted" w:sz="4" w:space="0" w:color="auto"/>
              <w:right w:val="single" w:sz="4" w:space="0" w:color="auto"/>
            </w:tcBorders>
            <w:hideMark/>
          </w:tcPr>
          <w:p w14:paraId="5659CE66" w14:textId="77777777" w:rsidR="00434810" w:rsidRPr="00EA3458" w:rsidRDefault="00434810" w:rsidP="00205455">
            <w:pPr>
              <w:spacing w:after="0"/>
              <w:jc w:val="left"/>
              <w:rPr>
                <w:rFonts w:cstheme="minorHAnsi"/>
                <w:sz w:val="16"/>
                <w:szCs w:val="16"/>
              </w:rPr>
            </w:pPr>
            <w:r w:rsidRPr="00EA3458">
              <w:rPr>
                <w:rFonts w:cstheme="minorHAnsi"/>
                <w:sz w:val="16"/>
                <w:szCs w:val="16"/>
              </w:rPr>
              <w:t>Consumer cap per dosing site</w:t>
            </w:r>
          </w:p>
        </w:tc>
        <w:tc>
          <w:tcPr>
            <w:tcW w:w="501" w:type="pct"/>
            <w:tcBorders>
              <w:top w:val="dotted" w:sz="4" w:space="0" w:color="auto"/>
              <w:left w:val="single" w:sz="4" w:space="0" w:color="auto"/>
              <w:bottom w:val="dotted" w:sz="4" w:space="0" w:color="auto"/>
              <w:right w:val="single" w:sz="4" w:space="0" w:color="auto"/>
            </w:tcBorders>
            <w:vAlign w:val="center"/>
            <w:hideMark/>
          </w:tcPr>
          <w:p w14:paraId="4E4FFDEA" w14:textId="77777777" w:rsidR="00434810" w:rsidRPr="00EA3458" w:rsidRDefault="00434810" w:rsidP="00205455">
            <w:pPr>
              <w:spacing w:after="0"/>
              <w:jc w:val="center"/>
              <w:rPr>
                <w:rFonts w:cstheme="minorHAnsi"/>
                <w:sz w:val="16"/>
                <w:szCs w:val="16"/>
              </w:rPr>
            </w:pPr>
            <w:r w:rsidRPr="00EA3458">
              <w:rPr>
                <w:rFonts w:cstheme="minorHAnsi"/>
                <w:sz w:val="16"/>
                <w:szCs w:val="16"/>
              </w:rPr>
              <w:t>N</w:t>
            </w:r>
          </w:p>
        </w:tc>
        <w:tc>
          <w:tcPr>
            <w:tcW w:w="538" w:type="pct"/>
            <w:tcBorders>
              <w:top w:val="dotted" w:sz="4" w:space="0" w:color="auto"/>
              <w:left w:val="single" w:sz="4" w:space="0" w:color="auto"/>
              <w:bottom w:val="dotted" w:sz="4" w:space="0" w:color="auto"/>
              <w:right w:val="single" w:sz="4" w:space="0" w:color="auto"/>
            </w:tcBorders>
            <w:vAlign w:val="center"/>
            <w:hideMark/>
          </w:tcPr>
          <w:p w14:paraId="6DCCD232" w14:textId="77777777" w:rsidR="00434810" w:rsidRPr="00EA3458" w:rsidRDefault="00434810" w:rsidP="00205455">
            <w:pPr>
              <w:spacing w:after="0"/>
              <w:jc w:val="center"/>
              <w:rPr>
                <w:sz w:val="16"/>
                <w:szCs w:val="16"/>
              </w:rPr>
            </w:pPr>
            <w:r w:rsidRPr="00EA3458">
              <w:rPr>
                <w:sz w:val="16"/>
                <w:szCs w:val="16"/>
              </w:rPr>
              <w:t>Y (65)</w:t>
            </w:r>
          </w:p>
        </w:tc>
        <w:tc>
          <w:tcPr>
            <w:tcW w:w="464" w:type="pct"/>
            <w:tcBorders>
              <w:top w:val="dotted" w:sz="4" w:space="0" w:color="auto"/>
              <w:left w:val="single" w:sz="4" w:space="0" w:color="auto"/>
              <w:bottom w:val="dotted" w:sz="4" w:space="0" w:color="auto"/>
              <w:right w:val="single" w:sz="4" w:space="0" w:color="auto"/>
            </w:tcBorders>
            <w:vAlign w:val="center"/>
            <w:hideMark/>
          </w:tcPr>
          <w:p w14:paraId="65A8C059" w14:textId="77777777" w:rsidR="00434810" w:rsidRPr="00EA3458" w:rsidRDefault="00434810" w:rsidP="00205455">
            <w:pPr>
              <w:spacing w:after="0"/>
              <w:jc w:val="center"/>
              <w:rPr>
                <w:sz w:val="16"/>
                <w:szCs w:val="16"/>
                <w:highlight w:val="yellow"/>
              </w:rPr>
            </w:pPr>
            <w:r w:rsidRPr="00EA3458">
              <w:rPr>
                <w:sz w:val="16"/>
                <w:szCs w:val="16"/>
              </w:rPr>
              <w:t>-</w:t>
            </w:r>
          </w:p>
        </w:tc>
        <w:tc>
          <w:tcPr>
            <w:tcW w:w="501" w:type="pct"/>
            <w:tcBorders>
              <w:top w:val="dotted" w:sz="4" w:space="0" w:color="auto"/>
              <w:left w:val="single" w:sz="4" w:space="0" w:color="auto"/>
              <w:bottom w:val="dotted" w:sz="4" w:space="0" w:color="auto"/>
              <w:right w:val="single" w:sz="4" w:space="0" w:color="auto"/>
            </w:tcBorders>
            <w:vAlign w:val="center"/>
            <w:hideMark/>
          </w:tcPr>
          <w:p w14:paraId="15E7FDA9" w14:textId="77777777" w:rsidR="00434810" w:rsidRPr="00EA3458" w:rsidRDefault="00434810" w:rsidP="00205455">
            <w:pPr>
              <w:spacing w:after="0"/>
              <w:jc w:val="center"/>
              <w:rPr>
                <w:sz w:val="16"/>
                <w:szCs w:val="16"/>
              </w:rPr>
            </w:pPr>
            <w:r w:rsidRPr="00EA3458">
              <w:rPr>
                <w:sz w:val="16"/>
                <w:szCs w:val="16"/>
              </w:rPr>
              <w:t>Y (50)</w:t>
            </w:r>
          </w:p>
        </w:tc>
        <w:tc>
          <w:tcPr>
            <w:tcW w:w="501" w:type="pct"/>
            <w:tcBorders>
              <w:top w:val="dotted" w:sz="4" w:space="0" w:color="auto"/>
              <w:left w:val="single" w:sz="4" w:space="0" w:color="auto"/>
              <w:bottom w:val="dotted" w:sz="4" w:space="0" w:color="auto"/>
              <w:right w:val="single" w:sz="4" w:space="0" w:color="auto"/>
            </w:tcBorders>
            <w:vAlign w:val="center"/>
            <w:hideMark/>
          </w:tcPr>
          <w:p w14:paraId="7FFB0260" w14:textId="77777777" w:rsidR="00434810" w:rsidRPr="00EA3458" w:rsidRDefault="00434810" w:rsidP="00205455">
            <w:pPr>
              <w:spacing w:after="0"/>
              <w:jc w:val="center"/>
              <w:rPr>
                <w:rFonts w:cstheme="minorHAnsi"/>
                <w:sz w:val="16"/>
                <w:szCs w:val="16"/>
              </w:rPr>
            </w:pPr>
            <w:r w:rsidRPr="00EA3458">
              <w:rPr>
                <w:rFonts w:cstheme="minorHAnsi"/>
                <w:sz w:val="16"/>
                <w:szCs w:val="16"/>
              </w:rPr>
              <w:t>N</w:t>
            </w:r>
          </w:p>
        </w:tc>
        <w:tc>
          <w:tcPr>
            <w:tcW w:w="501" w:type="pct"/>
            <w:tcBorders>
              <w:top w:val="dotted" w:sz="4" w:space="0" w:color="auto"/>
              <w:left w:val="single" w:sz="4" w:space="0" w:color="auto"/>
              <w:bottom w:val="dotted" w:sz="4" w:space="0" w:color="auto"/>
              <w:right w:val="single" w:sz="4" w:space="0" w:color="auto"/>
            </w:tcBorders>
            <w:vAlign w:val="center"/>
            <w:hideMark/>
          </w:tcPr>
          <w:p w14:paraId="5B970FBD" w14:textId="77777777" w:rsidR="00434810" w:rsidRPr="00EA3458" w:rsidRDefault="00434810" w:rsidP="00205455">
            <w:pPr>
              <w:spacing w:after="0"/>
              <w:jc w:val="center"/>
              <w:rPr>
                <w:rFonts w:cstheme="minorHAnsi"/>
                <w:sz w:val="16"/>
                <w:szCs w:val="16"/>
              </w:rPr>
            </w:pPr>
            <w:r w:rsidRPr="00EA3458">
              <w:rPr>
                <w:rFonts w:cstheme="minorHAnsi"/>
                <w:sz w:val="16"/>
                <w:szCs w:val="16"/>
              </w:rPr>
              <w:t>N</w:t>
            </w:r>
          </w:p>
        </w:tc>
        <w:tc>
          <w:tcPr>
            <w:tcW w:w="472" w:type="pct"/>
            <w:tcBorders>
              <w:top w:val="dotted" w:sz="4" w:space="0" w:color="auto"/>
              <w:left w:val="single" w:sz="4" w:space="0" w:color="auto"/>
              <w:bottom w:val="dotted" w:sz="4" w:space="0" w:color="auto"/>
              <w:right w:val="single" w:sz="4" w:space="0" w:color="auto"/>
            </w:tcBorders>
            <w:vAlign w:val="center"/>
            <w:hideMark/>
          </w:tcPr>
          <w:p w14:paraId="4D43B108" w14:textId="77777777" w:rsidR="00434810" w:rsidRPr="00EA3458" w:rsidRDefault="00434810" w:rsidP="00205455">
            <w:pPr>
              <w:spacing w:after="0"/>
              <w:jc w:val="center"/>
              <w:rPr>
                <w:rFonts w:cstheme="minorHAnsi"/>
                <w:sz w:val="16"/>
                <w:szCs w:val="16"/>
              </w:rPr>
            </w:pPr>
            <w:r w:rsidRPr="00EA3458">
              <w:rPr>
                <w:rFonts w:cstheme="minorHAnsi"/>
                <w:sz w:val="16"/>
                <w:szCs w:val="16"/>
              </w:rPr>
              <w:t>N</w:t>
            </w:r>
          </w:p>
        </w:tc>
        <w:tc>
          <w:tcPr>
            <w:tcW w:w="530" w:type="pct"/>
            <w:tcBorders>
              <w:top w:val="dotted" w:sz="4" w:space="0" w:color="auto"/>
              <w:left w:val="single" w:sz="4" w:space="0" w:color="auto"/>
              <w:bottom w:val="dotted" w:sz="4" w:space="0" w:color="auto"/>
              <w:right w:val="single" w:sz="4" w:space="0" w:color="auto"/>
            </w:tcBorders>
            <w:vAlign w:val="center"/>
            <w:hideMark/>
          </w:tcPr>
          <w:p w14:paraId="38EB64E9" w14:textId="77777777" w:rsidR="00434810" w:rsidRPr="00EA3458" w:rsidRDefault="00434810" w:rsidP="00205455">
            <w:pPr>
              <w:spacing w:after="0"/>
              <w:jc w:val="center"/>
              <w:rPr>
                <w:sz w:val="16"/>
                <w:szCs w:val="16"/>
              </w:rPr>
            </w:pPr>
            <w:r w:rsidRPr="00EA3458">
              <w:rPr>
                <w:sz w:val="16"/>
                <w:szCs w:val="16"/>
              </w:rPr>
              <w:t>Y (85)</w:t>
            </w:r>
          </w:p>
        </w:tc>
      </w:tr>
      <w:tr w:rsidR="00434810" w:rsidRPr="00EA3458" w14:paraId="54F08487" w14:textId="77777777" w:rsidTr="004E0719">
        <w:trPr>
          <w:trHeight w:val="20"/>
        </w:trPr>
        <w:tc>
          <w:tcPr>
            <w:tcW w:w="992" w:type="pct"/>
            <w:tcBorders>
              <w:top w:val="dotted" w:sz="4" w:space="0" w:color="auto"/>
              <w:left w:val="single" w:sz="4" w:space="0" w:color="auto"/>
              <w:bottom w:val="dotted" w:sz="4" w:space="0" w:color="auto"/>
              <w:right w:val="single" w:sz="4" w:space="0" w:color="auto"/>
            </w:tcBorders>
            <w:hideMark/>
          </w:tcPr>
          <w:p w14:paraId="275CA88D" w14:textId="77777777" w:rsidR="00434810" w:rsidRPr="00EA3458" w:rsidRDefault="00434810" w:rsidP="00205455">
            <w:pPr>
              <w:spacing w:after="0"/>
              <w:jc w:val="left"/>
              <w:rPr>
                <w:rFonts w:cstheme="minorHAnsi"/>
                <w:sz w:val="16"/>
                <w:szCs w:val="16"/>
              </w:rPr>
            </w:pPr>
            <w:r w:rsidRPr="00EA3458">
              <w:rPr>
                <w:rFonts w:cstheme="minorHAnsi"/>
                <w:sz w:val="16"/>
                <w:szCs w:val="16"/>
              </w:rPr>
              <w:t>Pharmacist training</w:t>
            </w:r>
          </w:p>
        </w:tc>
        <w:tc>
          <w:tcPr>
            <w:tcW w:w="501" w:type="pct"/>
            <w:tcBorders>
              <w:top w:val="dotted" w:sz="4" w:space="0" w:color="auto"/>
              <w:left w:val="single" w:sz="4" w:space="0" w:color="auto"/>
              <w:bottom w:val="dotted" w:sz="4" w:space="0" w:color="auto"/>
              <w:right w:val="single" w:sz="4" w:space="0" w:color="auto"/>
            </w:tcBorders>
            <w:vAlign w:val="center"/>
            <w:hideMark/>
          </w:tcPr>
          <w:p w14:paraId="28BAE28B" w14:textId="77777777" w:rsidR="00434810" w:rsidRPr="00EA3458" w:rsidRDefault="00434810" w:rsidP="00205455">
            <w:pPr>
              <w:spacing w:after="0"/>
              <w:jc w:val="center"/>
              <w:rPr>
                <w:rFonts w:cstheme="minorHAnsi"/>
                <w:sz w:val="16"/>
                <w:szCs w:val="16"/>
              </w:rPr>
            </w:pPr>
            <w:r w:rsidRPr="00EA3458">
              <w:rPr>
                <w:rFonts w:cstheme="minorHAnsi"/>
                <w:sz w:val="16"/>
                <w:szCs w:val="16"/>
              </w:rPr>
              <w:t>Y</w:t>
            </w:r>
          </w:p>
          <w:p w14:paraId="2491C69D" w14:textId="77777777" w:rsidR="00434810" w:rsidRPr="00EA3458" w:rsidRDefault="00434810" w:rsidP="00205455">
            <w:pPr>
              <w:spacing w:after="0"/>
              <w:jc w:val="center"/>
              <w:rPr>
                <w:rFonts w:cstheme="minorHAnsi"/>
                <w:sz w:val="16"/>
                <w:szCs w:val="16"/>
              </w:rPr>
            </w:pPr>
            <w:r w:rsidRPr="00EA3458">
              <w:rPr>
                <w:rFonts w:cstheme="minorHAnsi"/>
                <w:sz w:val="16"/>
                <w:szCs w:val="16"/>
              </w:rPr>
              <w:t>(refresh 5 yrs)</w:t>
            </w:r>
          </w:p>
        </w:tc>
        <w:tc>
          <w:tcPr>
            <w:tcW w:w="538" w:type="pct"/>
            <w:tcBorders>
              <w:top w:val="dotted" w:sz="4" w:space="0" w:color="auto"/>
              <w:left w:val="single" w:sz="4" w:space="0" w:color="auto"/>
              <w:bottom w:val="dotted" w:sz="4" w:space="0" w:color="auto"/>
              <w:right w:val="single" w:sz="4" w:space="0" w:color="auto"/>
            </w:tcBorders>
            <w:vAlign w:val="center"/>
            <w:hideMark/>
          </w:tcPr>
          <w:p w14:paraId="077D3FE4" w14:textId="77777777" w:rsidR="00434810" w:rsidRPr="00EA3458" w:rsidRDefault="00434810" w:rsidP="00205455">
            <w:pPr>
              <w:spacing w:after="0"/>
              <w:jc w:val="center"/>
              <w:rPr>
                <w:rFonts w:cstheme="minorHAnsi"/>
                <w:sz w:val="16"/>
                <w:szCs w:val="16"/>
              </w:rPr>
            </w:pPr>
            <w:r w:rsidRPr="00EA3458">
              <w:rPr>
                <w:rFonts w:cstheme="minorHAnsi"/>
                <w:sz w:val="16"/>
                <w:szCs w:val="16"/>
              </w:rPr>
              <w:t>-</w:t>
            </w:r>
          </w:p>
        </w:tc>
        <w:tc>
          <w:tcPr>
            <w:tcW w:w="464" w:type="pct"/>
            <w:tcBorders>
              <w:top w:val="dotted" w:sz="4" w:space="0" w:color="auto"/>
              <w:left w:val="single" w:sz="4" w:space="0" w:color="auto"/>
              <w:bottom w:val="dotted" w:sz="4" w:space="0" w:color="auto"/>
              <w:right w:val="single" w:sz="4" w:space="0" w:color="auto"/>
            </w:tcBorders>
            <w:vAlign w:val="center"/>
            <w:hideMark/>
          </w:tcPr>
          <w:p w14:paraId="6B08D2E9" w14:textId="394AA1BD" w:rsidR="00434810" w:rsidRPr="00EA3458" w:rsidRDefault="00434810" w:rsidP="00205455">
            <w:pPr>
              <w:spacing w:after="0"/>
              <w:jc w:val="center"/>
              <w:rPr>
                <w:rFonts w:cstheme="minorHAnsi"/>
                <w:sz w:val="16"/>
                <w:szCs w:val="16"/>
                <w:vertAlign w:val="superscript"/>
              </w:rPr>
            </w:pPr>
            <w:r w:rsidRPr="00EA3458">
              <w:rPr>
                <w:rFonts w:cstheme="minorHAnsi"/>
                <w:sz w:val="16"/>
                <w:szCs w:val="16"/>
              </w:rPr>
              <w:t>-</w:t>
            </w:r>
            <w:r w:rsidR="00E71EF6" w:rsidRPr="00E71EF6">
              <w:rPr>
                <w:rFonts w:cstheme="minorHAnsi"/>
                <w:sz w:val="16"/>
                <w:szCs w:val="16"/>
                <w:vertAlign w:val="superscript"/>
              </w:rPr>
              <w:t>§§</w:t>
            </w:r>
          </w:p>
        </w:tc>
        <w:tc>
          <w:tcPr>
            <w:tcW w:w="501" w:type="pct"/>
            <w:tcBorders>
              <w:top w:val="dotted" w:sz="4" w:space="0" w:color="auto"/>
              <w:left w:val="single" w:sz="4" w:space="0" w:color="auto"/>
              <w:bottom w:val="dotted" w:sz="4" w:space="0" w:color="auto"/>
              <w:right w:val="single" w:sz="4" w:space="0" w:color="auto"/>
            </w:tcBorders>
            <w:vAlign w:val="center"/>
            <w:hideMark/>
          </w:tcPr>
          <w:p w14:paraId="4C90209E" w14:textId="77777777" w:rsidR="00434810" w:rsidRPr="00EA3458" w:rsidRDefault="00434810" w:rsidP="00205455">
            <w:pPr>
              <w:spacing w:after="0"/>
              <w:jc w:val="center"/>
              <w:rPr>
                <w:rFonts w:cstheme="minorHAnsi"/>
                <w:sz w:val="16"/>
                <w:szCs w:val="16"/>
              </w:rPr>
            </w:pPr>
            <w:r w:rsidRPr="00EA3458">
              <w:rPr>
                <w:rFonts w:cstheme="minorHAnsi"/>
                <w:sz w:val="16"/>
                <w:szCs w:val="16"/>
              </w:rPr>
              <w:t>Y</w:t>
            </w:r>
          </w:p>
        </w:tc>
        <w:tc>
          <w:tcPr>
            <w:tcW w:w="501" w:type="pct"/>
            <w:tcBorders>
              <w:top w:val="dotted" w:sz="4" w:space="0" w:color="auto"/>
              <w:left w:val="single" w:sz="4" w:space="0" w:color="auto"/>
              <w:bottom w:val="dotted" w:sz="4" w:space="0" w:color="auto"/>
              <w:right w:val="single" w:sz="4" w:space="0" w:color="auto"/>
            </w:tcBorders>
            <w:vAlign w:val="center"/>
            <w:hideMark/>
          </w:tcPr>
          <w:p w14:paraId="50401D7F" w14:textId="77777777" w:rsidR="00434810" w:rsidRPr="00EA3458" w:rsidRDefault="00434810" w:rsidP="00205455">
            <w:pPr>
              <w:spacing w:after="0"/>
              <w:jc w:val="center"/>
              <w:rPr>
                <w:rFonts w:cstheme="minorHAnsi"/>
                <w:sz w:val="16"/>
                <w:szCs w:val="16"/>
              </w:rPr>
            </w:pPr>
            <w:r w:rsidRPr="00EA3458">
              <w:rPr>
                <w:rFonts w:cstheme="minorHAnsi"/>
                <w:sz w:val="16"/>
                <w:szCs w:val="16"/>
              </w:rPr>
              <w:t>Y</w:t>
            </w:r>
          </w:p>
        </w:tc>
        <w:tc>
          <w:tcPr>
            <w:tcW w:w="501" w:type="pct"/>
            <w:tcBorders>
              <w:top w:val="dotted" w:sz="4" w:space="0" w:color="auto"/>
              <w:left w:val="single" w:sz="4" w:space="0" w:color="auto"/>
              <w:bottom w:val="dotted" w:sz="4" w:space="0" w:color="auto"/>
              <w:right w:val="single" w:sz="4" w:space="0" w:color="auto"/>
            </w:tcBorders>
            <w:vAlign w:val="center"/>
            <w:hideMark/>
          </w:tcPr>
          <w:p w14:paraId="46B871A5" w14:textId="77777777" w:rsidR="00434810" w:rsidRPr="00EA3458" w:rsidRDefault="00434810" w:rsidP="00205455">
            <w:pPr>
              <w:spacing w:after="0"/>
              <w:jc w:val="center"/>
              <w:rPr>
                <w:rFonts w:cstheme="minorHAnsi"/>
                <w:sz w:val="16"/>
                <w:szCs w:val="16"/>
              </w:rPr>
            </w:pPr>
            <w:r w:rsidRPr="00EA3458">
              <w:rPr>
                <w:rFonts w:cstheme="minorHAnsi"/>
                <w:sz w:val="16"/>
                <w:szCs w:val="16"/>
              </w:rPr>
              <w:t>Y</w:t>
            </w:r>
          </w:p>
        </w:tc>
        <w:tc>
          <w:tcPr>
            <w:tcW w:w="472" w:type="pct"/>
            <w:tcBorders>
              <w:top w:val="dotted" w:sz="4" w:space="0" w:color="auto"/>
              <w:left w:val="single" w:sz="4" w:space="0" w:color="auto"/>
              <w:bottom w:val="dotted" w:sz="4" w:space="0" w:color="auto"/>
              <w:right w:val="single" w:sz="4" w:space="0" w:color="auto"/>
            </w:tcBorders>
            <w:vAlign w:val="center"/>
            <w:hideMark/>
          </w:tcPr>
          <w:p w14:paraId="2CEC9EFC" w14:textId="586BA2FB" w:rsidR="00434810" w:rsidRPr="00EA3458" w:rsidRDefault="00810E28" w:rsidP="00205455">
            <w:pPr>
              <w:spacing w:after="0"/>
              <w:jc w:val="center"/>
              <w:rPr>
                <w:rFonts w:cstheme="minorHAnsi"/>
                <w:sz w:val="16"/>
                <w:szCs w:val="16"/>
              </w:rPr>
            </w:pPr>
            <w:r>
              <w:rPr>
                <w:rFonts w:cstheme="minorHAnsi"/>
                <w:sz w:val="16"/>
                <w:szCs w:val="16"/>
              </w:rPr>
              <w:t>N</w:t>
            </w:r>
          </w:p>
        </w:tc>
        <w:tc>
          <w:tcPr>
            <w:tcW w:w="530" w:type="pct"/>
            <w:tcBorders>
              <w:top w:val="dotted" w:sz="4" w:space="0" w:color="auto"/>
              <w:left w:val="single" w:sz="4" w:space="0" w:color="auto"/>
              <w:bottom w:val="dotted" w:sz="4" w:space="0" w:color="auto"/>
              <w:right w:val="single" w:sz="4" w:space="0" w:color="auto"/>
            </w:tcBorders>
            <w:vAlign w:val="center"/>
            <w:hideMark/>
          </w:tcPr>
          <w:p w14:paraId="0C9BED6F" w14:textId="77777777" w:rsidR="00434810" w:rsidRPr="00EA3458" w:rsidRDefault="00434810" w:rsidP="00205455">
            <w:pPr>
              <w:spacing w:after="0"/>
              <w:jc w:val="center"/>
              <w:rPr>
                <w:rFonts w:cstheme="minorHAnsi"/>
                <w:sz w:val="16"/>
                <w:szCs w:val="16"/>
              </w:rPr>
            </w:pPr>
            <w:r w:rsidRPr="00EA3458">
              <w:rPr>
                <w:rFonts w:cstheme="minorHAnsi"/>
                <w:sz w:val="16"/>
                <w:szCs w:val="16"/>
              </w:rPr>
              <w:t>Y</w:t>
            </w:r>
          </w:p>
        </w:tc>
      </w:tr>
      <w:tr w:rsidR="00434810" w:rsidRPr="00EA3458" w14:paraId="67B3C324" w14:textId="77777777" w:rsidTr="004E0719">
        <w:trPr>
          <w:trHeight w:val="20"/>
        </w:trPr>
        <w:tc>
          <w:tcPr>
            <w:tcW w:w="992" w:type="pct"/>
            <w:tcBorders>
              <w:top w:val="dotted" w:sz="4" w:space="0" w:color="auto"/>
              <w:left w:val="single" w:sz="4" w:space="0" w:color="auto"/>
              <w:bottom w:val="single" w:sz="4" w:space="0" w:color="auto"/>
              <w:right w:val="single" w:sz="4" w:space="0" w:color="auto"/>
            </w:tcBorders>
            <w:hideMark/>
          </w:tcPr>
          <w:p w14:paraId="2A191AA4" w14:textId="77777777" w:rsidR="00434810" w:rsidRPr="00EA3458" w:rsidRDefault="00434810" w:rsidP="00205455">
            <w:pPr>
              <w:spacing w:after="0"/>
              <w:jc w:val="left"/>
              <w:rPr>
                <w:rFonts w:cstheme="minorHAnsi"/>
                <w:sz w:val="16"/>
                <w:szCs w:val="16"/>
              </w:rPr>
            </w:pPr>
            <w:r w:rsidRPr="00EA3458">
              <w:rPr>
                <w:rFonts w:cstheme="minorHAnsi"/>
                <w:sz w:val="16"/>
                <w:szCs w:val="16"/>
              </w:rPr>
              <w:t>Local engagement with stakeholders</w:t>
            </w:r>
          </w:p>
        </w:tc>
        <w:tc>
          <w:tcPr>
            <w:tcW w:w="501" w:type="pct"/>
            <w:tcBorders>
              <w:top w:val="dotted" w:sz="4" w:space="0" w:color="auto"/>
              <w:left w:val="single" w:sz="4" w:space="0" w:color="auto"/>
              <w:bottom w:val="single" w:sz="4" w:space="0" w:color="auto"/>
              <w:right w:val="single" w:sz="4" w:space="0" w:color="auto"/>
            </w:tcBorders>
            <w:vAlign w:val="center"/>
            <w:hideMark/>
          </w:tcPr>
          <w:p w14:paraId="201FD920" w14:textId="77777777" w:rsidR="00434810" w:rsidRPr="00EA3458" w:rsidRDefault="00434810" w:rsidP="00205455">
            <w:pPr>
              <w:spacing w:after="0"/>
              <w:jc w:val="center"/>
              <w:rPr>
                <w:rFonts w:cstheme="minorHAnsi"/>
                <w:sz w:val="16"/>
                <w:szCs w:val="16"/>
              </w:rPr>
            </w:pPr>
            <w:r w:rsidRPr="00EA3458">
              <w:rPr>
                <w:rFonts w:cstheme="minorHAnsi"/>
                <w:sz w:val="16"/>
                <w:szCs w:val="16"/>
              </w:rPr>
              <w:t>Y</w:t>
            </w:r>
          </w:p>
        </w:tc>
        <w:tc>
          <w:tcPr>
            <w:tcW w:w="538" w:type="pct"/>
            <w:tcBorders>
              <w:top w:val="dotted" w:sz="4" w:space="0" w:color="auto"/>
              <w:left w:val="single" w:sz="4" w:space="0" w:color="auto"/>
              <w:bottom w:val="single" w:sz="4" w:space="0" w:color="auto"/>
              <w:right w:val="single" w:sz="4" w:space="0" w:color="auto"/>
            </w:tcBorders>
            <w:vAlign w:val="center"/>
            <w:hideMark/>
          </w:tcPr>
          <w:p w14:paraId="00D96869" w14:textId="77777777" w:rsidR="00434810" w:rsidRPr="00EA3458" w:rsidRDefault="00434810" w:rsidP="00205455">
            <w:pPr>
              <w:spacing w:after="0"/>
              <w:jc w:val="center"/>
              <w:rPr>
                <w:rFonts w:cstheme="minorHAnsi"/>
                <w:sz w:val="16"/>
                <w:szCs w:val="16"/>
              </w:rPr>
            </w:pPr>
            <w:r w:rsidRPr="00EA3458">
              <w:rPr>
                <w:rFonts w:cstheme="minorHAnsi"/>
                <w:sz w:val="16"/>
                <w:szCs w:val="16"/>
              </w:rPr>
              <w:t>Y</w:t>
            </w:r>
          </w:p>
        </w:tc>
        <w:tc>
          <w:tcPr>
            <w:tcW w:w="464" w:type="pct"/>
            <w:tcBorders>
              <w:top w:val="dotted" w:sz="4" w:space="0" w:color="auto"/>
              <w:left w:val="single" w:sz="4" w:space="0" w:color="auto"/>
              <w:bottom w:val="single" w:sz="4" w:space="0" w:color="auto"/>
              <w:right w:val="single" w:sz="4" w:space="0" w:color="auto"/>
            </w:tcBorders>
            <w:vAlign w:val="center"/>
            <w:hideMark/>
          </w:tcPr>
          <w:p w14:paraId="2F873812" w14:textId="77777777" w:rsidR="00434810" w:rsidRPr="00EA3458" w:rsidRDefault="00434810" w:rsidP="00205455">
            <w:pPr>
              <w:spacing w:after="0"/>
              <w:jc w:val="center"/>
              <w:rPr>
                <w:rFonts w:cstheme="minorHAnsi"/>
                <w:sz w:val="16"/>
                <w:szCs w:val="16"/>
              </w:rPr>
            </w:pPr>
            <w:r w:rsidRPr="00EA3458">
              <w:rPr>
                <w:rFonts w:cstheme="minorHAnsi"/>
                <w:sz w:val="16"/>
                <w:szCs w:val="16"/>
              </w:rPr>
              <w:t>Y</w:t>
            </w:r>
          </w:p>
        </w:tc>
        <w:tc>
          <w:tcPr>
            <w:tcW w:w="501" w:type="pct"/>
            <w:tcBorders>
              <w:top w:val="dotted" w:sz="4" w:space="0" w:color="auto"/>
              <w:left w:val="single" w:sz="4" w:space="0" w:color="auto"/>
              <w:bottom w:val="single" w:sz="4" w:space="0" w:color="auto"/>
              <w:right w:val="single" w:sz="4" w:space="0" w:color="auto"/>
            </w:tcBorders>
            <w:vAlign w:val="center"/>
            <w:hideMark/>
          </w:tcPr>
          <w:p w14:paraId="717EDFA8" w14:textId="77777777" w:rsidR="00434810" w:rsidRPr="00EA3458" w:rsidRDefault="00434810" w:rsidP="00205455">
            <w:pPr>
              <w:spacing w:after="0"/>
              <w:jc w:val="center"/>
              <w:rPr>
                <w:rFonts w:cstheme="minorHAnsi"/>
                <w:sz w:val="16"/>
                <w:szCs w:val="16"/>
              </w:rPr>
            </w:pPr>
            <w:r w:rsidRPr="00EA3458">
              <w:rPr>
                <w:rFonts w:cstheme="minorHAnsi"/>
                <w:sz w:val="16"/>
                <w:szCs w:val="16"/>
              </w:rPr>
              <w:t>N</w:t>
            </w:r>
          </w:p>
        </w:tc>
        <w:tc>
          <w:tcPr>
            <w:tcW w:w="501" w:type="pct"/>
            <w:tcBorders>
              <w:top w:val="dotted" w:sz="4" w:space="0" w:color="auto"/>
              <w:left w:val="single" w:sz="4" w:space="0" w:color="auto"/>
              <w:bottom w:val="single" w:sz="4" w:space="0" w:color="auto"/>
              <w:right w:val="single" w:sz="4" w:space="0" w:color="auto"/>
            </w:tcBorders>
            <w:vAlign w:val="center"/>
            <w:hideMark/>
          </w:tcPr>
          <w:p w14:paraId="2B572290" w14:textId="77777777" w:rsidR="00434810" w:rsidRPr="00EA3458" w:rsidRDefault="00434810" w:rsidP="00205455">
            <w:pPr>
              <w:spacing w:after="0"/>
              <w:jc w:val="center"/>
              <w:rPr>
                <w:rFonts w:cstheme="minorHAnsi"/>
                <w:sz w:val="16"/>
                <w:szCs w:val="16"/>
              </w:rPr>
            </w:pPr>
            <w:r w:rsidRPr="00EA3458">
              <w:rPr>
                <w:rFonts w:cstheme="minorHAnsi"/>
                <w:sz w:val="16"/>
                <w:szCs w:val="16"/>
              </w:rPr>
              <w:t>Y</w:t>
            </w:r>
          </w:p>
        </w:tc>
        <w:tc>
          <w:tcPr>
            <w:tcW w:w="501" w:type="pct"/>
            <w:tcBorders>
              <w:top w:val="dotted" w:sz="4" w:space="0" w:color="auto"/>
              <w:left w:val="single" w:sz="4" w:space="0" w:color="auto"/>
              <w:bottom w:val="single" w:sz="4" w:space="0" w:color="auto"/>
              <w:right w:val="single" w:sz="4" w:space="0" w:color="auto"/>
            </w:tcBorders>
            <w:vAlign w:val="center"/>
            <w:hideMark/>
          </w:tcPr>
          <w:p w14:paraId="48D5A72F" w14:textId="77777777" w:rsidR="00434810" w:rsidRPr="00EA3458" w:rsidRDefault="00434810" w:rsidP="00205455">
            <w:pPr>
              <w:spacing w:after="0"/>
              <w:jc w:val="center"/>
              <w:rPr>
                <w:rFonts w:cstheme="minorHAnsi"/>
                <w:sz w:val="16"/>
                <w:szCs w:val="16"/>
              </w:rPr>
            </w:pPr>
            <w:r w:rsidRPr="00EA3458">
              <w:rPr>
                <w:rFonts w:cstheme="minorHAnsi"/>
                <w:sz w:val="16"/>
                <w:szCs w:val="16"/>
              </w:rPr>
              <w:t>Y</w:t>
            </w:r>
          </w:p>
        </w:tc>
        <w:tc>
          <w:tcPr>
            <w:tcW w:w="472" w:type="pct"/>
            <w:tcBorders>
              <w:top w:val="dotted" w:sz="4" w:space="0" w:color="auto"/>
              <w:left w:val="single" w:sz="4" w:space="0" w:color="auto"/>
              <w:bottom w:val="single" w:sz="4" w:space="0" w:color="auto"/>
              <w:right w:val="single" w:sz="4" w:space="0" w:color="auto"/>
            </w:tcBorders>
            <w:vAlign w:val="center"/>
            <w:hideMark/>
          </w:tcPr>
          <w:p w14:paraId="477B8ABE" w14:textId="54F39BC3" w:rsidR="00434810" w:rsidRPr="00EA3458" w:rsidRDefault="00810E28" w:rsidP="00205455">
            <w:pPr>
              <w:spacing w:after="0"/>
              <w:jc w:val="center"/>
              <w:rPr>
                <w:rFonts w:cstheme="minorHAnsi"/>
                <w:sz w:val="16"/>
                <w:szCs w:val="16"/>
              </w:rPr>
            </w:pPr>
            <w:r>
              <w:rPr>
                <w:rFonts w:cstheme="minorHAnsi"/>
                <w:sz w:val="16"/>
                <w:szCs w:val="16"/>
              </w:rPr>
              <w:t>Y</w:t>
            </w:r>
          </w:p>
        </w:tc>
        <w:tc>
          <w:tcPr>
            <w:tcW w:w="530" w:type="pct"/>
            <w:tcBorders>
              <w:top w:val="dotted" w:sz="4" w:space="0" w:color="auto"/>
              <w:left w:val="single" w:sz="4" w:space="0" w:color="auto"/>
              <w:bottom w:val="single" w:sz="4" w:space="0" w:color="auto"/>
              <w:right w:val="single" w:sz="4" w:space="0" w:color="auto"/>
            </w:tcBorders>
            <w:vAlign w:val="center"/>
            <w:hideMark/>
          </w:tcPr>
          <w:p w14:paraId="69867E9A" w14:textId="77777777" w:rsidR="00434810" w:rsidRPr="00EA3458" w:rsidRDefault="00434810" w:rsidP="00205455">
            <w:pPr>
              <w:spacing w:after="0"/>
              <w:jc w:val="center"/>
              <w:rPr>
                <w:rFonts w:cstheme="minorHAnsi"/>
                <w:sz w:val="16"/>
                <w:szCs w:val="16"/>
              </w:rPr>
            </w:pPr>
            <w:r w:rsidRPr="00EA3458">
              <w:rPr>
                <w:rFonts w:cstheme="minorHAnsi"/>
                <w:sz w:val="16"/>
                <w:szCs w:val="16"/>
              </w:rPr>
              <w:t>Y</w:t>
            </w:r>
          </w:p>
        </w:tc>
      </w:tr>
    </w:tbl>
    <w:p w14:paraId="76523D2D" w14:textId="0024BB38" w:rsidR="00434810" w:rsidRPr="007C0AB3" w:rsidRDefault="00434810" w:rsidP="007C0AB3">
      <w:pPr>
        <w:spacing w:after="40" w:line="256" w:lineRule="auto"/>
        <w:jc w:val="left"/>
        <w:rPr>
          <w:rFonts w:eastAsia="Calibri" w:cs="Calibri"/>
          <w:sz w:val="14"/>
          <w:szCs w:val="14"/>
        </w:rPr>
      </w:pPr>
      <w:r w:rsidRPr="00AC3EF8">
        <w:rPr>
          <w:rFonts w:eastAsia="Calibri" w:cs="Calibri"/>
          <w:b/>
          <w:bCs/>
          <w:sz w:val="14"/>
          <w:szCs w:val="14"/>
        </w:rPr>
        <w:t>Note</w:t>
      </w:r>
      <w:r w:rsidRPr="007C0AB3">
        <w:rPr>
          <w:rFonts w:eastAsia="Calibri" w:cs="Calibri"/>
          <w:sz w:val="14"/>
          <w:szCs w:val="14"/>
        </w:rPr>
        <w:t xml:space="preserve">: Table </w:t>
      </w:r>
      <w:r w:rsidR="003C1DF3" w:rsidRPr="007C0AB3">
        <w:rPr>
          <w:rFonts w:eastAsia="Calibri" w:cs="Calibri"/>
          <w:sz w:val="14"/>
          <w:szCs w:val="14"/>
        </w:rPr>
        <w:t>6</w:t>
      </w:r>
      <w:r w:rsidRPr="007C0AB3">
        <w:rPr>
          <w:rFonts w:eastAsia="Calibri" w:cs="Calibri"/>
          <w:sz w:val="14"/>
          <w:szCs w:val="14"/>
        </w:rPr>
        <w:t xml:space="preserve"> is based on a summary of guidelines and policies compiled by the Department of Health in 2021 and has been updated based on more recent sources (policy documents, AIHW 2021, National Opioid Pharmacotherapy Statistics Annual Data collection 2020</w:t>
      </w:r>
      <w:r w:rsidR="000078CC" w:rsidRPr="007C0AB3">
        <w:rPr>
          <w:rFonts w:eastAsia="Calibri" w:cs="Calibri"/>
          <w:sz w:val="14"/>
          <w:szCs w:val="14"/>
        </w:rPr>
        <w:t>, input from jurisdictions</w:t>
      </w:r>
      <w:r w:rsidRPr="007C0AB3">
        <w:rPr>
          <w:rFonts w:eastAsia="Calibri" w:cs="Calibri"/>
          <w:sz w:val="14"/>
          <w:szCs w:val="14"/>
        </w:rPr>
        <w:t>) where applicable. Evidently, policy and practice related to O</w:t>
      </w:r>
      <w:r w:rsidR="00D1454C" w:rsidRPr="007C0AB3">
        <w:rPr>
          <w:rFonts w:eastAsia="Calibri" w:cs="Calibri"/>
          <w:sz w:val="14"/>
          <w:szCs w:val="14"/>
        </w:rPr>
        <w:t>D</w:t>
      </w:r>
      <w:r w:rsidRPr="007C0AB3">
        <w:rPr>
          <w:rFonts w:eastAsia="Calibri" w:cs="Calibri"/>
          <w:sz w:val="14"/>
          <w:szCs w:val="14"/>
        </w:rPr>
        <w:t xml:space="preserve">T </w:t>
      </w:r>
      <w:r w:rsidR="00D1454C" w:rsidRPr="007C0AB3">
        <w:rPr>
          <w:rFonts w:eastAsia="Calibri" w:cs="Calibri"/>
          <w:sz w:val="14"/>
          <w:szCs w:val="14"/>
        </w:rPr>
        <w:t xml:space="preserve">medicine </w:t>
      </w:r>
      <w:r w:rsidRPr="007C0AB3">
        <w:rPr>
          <w:rFonts w:eastAsia="Calibri" w:cs="Calibri"/>
          <w:sz w:val="14"/>
          <w:szCs w:val="14"/>
        </w:rPr>
        <w:t>delivery varies considerably between jurisdictions</w:t>
      </w:r>
    </w:p>
    <w:p w14:paraId="4C01E647" w14:textId="0536939D" w:rsidR="00434810" w:rsidRPr="007C0AB3" w:rsidRDefault="001353F7" w:rsidP="007C0AB3">
      <w:pPr>
        <w:spacing w:line="256" w:lineRule="auto"/>
        <w:jc w:val="left"/>
        <w:rPr>
          <w:rFonts w:eastAsia="Calibri" w:cs="Calibri"/>
          <w:sz w:val="16"/>
          <w:szCs w:val="16"/>
        </w:rPr>
      </w:pPr>
      <w:r w:rsidRPr="00E71EF6">
        <w:rPr>
          <w:rFonts w:eastAsia="Calibri" w:cs="Calibri"/>
          <w:sz w:val="14"/>
          <w:szCs w:val="14"/>
          <w:vertAlign w:val="superscript"/>
        </w:rPr>
        <w:t>*</w:t>
      </w:r>
      <w:r w:rsidR="00434810" w:rsidRPr="007C0AB3">
        <w:rPr>
          <w:rFonts w:eastAsia="Calibri" w:cs="Calibri"/>
          <w:sz w:val="14"/>
          <w:szCs w:val="14"/>
        </w:rPr>
        <w:t xml:space="preserve">Consumers can be referred to financial assistance services such as Centrelink. However, in practice if a consumer cannot afford to pay for pharmacy </w:t>
      </w:r>
      <w:r w:rsidR="00135831" w:rsidRPr="007C0AB3">
        <w:rPr>
          <w:rFonts w:eastAsia="Calibri" w:cs="Calibri"/>
          <w:sz w:val="14"/>
          <w:szCs w:val="14"/>
        </w:rPr>
        <w:t>dosing,</w:t>
      </w:r>
      <w:r w:rsidR="00434810" w:rsidRPr="007C0AB3">
        <w:rPr>
          <w:rFonts w:eastAsia="Calibri" w:cs="Calibri"/>
          <w:sz w:val="14"/>
          <w:szCs w:val="14"/>
        </w:rPr>
        <w:t xml:space="preserve"> they cannot engage in O</w:t>
      </w:r>
      <w:r w:rsidR="00D1454C" w:rsidRPr="007C0AB3">
        <w:rPr>
          <w:rFonts w:eastAsia="Calibri" w:cs="Calibri"/>
          <w:sz w:val="14"/>
          <w:szCs w:val="14"/>
        </w:rPr>
        <w:t>D</w:t>
      </w:r>
      <w:r w:rsidR="00434810" w:rsidRPr="007C0AB3">
        <w:rPr>
          <w:rFonts w:eastAsia="Calibri" w:cs="Calibri"/>
          <w:sz w:val="14"/>
          <w:szCs w:val="14"/>
        </w:rPr>
        <w:t>T</w:t>
      </w:r>
      <w:r w:rsidR="00D1454C" w:rsidRPr="007C0AB3">
        <w:rPr>
          <w:rFonts w:eastAsia="Calibri" w:cs="Calibri"/>
          <w:sz w:val="14"/>
          <w:szCs w:val="14"/>
        </w:rPr>
        <w:t xml:space="preserve"> medicines</w:t>
      </w:r>
      <w:r w:rsidR="00434810" w:rsidRPr="007C0AB3">
        <w:rPr>
          <w:rFonts w:eastAsia="Calibri" w:cs="Calibri"/>
          <w:sz w:val="14"/>
          <w:szCs w:val="14"/>
        </w:rPr>
        <w:t xml:space="preserve">. (Source: WA response HO template, 2021); </w:t>
      </w:r>
      <w:r w:rsidR="00A1418D">
        <w:rPr>
          <w:rFonts w:eastAsia="Calibri" w:cs="Calibri"/>
          <w:sz w:val="14"/>
          <w:szCs w:val="14"/>
        </w:rPr>
        <w:br/>
      </w:r>
      <w:r w:rsidRPr="007C0AB3">
        <w:rPr>
          <w:b/>
          <w:sz w:val="14"/>
          <w:szCs w:val="14"/>
          <w:vertAlign w:val="superscript"/>
        </w:rPr>
        <w:t>†</w:t>
      </w:r>
      <w:r w:rsidR="00434810" w:rsidRPr="007C0AB3">
        <w:rPr>
          <w:rFonts w:eastAsia="Calibri" w:cs="Calibri"/>
          <w:sz w:val="14"/>
          <w:szCs w:val="14"/>
        </w:rPr>
        <w:t xml:space="preserve">The VIC Department of Health pays pharmacy service fees for consumers under 19 years of age and consumers on Youth Justice community orders. The Department of Justice and Community Safety pays pharmacy service fees for consumers for up to 30 days post-release from prison. For all other consumers, the consumer is responsible for ensuring payment of all pharmacy fees. In cases of severe financial hardship, consumers may contact the Pharmacotherapy Advocacy Mediation service for information and advice. 2016. </w:t>
      </w:r>
      <w:r w:rsidR="00434810" w:rsidRPr="007C0AB3">
        <w:rPr>
          <w:rFonts w:eastAsia="Calibri" w:cs="Calibri"/>
          <w:i/>
          <w:iCs/>
          <w:sz w:val="14"/>
          <w:szCs w:val="14"/>
        </w:rPr>
        <w:t>Policy for maintenance pharmacotherapy for opioid dependence</w:t>
      </w:r>
      <w:r w:rsidR="00434810" w:rsidRPr="007C0AB3">
        <w:rPr>
          <w:rFonts w:eastAsia="Calibri" w:cs="Calibri"/>
          <w:sz w:val="14"/>
          <w:szCs w:val="14"/>
        </w:rPr>
        <w:t xml:space="preserve">, Victoria State Government, page 22; </w:t>
      </w:r>
      <w:r w:rsidRPr="007C0AB3">
        <w:rPr>
          <w:rFonts w:eastAsia="Calibri" w:cs="Calibri"/>
          <w:sz w:val="14"/>
          <w:szCs w:val="14"/>
        </w:rPr>
        <w:br/>
      </w:r>
      <w:r w:rsidRPr="007C0AB3">
        <w:rPr>
          <w:rFonts w:eastAsia="Calibri" w:cs="Calibri"/>
          <w:sz w:val="14"/>
          <w:szCs w:val="14"/>
          <w:vertAlign w:val="superscript"/>
        </w:rPr>
        <w:t>‡</w:t>
      </w:r>
      <w:r w:rsidR="00434810" w:rsidRPr="007C0AB3">
        <w:rPr>
          <w:rFonts w:eastAsia="Calibri" w:cs="Calibri"/>
          <w:sz w:val="14"/>
          <w:szCs w:val="14"/>
        </w:rPr>
        <w:t xml:space="preserve">AIHW 2021, </w:t>
      </w:r>
      <w:r w:rsidR="00434810" w:rsidRPr="007C0AB3">
        <w:rPr>
          <w:rFonts w:eastAsia="Calibri" w:cs="Calibri"/>
          <w:i/>
          <w:iCs/>
          <w:sz w:val="14"/>
          <w:szCs w:val="14"/>
        </w:rPr>
        <w:t xml:space="preserve">National Opioid Pharmacotherapy Statistics Annual Data collection 2020; </w:t>
      </w:r>
      <w:r w:rsidRPr="007C0AB3">
        <w:rPr>
          <w:rFonts w:eastAsia="Calibri" w:cs="Calibri"/>
          <w:i/>
          <w:iCs/>
          <w:sz w:val="14"/>
          <w:szCs w:val="14"/>
        </w:rPr>
        <w:br/>
      </w:r>
      <w:r w:rsidRPr="007C0AB3">
        <w:rPr>
          <w:rFonts w:eastAsia="Calibri" w:cs="Calibri"/>
          <w:sz w:val="14"/>
          <w:szCs w:val="14"/>
          <w:vertAlign w:val="superscript"/>
        </w:rPr>
        <w:t>§</w:t>
      </w:r>
      <w:r w:rsidR="00434810" w:rsidRPr="007C0AB3">
        <w:rPr>
          <w:rFonts w:eastAsia="Calibri" w:cs="Calibri"/>
          <w:sz w:val="14"/>
          <w:szCs w:val="14"/>
        </w:rPr>
        <w:t>Hospital and Health Services that provide O</w:t>
      </w:r>
      <w:r w:rsidR="00D1454C" w:rsidRPr="007C0AB3">
        <w:rPr>
          <w:rFonts w:eastAsia="Calibri" w:cs="Calibri"/>
          <w:sz w:val="14"/>
          <w:szCs w:val="14"/>
        </w:rPr>
        <w:t>D</w:t>
      </w:r>
      <w:r w:rsidR="00434810" w:rsidRPr="007C0AB3">
        <w:rPr>
          <w:rFonts w:eastAsia="Calibri" w:cs="Calibri"/>
          <w:sz w:val="14"/>
          <w:szCs w:val="14"/>
        </w:rPr>
        <w:t>T</w:t>
      </w:r>
      <w:r w:rsidR="00D1454C" w:rsidRPr="007C0AB3">
        <w:rPr>
          <w:rFonts w:eastAsia="Calibri" w:cs="Calibri"/>
          <w:sz w:val="14"/>
          <w:szCs w:val="14"/>
        </w:rPr>
        <w:t xml:space="preserve"> medicines</w:t>
      </w:r>
      <w:r w:rsidR="00434810" w:rsidRPr="007C0AB3">
        <w:rPr>
          <w:rFonts w:eastAsia="Calibri" w:cs="Calibri"/>
          <w:sz w:val="14"/>
          <w:szCs w:val="14"/>
        </w:rPr>
        <w:t xml:space="preserve"> through public pharmacies and correctional centres can charge between $25-$35 per week at the discretion of the Hospital and Health Services. (Source: QLD response HO template, 2021).  </w:t>
      </w:r>
      <w:r w:rsidRPr="007C0AB3">
        <w:rPr>
          <w:rFonts w:eastAsia="Calibri" w:cs="Calibri"/>
          <w:sz w:val="14"/>
          <w:szCs w:val="14"/>
        </w:rPr>
        <w:br/>
      </w:r>
      <w:r w:rsidR="00E71EF6" w:rsidRPr="007C0AB3">
        <w:rPr>
          <w:rFonts w:eastAsia="Calibri" w:cs="Calibri"/>
          <w:sz w:val="14"/>
          <w:szCs w:val="14"/>
          <w:vertAlign w:val="superscript"/>
        </w:rPr>
        <w:t>#</w:t>
      </w:r>
      <w:r w:rsidR="00434810" w:rsidRPr="007C0AB3">
        <w:rPr>
          <w:rFonts w:eastAsia="Calibri" w:cs="Calibri"/>
          <w:sz w:val="14"/>
          <w:szCs w:val="14"/>
        </w:rPr>
        <w:t xml:space="preserve">The VIC Department of Health pays pharmacy service fees for consumers on Youth Justice community orders. The Department of Justice and Community Safety pays pharmacy service fees for consumers for up to 30 days post-release from prison. 2016. </w:t>
      </w:r>
      <w:r w:rsidR="00434810" w:rsidRPr="007C0AB3">
        <w:rPr>
          <w:rFonts w:eastAsia="Calibri" w:cs="Calibri"/>
          <w:i/>
          <w:iCs/>
          <w:sz w:val="14"/>
          <w:szCs w:val="14"/>
        </w:rPr>
        <w:t>Policy for maintenance pharmacotherapy for opioid dependence,</w:t>
      </w:r>
      <w:r w:rsidR="00434810" w:rsidRPr="007C0AB3">
        <w:rPr>
          <w:rFonts w:eastAsia="Calibri" w:cs="Calibri"/>
          <w:sz w:val="14"/>
          <w:szCs w:val="14"/>
        </w:rPr>
        <w:t xml:space="preserve"> Victoria State Government, page 22; </w:t>
      </w:r>
      <w:r w:rsidRPr="007C0AB3">
        <w:rPr>
          <w:rFonts w:eastAsia="Calibri" w:cs="Calibri"/>
          <w:sz w:val="14"/>
          <w:szCs w:val="14"/>
        </w:rPr>
        <w:br/>
      </w:r>
      <w:r w:rsidR="00E71EF6" w:rsidRPr="007C0AB3">
        <w:rPr>
          <w:rFonts w:eastAsia="Calibri" w:cs="Calibri"/>
          <w:sz w:val="14"/>
          <w:szCs w:val="14"/>
          <w:vertAlign w:val="superscript"/>
        </w:rPr>
        <w:t>**</w:t>
      </w:r>
      <w:r w:rsidR="00434810" w:rsidRPr="007C0AB3">
        <w:rPr>
          <w:rFonts w:eastAsia="Calibri" w:cs="Calibri"/>
          <w:sz w:val="14"/>
          <w:szCs w:val="14"/>
        </w:rPr>
        <w:t xml:space="preserve">For methadone and for &gt;10 buprenorphine consumers (policy); </w:t>
      </w:r>
      <w:r w:rsidRPr="007C0AB3">
        <w:rPr>
          <w:rFonts w:eastAsia="Calibri" w:cs="Calibri"/>
          <w:sz w:val="14"/>
          <w:szCs w:val="14"/>
        </w:rPr>
        <w:br/>
      </w:r>
      <w:r w:rsidR="00E71EF6" w:rsidRPr="007C0AB3">
        <w:rPr>
          <w:rFonts w:cstheme="minorHAnsi"/>
          <w:sz w:val="14"/>
          <w:szCs w:val="14"/>
          <w:vertAlign w:val="superscript"/>
        </w:rPr>
        <w:t>††</w:t>
      </w:r>
      <w:r w:rsidR="00434810" w:rsidRPr="007C0AB3">
        <w:rPr>
          <w:rFonts w:eastAsia="Calibri" w:cs="Calibri"/>
          <w:sz w:val="14"/>
          <w:szCs w:val="14"/>
        </w:rPr>
        <w:t xml:space="preserve">A consumer cap exists for the </w:t>
      </w:r>
      <w:r w:rsidR="00270D98" w:rsidRPr="007C0AB3">
        <w:rPr>
          <w:rFonts w:eastAsia="Calibri" w:cs="Calibri"/>
          <w:sz w:val="14"/>
          <w:szCs w:val="14"/>
        </w:rPr>
        <w:t>buprenorphine + naloxone</w:t>
      </w:r>
      <w:r w:rsidR="00434810" w:rsidRPr="007C0AB3">
        <w:rPr>
          <w:rFonts w:eastAsia="Calibri" w:cs="Calibri"/>
          <w:sz w:val="14"/>
          <w:szCs w:val="14"/>
        </w:rPr>
        <w:t xml:space="preserve"> only prescriber type. There are no caps for other prescriber types (full, interim, shared care); </w:t>
      </w:r>
      <w:r w:rsidRPr="007C0AB3">
        <w:rPr>
          <w:rFonts w:eastAsia="Calibri" w:cs="Calibri"/>
          <w:sz w:val="14"/>
          <w:szCs w:val="14"/>
        </w:rPr>
        <w:br/>
      </w:r>
      <w:r w:rsidR="00E71EF6" w:rsidRPr="007C0AB3">
        <w:rPr>
          <w:rFonts w:eastAsia="Calibri" w:cs="Calibri"/>
          <w:sz w:val="14"/>
          <w:szCs w:val="14"/>
          <w:vertAlign w:val="superscript"/>
        </w:rPr>
        <w:t>‡‡</w:t>
      </w:r>
      <w:r w:rsidR="00434810" w:rsidRPr="007C0AB3">
        <w:rPr>
          <w:rFonts w:eastAsia="Calibri" w:cs="Calibri"/>
          <w:i/>
          <w:iCs/>
          <w:sz w:val="14"/>
          <w:szCs w:val="14"/>
        </w:rPr>
        <w:t>Policy for maintenance pharmacotherapy for opioid dependence</w:t>
      </w:r>
      <w:r w:rsidR="00434810" w:rsidRPr="007C0AB3">
        <w:rPr>
          <w:rFonts w:eastAsia="Calibri" w:cs="Calibri"/>
          <w:sz w:val="14"/>
          <w:szCs w:val="14"/>
        </w:rPr>
        <w:t xml:space="preserve">, Victoria State Government; </w:t>
      </w:r>
      <w:r w:rsidRPr="007C0AB3">
        <w:rPr>
          <w:rFonts w:eastAsia="Calibri" w:cs="Calibri"/>
          <w:sz w:val="14"/>
          <w:szCs w:val="14"/>
        </w:rPr>
        <w:br/>
      </w:r>
      <w:r w:rsidR="00E71EF6" w:rsidRPr="007C0AB3">
        <w:rPr>
          <w:rFonts w:eastAsia="Calibri" w:cs="Calibri"/>
          <w:sz w:val="14"/>
          <w:szCs w:val="14"/>
          <w:vertAlign w:val="superscript"/>
        </w:rPr>
        <w:t>§§</w:t>
      </w:r>
      <w:r w:rsidR="00434810" w:rsidRPr="007C0AB3">
        <w:rPr>
          <w:rFonts w:eastAsia="Calibri" w:cs="Calibri"/>
          <w:sz w:val="14"/>
          <w:szCs w:val="14"/>
        </w:rPr>
        <w:t>Queensland Health’s state-wide alcohol and other drug training and workforce development service, Insight, provides free self-paced publicly accessible online training about opioids and the Queensland Opioid Treatment (non-prescribers) which pharmacists may access if they choose.</w:t>
      </w:r>
    </w:p>
    <w:p w14:paraId="7FEC003D" w14:textId="77777777" w:rsidR="00434810" w:rsidRPr="00EA3458" w:rsidRDefault="00434810">
      <w:pPr>
        <w:spacing w:line="259" w:lineRule="auto"/>
        <w:sectPr w:rsidR="00434810" w:rsidRPr="00EA3458" w:rsidSect="00887696">
          <w:headerReference w:type="default" r:id="rId15"/>
          <w:pgSz w:w="16838" w:h="11906" w:orient="landscape"/>
          <w:pgMar w:top="397" w:right="567" w:bottom="397" w:left="567" w:header="567" w:footer="709" w:gutter="0"/>
          <w:cols w:space="708"/>
          <w:docGrid w:linePitch="360"/>
        </w:sectPr>
      </w:pPr>
    </w:p>
    <w:p w14:paraId="1BD22B2F" w14:textId="5D1C0A40" w:rsidR="00434810" w:rsidRPr="00EA3458" w:rsidRDefault="00CB2B33">
      <w:pPr>
        <w:pStyle w:val="Heading5"/>
      </w:pPr>
      <w:bookmarkStart w:id="266" w:name="_Toc99135833"/>
      <w:bookmarkStart w:id="267" w:name="_Toc116025868"/>
      <w:r w:rsidRPr="00EA3458">
        <w:lastRenderedPageBreak/>
        <w:t xml:space="preserve">State and </w:t>
      </w:r>
      <w:r w:rsidR="00145885" w:rsidRPr="00EA3458">
        <w:t>Territory</w:t>
      </w:r>
      <w:r w:rsidRPr="00EA3458">
        <w:t xml:space="preserve"> </w:t>
      </w:r>
      <w:r w:rsidR="00E95439" w:rsidRPr="00EA3458">
        <w:t>p</w:t>
      </w:r>
      <w:r w:rsidR="00434810" w:rsidRPr="00EA3458">
        <w:t>rescribing and dispensing regulations</w:t>
      </w:r>
      <w:bookmarkEnd w:id="266"/>
      <w:bookmarkEnd w:id="267"/>
    </w:p>
    <w:p w14:paraId="68CF69D6" w14:textId="230D1189" w:rsidR="00434810" w:rsidRPr="00EA3458" w:rsidRDefault="00434810">
      <w:pPr>
        <w:spacing w:after="160" w:line="259" w:lineRule="auto"/>
      </w:pPr>
      <w:r w:rsidRPr="00EA3458">
        <w:t xml:space="preserve">Australia has no central body to regulate the handling of </w:t>
      </w:r>
      <w:r w:rsidR="00A501AE">
        <w:t>S8</w:t>
      </w:r>
      <w:r w:rsidR="005E3899">
        <w:t xml:space="preserve"> or controlled </w:t>
      </w:r>
      <w:r w:rsidRPr="00EA3458">
        <w:t>drugs</w:t>
      </w:r>
      <w:r w:rsidR="005E3899">
        <w:t>,</w:t>
      </w:r>
      <w:r w:rsidR="005E3899" w:rsidRPr="005E3899">
        <w:t xml:space="preserve"> </w:t>
      </w:r>
      <w:r w:rsidR="005E3899">
        <w:t>including O</w:t>
      </w:r>
      <w:r w:rsidR="0033315D">
        <w:t>D</w:t>
      </w:r>
      <w:r w:rsidR="005E3899">
        <w:t>T medicines</w:t>
      </w:r>
      <w:r w:rsidRPr="00EA3458">
        <w:t xml:space="preserve">. Although the </w:t>
      </w:r>
      <w:r w:rsidR="00A501AE">
        <w:t>Therapeutic Good Administration (</w:t>
      </w:r>
      <w:r w:rsidRPr="00EA3458">
        <w:t>TGA</w:t>
      </w:r>
      <w:r w:rsidR="00A501AE">
        <w:t>)</w:t>
      </w:r>
      <w:r w:rsidRPr="00EA3458">
        <w:t xml:space="preserve"> is the national body for the regulation of medicines, each state and territory self-regulate under the general principles established by the TGA and has its own </w:t>
      </w:r>
      <w:r w:rsidR="00513FE4">
        <w:t>medicine</w:t>
      </w:r>
      <w:r w:rsidR="00573258">
        <w:t>s</w:t>
      </w:r>
      <w:r w:rsidR="00513FE4">
        <w:t xml:space="preserve"> and poisons </w:t>
      </w:r>
      <w:r w:rsidRPr="00EA3458">
        <w:t xml:space="preserve">legislation </w:t>
      </w:r>
      <w:r w:rsidR="00513FE4">
        <w:t>that regulates controlled drugs</w:t>
      </w:r>
      <w:r w:rsidRPr="00EA3458">
        <w:t>, resulting in varied requirements. An added challenge for travelling consumers is that a prescription</w:t>
      </w:r>
      <w:r w:rsidR="00513FE4">
        <w:t xml:space="preserve"> for a controlled drug</w:t>
      </w:r>
      <w:r w:rsidRPr="00EA3458">
        <w:t xml:space="preserve"> in one state</w:t>
      </w:r>
      <w:r w:rsidR="002558E5">
        <w:t xml:space="preserve"> or territory</w:t>
      </w:r>
      <w:r w:rsidRPr="00EA3458">
        <w:t xml:space="preserve"> may not be legal in another</w:t>
      </w:r>
      <w:r w:rsidR="00B650BA">
        <w:t>.</w:t>
      </w:r>
      <w:r w:rsidR="002565E6" w:rsidRPr="00EA3458">
        <w:fldChar w:fldCharType="begin"/>
      </w:r>
      <w:r w:rsidR="002565E6">
        <w:instrText xml:space="preserve"> ADDIN EN.CITE &lt;EndNote&gt;&lt;Cite&gt;&lt;Author&gt;Hua&lt;/Author&gt;&lt;Year&gt;2015&lt;/Year&gt;&lt;RecNum&gt;34&lt;/RecNum&gt;&lt;DisplayText&gt;&lt;style face="superscript"&gt;33&lt;/style&gt;&lt;/DisplayText&gt;&lt;record&gt;&lt;rec-number&gt;34&lt;/rec-number&gt;&lt;foreign-keys&gt;&lt;key app="EN" db-id="xssz590sx9vzw4ewpzdv0s5sret50aexdtd9" timestamp="1668645407"&gt;34&lt;/key&gt;&lt;/foreign-keys&gt;&lt;ref-type name="Journal Article"&gt;17&lt;/ref-type&gt;&lt;contributors&gt;&lt;authors&gt;&lt;author&gt;Hua, A.&lt;/author&gt;&lt;author&gt;Shen, F.&lt;/author&gt;&lt;author&gt;Ge, X. &lt;/author&gt;&lt;/authors&gt;&lt;/contributors&gt;&lt;titles&gt;&lt;title&gt;State-based legal requirements for Schedule 8 prescriptions: why so complicated? &lt;/title&gt;&lt;secondary-title&gt;Med J Aust&lt;/secondary-title&gt;&lt;/titles&gt;&lt;pages&gt;64-66&lt;/pages&gt;&lt;volume&gt;203&lt;/volume&gt;&lt;number&gt;3&lt;/number&gt;&lt;dates&gt;&lt;year&gt;2015&lt;/year&gt;&lt;/dates&gt;&lt;urls&gt;&lt;/urls&gt;&lt;/record&gt;&lt;/Cite&gt;&lt;/EndNote&gt;</w:instrText>
      </w:r>
      <w:r w:rsidR="002565E6" w:rsidRPr="00EA3458">
        <w:fldChar w:fldCharType="separate"/>
      </w:r>
      <w:r w:rsidR="002565E6" w:rsidRPr="00646D54">
        <w:rPr>
          <w:noProof/>
          <w:vertAlign w:val="superscript"/>
        </w:rPr>
        <w:t>33</w:t>
      </w:r>
      <w:r w:rsidR="002565E6" w:rsidRPr="00EA3458">
        <w:fldChar w:fldCharType="end"/>
      </w:r>
      <w:r w:rsidRPr="00EA3458">
        <w:t xml:space="preserve"> In these circumstances, dispensing pharmacists need to contact the medical practitioner in the consumer’s home state</w:t>
      </w:r>
      <w:r w:rsidR="002558E5">
        <w:t xml:space="preserve"> or territory</w:t>
      </w:r>
      <w:r w:rsidRPr="00EA3458">
        <w:t xml:space="preserve">. Prior to consumers travelling, prescribers are required to check for up-to-date information on interstate requirements for </w:t>
      </w:r>
      <w:r w:rsidR="00853F7C">
        <w:t>ODT medicine</w:t>
      </w:r>
      <w:r w:rsidR="00853F7C" w:rsidRPr="00EA3458">
        <w:t xml:space="preserve"> </w:t>
      </w:r>
      <w:r w:rsidRPr="00EA3458">
        <w:t xml:space="preserve">prescriptions and contact details for interstate regulatory groups for assistance with temporary interstate transfers. This </w:t>
      </w:r>
      <w:r w:rsidR="00FC29BF" w:rsidRPr="00EA3458">
        <w:t xml:space="preserve">is intended to </w:t>
      </w:r>
      <w:r w:rsidRPr="00EA3458">
        <w:t>avoid delays in consumers accessing treatment by attempting to obtain a local prescription from a medical practitioner in the state the consumer is visiting</w:t>
      </w:r>
      <w:r w:rsidR="00F3151C">
        <w:t xml:space="preserve"> however consumer input to the review indicated this remain</w:t>
      </w:r>
      <w:r w:rsidR="00573258">
        <w:t>s</w:t>
      </w:r>
      <w:r w:rsidR="00F3151C">
        <w:t xml:space="preserve"> a significant challenge</w:t>
      </w:r>
      <w:r w:rsidRPr="00EA3458">
        <w:t>.</w:t>
      </w:r>
      <w:r w:rsidR="00DB4130">
        <w:t xml:space="preserve"> </w:t>
      </w:r>
      <w:r w:rsidR="00573258">
        <w:t>Alternatively, consumers can apply to their home jurisdiction in advance to arrange take-away doses for the duration of their travel, a process which can be onerous and intrusive for consumers to coordinate and do not easily accommodate emergency travel.</w:t>
      </w:r>
    </w:p>
    <w:p w14:paraId="781C26AF" w14:textId="53944B7F" w:rsidR="00434810" w:rsidRPr="00EA3458" w:rsidRDefault="00434810">
      <w:pPr>
        <w:spacing w:after="160" w:line="259" w:lineRule="auto"/>
      </w:pPr>
      <w:r w:rsidRPr="00FF27FF">
        <w:t xml:space="preserve">Table </w:t>
      </w:r>
      <w:r w:rsidR="00253486" w:rsidRPr="00FF27FF">
        <w:t>7</w:t>
      </w:r>
      <w:r w:rsidRPr="00EA3458">
        <w:t xml:space="preserve"> summarises the prescriber training and case load restrictions across Australia. In all states and territories there are no caps on the number of prescribers </w:t>
      </w:r>
      <w:r w:rsidR="00573258">
        <w:t xml:space="preserve">that can participate in ODT programs </w:t>
      </w:r>
      <w:r w:rsidRPr="00EA3458">
        <w:t xml:space="preserve">but there are rules on the number of </w:t>
      </w:r>
      <w:r w:rsidR="00C95474">
        <w:t>patients</w:t>
      </w:r>
      <w:r w:rsidR="00C95474" w:rsidRPr="00EA3458">
        <w:t xml:space="preserve"> </w:t>
      </w:r>
      <w:r w:rsidRPr="00EA3458">
        <w:t>per prescriber, and this can vary by state</w:t>
      </w:r>
      <w:r w:rsidR="002558E5">
        <w:t xml:space="preserve"> and territory,</w:t>
      </w:r>
      <w:r w:rsidRPr="00EA3458">
        <w:t xml:space="preserve"> and treatment type. All states and territories require their prescribers to apply for an authorisation to prescribe O</w:t>
      </w:r>
      <w:r w:rsidR="0033315D">
        <w:t>D</w:t>
      </w:r>
      <w:r w:rsidRPr="00EA3458">
        <w:t>T</w:t>
      </w:r>
      <w:r w:rsidR="0033315D">
        <w:t xml:space="preserve"> medicines</w:t>
      </w:r>
      <w:r w:rsidRPr="00EA3458">
        <w:t xml:space="preserve"> as methadone and buprenorphine are both </w:t>
      </w:r>
      <w:r w:rsidR="00513FE4">
        <w:t>controlled</w:t>
      </w:r>
      <w:r w:rsidR="00513FE4" w:rsidRPr="00EA3458">
        <w:t xml:space="preserve"> </w:t>
      </w:r>
      <w:r w:rsidR="00513FE4">
        <w:t>drugs</w:t>
      </w:r>
      <w:r w:rsidRPr="00EA3458">
        <w:t xml:space="preserve">. Most states and territories require and provide prescriber training; however, the rules differ based on initiation of treatment, treatment type and case load. Different terminology is used to describe this training across states and territories; the ACT uses the term endorsement whereas NSW, South Australia and Victoria refer to this training as an accreditation. The Northern Territory does not </w:t>
      </w:r>
      <w:r w:rsidR="00CB15E0">
        <w:t xml:space="preserve">appear to </w:t>
      </w:r>
      <w:r w:rsidRPr="00EA3458">
        <w:t>provide official training</w:t>
      </w:r>
      <w:r w:rsidR="00CB15E0">
        <w:t xml:space="preserve"> for prescribers</w:t>
      </w:r>
      <w:r w:rsidRPr="00EA3458">
        <w:t>.</w:t>
      </w:r>
    </w:p>
    <w:p w14:paraId="6B04EFA6" w14:textId="44873FA0" w:rsidR="00434810" w:rsidRPr="00EA3458" w:rsidRDefault="00434810">
      <w:pPr>
        <w:spacing w:after="160" w:line="259" w:lineRule="auto"/>
      </w:pPr>
      <w:r w:rsidRPr="00EA3458">
        <w:t xml:space="preserve">Pharmacists play a key role in delivering opioid dependence treatment services. </w:t>
      </w:r>
      <w:bookmarkStart w:id="268" w:name="_Hlk119418067"/>
      <w:r w:rsidR="00573258">
        <w:t>The literature review found that c</w:t>
      </w:r>
      <w:r w:rsidRPr="00EA3458">
        <w:t>ommunity pharmacy dosing is considered appropriate for: consumers already stabilised on treatment, consumers who do not require the high levels of supervision and monitoring provided by private or public O</w:t>
      </w:r>
      <w:r w:rsidR="0033315D">
        <w:t>D</w:t>
      </w:r>
      <w:r w:rsidRPr="00EA3458">
        <w:t>T clinics, or where clinic dosing is unavailable (e.g., consumers are unable to geographically access clinics due to mobility or transport issues).</w:t>
      </w:r>
      <w:bookmarkEnd w:id="268"/>
      <w:r w:rsidRPr="00EA3458">
        <w:t xml:space="preserve"> Community dispensing offers flexibility and convenience for consumers to be dosed near where they live or work. However, community dispensing has its challenges. Issues for consumers include limited pharmacy options and opening hours, lack of privacy and confidentiality with dosing in a smaller community pharmacy, expense associated with travel for dosing and pharmacy fees, difficulties with the time required to travel to collect medication, and concern about the impact this can have on employment</w:t>
      </w:r>
      <w:r w:rsidR="00B650BA">
        <w:t>.</w:t>
      </w:r>
      <w:r w:rsidR="002565E6" w:rsidRPr="00EA3458">
        <w:fldChar w:fldCharType="begin"/>
      </w:r>
      <w:r w:rsidR="002565E6">
        <w:instrText xml:space="preserve"> ADDIN EN.CITE &lt;EndNote&gt;&lt;Cite&gt;&lt;Author&gt;Hall&lt;/Author&gt;&lt;Year&gt;2021&lt;/Year&gt;&lt;RecNum&gt;35&lt;/RecNum&gt;&lt;DisplayText&gt;&lt;style face="superscript"&gt;34&lt;/style&gt;&lt;/DisplayText&gt;&lt;record&gt;&lt;rec-number&gt;35&lt;/rec-number&gt;&lt;foreign-keys&gt;&lt;key app="EN" db-id="xssz590sx9vzw4ewpzdv0s5sret50aexdtd9" timestamp="1668645412"&gt;35&lt;/key&gt;&lt;/foreign-keys&gt;&lt;ref-type name="Journal Article"&gt;17&lt;/ref-type&gt;&lt;contributors&gt;&lt;authors&gt;&lt;author&gt;Hall, NY.&lt;/author&gt;&lt;author&gt;Le, L. &lt;/author&gt;&lt;author&gt;Majmudar, I.&lt;/author&gt;&lt;author&gt;Mihalopoulos, C&lt;/author&gt;&lt;/authors&gt;&lt;/contributors&gt;&lt;titles&gt;&lt;title&gt;Barries to accessing opioid substitution treatment for opioid use disorder: A systematic review from the client perspective.&lt;/title&gt;&lt;secondary-title&gt;Drug Alcohol Depend&lt;/secondary-title&gt;&lt;/titles&gt;&lt;volume&gt;221&lt;/volume&gt;&lt;edition&gt;February 26, 2021&lt;/edition&gt;&lt;dates&gt;&lt;year&gt;2021&lt;/year&gt;&lt;/dates&gt;&lt;urls&gt;&lt;/urls&gt;&lt;/record&gt;&lt;/Cite&gt;&lt;/EndNote&gt;</w:instrText>
      </w:r>
      <w:r w:rsidR="002565E6" w:rsidRPr="00EA3458">
        <w:fldChar w:fldCharType="separate"/>
      </w:r>
      <w:r w:rsidR="002565E6" w:rsidRPr="00646D54">
        <w:rPr>
          <w:noProof/>
          <w:vertAlign w:val="superscript"/>
        </w:rPr>
        <w:t>34</w:t>
      </w:r>
      <w:r w:rsidR="002565E6" w:rsidRPr="00EA3458">
        <w:fldChar w:fldCharType="end"/>
      </w:r>
      <w:r w:rsidRPr="00EA3458">
        <w:t xml:space="preserve"> </w:t>
      </w:r>
    </w:p>
    <w:p w14:paraId="376A98AF" w14:textId="28C4B0A4" w:rsidR="00434810" w:rsidRPr="00EA3458" w:rsidRDefault="00434810">
      <w:pPr>
        <w:spacing w:after="160" w:line="259" w:lineRule="auto"/>
      </w:pPr>
      <w:r w:rsidRPr="00EA3458">
        <w:t xml:space="preserve">Some </w:t>
      </w:r>
      <w:r w:rsidR="00573258">
        <w:t>ODT programs</w:t>
      </w:r>
      <w:r w:rsidRPr="00EA3458">
        <w:t xml:space="preserve"> have a maximum number of consumers for supervised dosing</w:t>
      </w:r>
      <w:r w:rsidR="0033315D">
        <w:t xml:space="preserve"> of ODT medicines</w:t>
      </w:r>
      <w:r w:rsidRPr="00EA3458">
        <w:t xml:space="preserve"> (methadone and buprenorphine combined) at any one community pharmacy. In WA the cap is 50 consumers, in NSW a pharmacy can dispense to 65 consumers, and 85 in </w:t>
      </w:r>
      <w:r w:rsidRPr="00EA3458">
        <w:lastRenderedPageBreak/>
        <w:t>Victoria.</w:t>
      </w:r>
      <w:r w:rsidR="009D0F89">
        <w:t xml:space="preserve"> </w:t>
      </w:r>
      <w:r w:rsidRPr="00EA3458">
        <w:t xml:space="preserve">In most </w:t>
      </w:r>
      <w:r w:rsidR="00302745">
        <w:t>jurisdictions</w:t>
      </w:r>
      <w:r w:rsidRPr="00EA3458">
        <w:t xml:space="preserve"> accredited training for pharmacists in the delivery of O</w:t>
      </w:r>
      <w:r w:rsidR="0033315D">
        <w:t>D</w:t>
      </w:r>
      <w:r w:rsidRPr="00EA3458">
        <w:t>T</w:t>
      </w:r>
      <w:r w:rsidR="0033315D">
        <w:t xml:space="preserve"> medicine services</w:t>
      </w:r>
      <w:r w:rsidRPr="00EA3458">
        <w:t xml:space="preserve"> is not mandatory, although a review of processes around O</w:t>
      </w:r>
      <w:r w:rsidR="0033315D">
        <w:t>D</w:t>
      </w:r>
      <w:r w:rsidRPr="00EA3458">
        <w:t>T</w:t>
      </w:r>
      <w:r w:rsidR="0033315D">
        <w:t xml:space="preserve"> medicine service</w:t>
      </w:r>
      <w:r w:rsidRPr="00EA3458">
        <w:t xml:space="preserve"> delivery forms part of the </w:t>
      </w:r>
      <w:r w:rsidR="00515A22">
        <w:t xml:space="preserve">Pharmacy </w:t>
      </w:r>
      <w:r w:rsidR="00B200B8" w:rsidRPr="00EA3458">
        <w:t>Guild</w:t>
      </w:r>
      <w:r w:rsidR="00515A22">
        <w:t xml:space="preserve"> of Australia’s</w:t>
      </w:r>
      <w:r w:rsidR="00B200B8" w:rsidRPr="00EA3458">
        <w:t xml:space="preserve"> </w:t>
      </w:r>
      <w:r w:rsidRPr="00EA3458">
        <w:t>Quality Care Pharmacy Program accreditation process. As such, pharmacists are encouraged to participate in training regarding O</w:t>
      </w:r>
      <w:r w:rsidR="0033315D">
        <w:t>D</w:t>
      </w:r>
      <w:r w:rsidRPr="00EA3458">
        <w:t>T</w:t>
      </w:r>
      <w:r w:rsidR="0033315D">
        <w:t xml:space="preserve"> medicines</w:t>
      </w:r>
      <w:r w:rsidRPr="00EA3458">
        <w:t xml:space="preserve">. In the ACT and WA, a community pharmacist must ensure that all pharmacists dispensing treatment have successfully completed the required training. In Tasmania, accreditation to undertake opioid pharmacotherapy dosing requires each pharmacist to undertake a short professional development program and complete a short exam. It is </w:t>
      </w:r>
      <w:r w:rsidR="006C4489">
        <w:t>suggested</w:t>
      </w:r>
      <w:r w:rsidR="006C4489" w:rsidRPr="00EA3458">
        <w:t xml:space="preserve"> </w:t>
      </w:r>
      <w:r w:rsidRPr="00EA3458">
        <w:t>that all pharmacists complete their accreditation to dose O</w:t>
      </w:r>
      <w:r w:rsidR="0033315D">
        <w:t>D</w:t>
      </w:r>
      <w:r w:rsidRPr="00EA3458">
        <w:t>T</w:t>
      </w:r>
      <w:r w:rsidR="0033315D">
        <w:t xml:space="preserve"> medicines</w:t>
      </w:r>
      <w:r w:rsidRPr="00EA3458">
        <w:t xml:space="preserve"> during their intern year.</w:t>
      </w:r>
    </w:p>
    <w:p w14:paraId="0F704246" w14:textId="77777777" w:rsidR="00434810" w:rsidRPr="00EA3458" w:rsidRDefault="00434810">
      <w:pPr>
        <w:spacing w:line="259" w:lineRule="auto"/>
        <w:sectPr w:rsidR="00434810" w:rsidRPr="00EA3458" w:rsidSect="00055AA6">
          <w:headerReference w:type="default" r:id="rId16"/>
          <w:pgSz w:w="11906" w:h="16838"/>
          <w:pgMar w:top="1440" w:right="1440" w:bottom="1440" w:left="1440" w:header="708" w:footer="708" w:gutter="0"/>
          <w:cols w:space="708"/>
          <w:docGrid w:linePitch="360"/>
        </w:sectPr>
      </w:pPr>
    </w:p>
    <w:p w14:paraId="60AB42F5" w14:textId="50DFE4F8" w:rsidR="00434810" w:rsidRPr="00EA3458" w:rsidRDefault="00434810" w:rsidP="00B356F7">
      <w:pPr>
        <w:pStyle w:val="Tables"/>
        <w:spacing w:before="0"/>
      </w:pPr>
      <w:bookmarkStart w:id="269" w:name="_Toc116025676"/>
      <w:bookmarkStart w:id="270" w:name="_Toc120183439"/>
      <w:bookmarkStart w:id="271" w:name="_Toc132823427"/>
      <w:r w:rsidRPr="00EA3458">
        <w:lastRenderedPageBreak/>
        <w:t xml:space="preserve">Table </w:t>
      </w:r>
      <w:r w:rsidR="00253486">
        <w:t>7</w:t>
      </w:r>
      <w:r w:rsidR="001957C9">
        <w:t>.</w:t>
      </w:r>
      <w:r w:rsidRPr="00EA3458">
        <w:t xml:space="preserve"> Prescriber regulations across Australian jurisdictions</w:t>
      </w:r>
      <w:bookmarkEnd w:id="269"/>
      <w:bookmarkEnd w:id="270"/>
      <w:bookmarkEnd w:id="271"/>
    </w:p>
    <w:tbl>
      <w:tblPr>
        <w:tblStyle w:val="PlainTable2"/>
        <w:tblW w:w="0" w:type="auto"/>
        <w:tblInd w:w="0" w:type="dxa"/>
        <w:tblLook w:val="04A0" w:firstRow="1" w:lastRow="0" w:firstColumn="1" w:lastColumn="0" w:noHBand="0" w:noVBand="1"/>
      </w:tblPr>
      <w:tblGrid>
        <w:gridCol w:w="1845"/>
        <w:gridCol w:w="13849"/>
      </w:tblGrid>
      <w:tr w:rsidR="00434810" w:rsidRPr="00EA3458" w14:paraId="52F2E338" w14:textId="77777777" w:rsidTr="00CE03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left w:val="single" w:sz="4" w:space="0" w:color="7F7F7F" w:themeColor="text1" w:themeTint="80"/>
              <w:bottom w:val="single" w:sz="8" w:space="0" w:color="7F7F7F" w:themeColor="text1" w:themeTint="80"/>
              <w:right w:val="single" w:sz="4" w:space="0" w:color="7F7F7F" w:themeColor="text1" w:themeTint="80"/>
            </w:tcBorders>
            <w:shd w:val="clear" w:color="auto" w:fill="D9D9D9" w:themeFill="background1" w:themeFillShade="D9"/>
            <w:hideMark/>
          </w:tcPr>
          <w:p w14:paraId="25348E71" w14:textId="77777777" w:rsidR="00434810" w:rsidRPr="00EA3458" w:rsidRDefault="00434810" w:rsidP="00205455">
            <w:pPr>
              <w:jc w:val="left"/>
              <w:rPr>
                <w:sz w:val="20"/>
                <w:szCs w:val="20"/>
              </w:rPr>
            </w:pPr>
            <w:r w:rsidRPr="00EA3458">
              <w:rPr>
                <w:rFonts w:ascii="Calibri" w:eastAsia="Calibri" w:hAnsi="Calibri" w:cs="Calibri"/>
                <w:sz w:val="20"/>
                <w:szCs w:val="20"/>
              </w:rPr>
              <w:t>State\territory</w:t>
            </w:r>
          </w:p>
        </w:tc>
        <w:tc>
          <w:tcPr>
            <w:tcW w:w="0" w:type="auto"/>
            <w:tcBorders>
              <w:top w:val="single" w:sz="4" w:space="0" w:color="7F7F7F" w:themeColor="text1" w:themeTint="80"/>
              <w:left w:val="single" w:sz="4" w:space="0" w:color="7F7F7F" w:themeColor="text1" w:themeTint="80"/>
              <w:bottom w:val="single" w:sz="8" w:space="0" w:color="7F7F7F" w:themeColor="text1" w:themeTint="80"/>
              <w:right w:val="single" w:sz="4" w:space="0" w:color="7F7F7F" w:themeColor="text1" w:themeTint="80"/>
            </w:tcBorders>
            <w:shd w:val="clear" w:color="auto" w:fill="D9D9D9" w:themeFill="background1" w:themeFillShade="D9"/>
            <w:hideMark/>
          </w:tcPr>
          <w:p w14:paraId="6C494BEE" w14:textId="77777777" w:rsidR="00434810" w:rsidRPr="00EA3458" w:rsidRDefault="00434810" w:rsidP="00205455">
            <w:pPr>
              <w:jc w:val="left"/>
              <w:cnfStyle w:val="100000000000" w:firstRow="1" w:lastRow="0" w:firstColumn="0" w:lastColumn="0" w:oddVBand="0" w:evenVBand="0" w:oddHBand="0" w:evenHBand="0" w:firstRowFirstColumn="0" w:firstRowLastColumn="0" w:lastRowFirstColumn="0" w:lastRowLastColumn="0"/>
              <w:rPr>
                <w:bCs w:val="0"/>
                <w:sz w:val="20"/>
                <w:szCs w:val="20"/>
              </w:rPr>
            </w:pPr>
            <w:r w:rsidRPr="00EA3458">
              <w:rPr>
                <w:rFonts w:ascii="Calibri" w:eastAsia="Calibri" w:hAnsi="Calibri" w:cs="Calibri"/>
                <w:sz w:val="20"/>
                <w:szCs w:val="20"/>
              </w:rPr>
              <w:t>Prescriber regulations</w:t>
            </w:r>
          </w:p>
        </w:tc>
      </w:tr>
      <w:tr w:rsidR="00434810" w:rsidRPr="00EA3458" w14:paraId="1D3A1460" w14:textId="77777777" w:rsidTr="00CE03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7F7F7F" w:themeColor="text1" w:themeTint="80"/>
              <w:left w:val="single" w:sz="4" w:space="0" w:color="7F7F7F" w:themeColor="text1" w:themeTint="80"/>
              <w:bottom w:val="dotted" w:sz="4" w:space="0" w:color="7F7F7F" w:themeColor="text1" w:themeTint="80"/>
              <w:right w:val="single" w:sz="4" w:space="0" w:color="auto"/>
            </w:tcBorders>
            <w:hideMark/>
          </w:tcPr>
          <w:p w14:paraId="4B03BBA0" w14:textId="77777777" w:rsidR="00434810" w:rsidRPr="00EA3458" w:rsidRDefault="00434810" w:rsidP="00205455">
            <w:pPr>
              <w:spacing w:after="0"/>
              <w:jc w:val="left"/>
              <w:rPr>
                <w:sz w:val="20"/>
                <w:szCs w:val="20"/>
              </w:rPr>
            </w:pPr>
            <w:r w:rsidRPr="00EA3458">
              <w:rPr>
                <w:rFonts w:ascii="Calibri" w:eastAsia="Calibri" w:hAnsi="Calibri" w:cs="Calibri"/>
                <w:sz w:val="20"/>
                <w:szCs w:val="20"/>
              </w:rPr>
              <w:t>New South Wales</w:t>
            </w:r>
          </w:p>
        </w:tc>
        <w:tc>
          <w:tcPr>
            <w:tcW w:w="0" w:type="auto"/>
            <w:tcBorders>
              <w:top w:val="single" w:sz="8" w:space="0" w:color="7F7F7F" w:themeColor="text1" w:themeTint="80"/>
              <w:left w:val="single" w:sz="4" w:space="0" w:color="auto"/>
              <w:bottom w:val="dotted" w:sz="4" w:space="0" w:color="7F7F7F" w:themeColor="text1" w:themeTint="80"/>
              <w:right w:val="single" w:sz="4" w:space="0" w:color="7F7F7F" w:themeColor="text1" w:themeTint="80"/>
            </w:tcBorders>
            <w:hideMark/>
          </w:tcPr>
          <w:p w14:paraId="6941D29F" w14:textId="1BBA0F91" w:rsidR="00434810" w:rsidRPr="00EA3458" w:rsidRDefault="00434810" w:rsidP="00205455">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r w:rsidRPr="00EA3458">
              <w:rPr>
                <w:rFonts w:ascii="Calibri" w:eastAsia="Calibri" w:hAnsi="Calibri" w:cs="Calibri"/>
                <w:sz w:val="20"/>
                <w:szCs w:val="20"/>
              </w:rPr>
              <w:t xml:space="preserve">Prescribers must be accredited to prescribe opioids to up to 200 </w:t>
            </w:r>
            <w:r w:rsidR="00441126" w:rsidRPr="00EA3458">
              <w:rPr>
                <w:rFonts w:ascii="Calibri" w:eastAsia="Calibri" w:hAnsi="Calibri" w:cs="Calibri"/>
                <w:sz w:val="20"/>
                <w:szCs w:val="20"/>
              </w:rPr>
              <w:t>consumer</w:t>
            </w:r>
            <w:r w:rsidRPr="00EA3458">
              <w:rPr>
                <w:rFonts w:ascii="Calibri" w:eastAsia="Calibri" w:hAnsi="Calibri" w:cs="Calibri"/>
                <w:sz w:val="20"/>
                <w:szCs w:val="20"/>
              </w:rPr>
              <w:t xml:space="preserve">s who dose in community pharmacies or private clinics, or up to 300 </w:t>
            </w:r>
            <w:r w:rsidR="00441126" w:rsidRPr="00EA3458">
              <w:rPr>
                <w:rFonts w:ascii="Calibri" w:eastAsia="Calibri" w:hAnsi="Calibri" w:cs="Calibri"/>
                <w:sz w:val="20"/>
                <w:szCs w:val="20"/>
              </w:rPr>
              <w:t>consumer</w:t>
            </w:r>
            <w:r w:rsidRPr="00EA3458">
              <w:rPr>
                <w:rFonts w:ascii="Calibri" w:eastAsia="Calibri" w:hAnsi="Calibri" w:cs="Calibri"/>
                <w:sz w:val="20"/>
                <w:szCs w:val="20"/>
              </w:rPr>
              <w:t xml:space="preserve">s who dose in public clinics. To become accredited, prescribers are required to complete the Opioid Treatment Accreditation Course; pass a course examination; and complete a workplace assessment (a 2–3-hour clinical placement). Unaccredited prescribers may apply for an authority to initiate </w:t>
            </w:r>
            <w:r w:rsidR="00441126" w:rsidRPr="00EA3458">
              <w:rPr>
                <w:rFonts w:ascii="Calibri" w:eastAsia="Calibri" w:hAnsi="Calibri" w:cs="Calibri"/>
                <w:sz w:val="20"/>
                <w:szCs w:val="20"/>
              </w:rPr>
              <w:t>consumer</w:t>
            </w:r>
            <w:r w:rsidRPr="00EA3458">
              <w:rPr>
                <w:rFonts w:ascii="Calibri" w:eastAsia="Calibri" w:hAnsi="Calibri" w:cs="Calibri"/>
                <w:sz w:val="20"/>
                <w:szCs w:val="20"/>
              </w:rPr>
              <w:t xml:space="preserve">s with buprenorphine or </w:t>
            </w:r>
            <w:r w:rsidR="00270D98">
              <w:rPr>
                <w:rFonts w:ascii="Calibri" w:eastAsia="Calibri" w:hAnsi="Calibri" w:cs="Calibri"/>
                <w:sz w:val="20"/>
                <w:szCs w:val="20"/>
              </w:rPr>
              <w:t>buprenorphine + naloxone</w:t>
            </w:r>
            <w:r w:rsidRPr="00EA3458">
              <w:rPr>
                <w:rFonts w:ascii="Calibri" w:eastAsia="Calibri" w:hAnsi="Calibri" w:cs="Calibri"/>
                <w:sz w:val="20"/>
                <w:szCs w:val="20"/>
              </w:rPr>
              <w:t xml:space="preserve"> but are not allowed to initiate a </w:t>
            </w:r>
            <w:r w:rsidR="00441126" w:rsidRPr="00EA3458">
              <w:rPr>
                <w:rFonts w:ascii="Calibri" w:eastAsia="Calibri" w:hAnsi="Calibri" w:cs="Calibri"/>
                <w:sz w:val="20"/>
                <w:szCs w:val="20"/>
              </w:rPr>
              <w:t>consumer</w:t>
            </w:r>
            <w:r w:rsidRPr="00EA3458">
              <w:rPr>
                <w:rFonts w:ascii="Calibri" w:eastAsia="Calibri" w:hAnsi="Calibri" w:cs="Calibri"/>
                <w:sz w:val="20"/>
                <w:szCs w:val="20"/>
              </w:rPr>
              <w:t xml:space="preserve"> onto methadone. Unaccredited prescribers may be authorised to prescribe for up to 20 buprenorphine or </w:t>
            </w:r>
            <w:r w:rsidR="00270D98">
              <w:rPr>
                <w:rFonts w:ascii="Calibri" w:eastAsia="Calibri" w:hAnsi="Calibri" w:cs="Calibri"/>
                <w:sz w:val="20"/>
                <w:szCs w:val="20"/>
              </w:rPr>
              <w:t>buprenorphine + naloxone</w:t>
            </w:r>
            <w:r w:rsidRPr="00EA3458">
              <w:rPr>
                <w:rFonts w:ascii="Calibri" w:eastAsia="Calibri" w:hAnsi="Calibri" w:cs="Calibri"/>
                <w:sz w:val="20"/>
                <w:szCs w:val="20"/>
              </w:rPr>
              <w:t xml:space="preserve"> </w:t>
            </w:r>
            <w:r w:rsidR="00441126" w:rsidRPr="00EA3458">
              <w:rPr>
                <w:rFonts w:ascii="Calibri" w:eastAsia="Calibri" w:hAnsi="Calibri" w:cs="Calibri"/>
                <w:sz w:val="20"/>
                <w:szCs w:val="20"/>
              </w:rPr>
              <w:t>consumer</w:t>
            </w:r>
            <w:r w:rsidRPr="00EA3458">
              <w:rPr>
                <w:rFonts w:ascii="Calibri" w:eastAsia="Calibri" w:hAnsi="Calibri" w:cs="Calibri"/>
                <w:sz w:val="20"/>
                <w:szCs w:val="20"/>
              </w:rPr>
              <w:t xml:space="preserve">s and 10 methadone </w:t>
            </w:r>
            <w:r w:rsidR="00441126" w:rsidRPr="00EA3458">
              <w:rPr>
                <w:rFonts w:ascii="Calibri" w:eastAsia="Calibri" w:hAnsi="Calibri" w:cs="Calibri"/>
                <w:sz w:val="20"/>
                <w:szCs w:val="20"/>
              </w:rPr>
              <w:t>consumer</w:t>
            </w:r>
            <w:r w:rsidRPr="00EA3458">
              <w:rPr>
                <w:rFonts w:ascii="Calibri" w:eastAsia="Calibri" w:hAnsi="Calibri" w:cs="Calibri"/>
                <w:sz w:val="20"/>
                <w:szCs w:val="20"/>
              </w:rPr>
              <w:t xml:space="preserve">s. </w:t>
            </w:r>
          </w:p>
        </w:tc>
      </w:tr>
      <w:tr w:rsidR="00434810" w:rsidRPr="00EA3458" w14:paraId="7025AF78" w14:textId="77777777" w:rsidTr="00CE03C3">
        <w:tc>
          <w:tcPr>
            <w:cnfStyle w:val="001000000000" w:firstRow="0" w:lastRow="0" w:firstColumn="1" w:lastColumn="0" w:oddVBand="0" w:evenVBand="0" w:oddHBand="0" w:evenHBand="0" w:firstRowFirstColumn="0" w:firstRowLastColumn="0" w:lastRowFirstColumn="0" w:lastRowLastColumn="0"/>
            <w:tcW w:w="0" w:type="auto"/>
            <w:tcBorders>
              <w:top w:val="dotted" w:sz="4" w:space="0" w:color="7F7F7F" w:themeColor="text1" w:themeTint="80"/>
              <w:left w:val="single" w:sz="4" w:space="0" w:color="7F7F7F" w:themeColor="text1" w:themeTint="80"/>
              <w:bottom w:val="dotted" w:sz="4" w:space="0" w:color="7F7F7F" w:themeColor="text1" w:themeTint="80"/>
              <w:right w:val="single" w:sz="4" w:space="0" w:color="auto"/>
            </w:tcBorders>
            <w:hideMark/>
          </w:tcPr>
          <w:p w14:paraId="582C6EF4" w14:textId="77777777" w:rsidR="00434810" w:rsidRPr="00EA3458" w:rsidRDefault="00434810" w:rsidP="00205455">
            <w:pPr>
              <w:spacing w:after="0"/>
              <w:jc w:val="left"/>
              <w:rPr>
                <w:sz w:val="20"/>
                <w:szCs w:val="20"/>
              </w:rPr>
            </w:pPr>
            <w:r w:rsidRPr="00EA3458">
              <w:rPr>
                <w:rFonts w:ascii="Calibri" w:eastAsia="Calibri" w:hAnsi="Calibri" w:cs="Calibri"/>
                <w:sz w:val="20"/>
                <w:szCs w:val="20"/>
              </w:rPr>
              <w:t>Victoria</w:t>
            </w:r>
          </w:p>
        </w:tc>
        <w:tc>
          <w:tcPr>
            <w:tcW w:w="0" w:type="auto"/>
            <w:tcBorders>
              <w:top w:val="dotted" w:sz="4" w:space="0" w:color="7F7F7F" w:themeColor="text1" w:themeTint="80"/>
              <w:left w:val="single" w:sz="4" w:space="0" w:color="auto"/>
              <w:bottom w:val="dotted" w:sz="4" w:space="0" w:color="7F7F7F" w:themeColor="text1" w:themeTint="80"/>
              <w:right w:val="single" w:sz="4" w:space="0" w:color="7F7F7F" w:themeColor="text1" w:themeTint="80"/>
            </w:tcBorders>
            <w:hideMark/>
          </w:tcPr>
          <w:p w14:paraId="3BA97CCE" w14:textId="230C8747" w:rsidR="00434810" w:rsidRPr="00EA3458" w:rsidRDefault="00434810" w:rsidP="00205455">
            <w:pPr>
              <w:spacing w:after="0"/>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EA3458">
              <w:rPr>
                <w:rFonts w:ascii="Calibri" w:eastAsia="Calibri" w:hAnsi="Calibri" w:cs="Calibri"/>
                <w:sz w:val="20"/>
                <w:szCs w:val="20"/>
              </w:rPr>
              <w:t xml:space="preserve">Training involves two modules; the first is completed online; followed by a 1-day workshop. Initial permission to prescribe all pharmacotherapies is limited to treatment for up to five </w:t>
            </w:r>
            <w:r w:rsidR="00441126" w:rsidRPr="00EA3458">
              <w:rPr>
                <w:rFonts w:ascii="Calibri" w:eastAsia="Calibri" w:hAnsi="Calibri" w:cs="Calibri"/>
                <w:sz w:val="20"/>
                <w:szCs w:val="20"/>
              </w:rPr>
              <w:t>consumer</w:t>
            </w:r>
            <w:r w:rsidRPr="00EA3458">
              <w:rPr>
                <w:rFonts w:ascii="Calibri" w:eastAsia="Calibri" w:hAnsi="Calibri" w:cs="Calibri"/>
                <w:sz w:val="20"/>
                <w:szCs w:val="20"/>
              </w:rPr>
              <w:t xml:space="preserve">s (unless under the close supervision of an established pharmacotherapy prescriber). Since the COVID-19 pandemic buprenorphine/naloxone can be prescribed for up to 30 </w:t>
            </w:r>
            <w:r w:rsidR="00441126" w:rsidRPr="00EA3458">
              <w:rPr>
                <w:rFonts w:ascii="Calibri" w:eastAsia="Calibri" w:hAnsi="Calibri" w:cs="Calibri"/>
                <w:sz w:val="20"/>
                <w:szCs w:val="20"/>
              </w:rPr>
              <w:t>consumer</w:t>
            </w:r>
            <w:r w:rsidRPr="00EA3458">
              <w:rPr>
                <w:rFonts w:ascii="Calibri" w:eastAsia="Calibri" w:hAnsi="Calibri" w:cs="Calibri"/>
                <w:sz w:val="20"/>
                <w:szCs w:val="20"/>
              </w:rPr>
              <w:t xml:space="preserve">s without completing Module 2. Completing Module 2 is essential for medical and nurse practitioners who want to increase buprenorphine/ naloxone </w:t>
            </w:r>
            <w:r w:rsidR="00441126" w:rsidRPr="00EA3458">
              <w:rPr>
                <w:rFonts w:ascii="Calibri" w:eastAsia="Calibri" w:hAnsi="Calibri" w:cs="Calibri"/>
                <w:sz w:val="20"/>
                <w:szCs w:val="20"/>
              </w:rPr>
              <w:t>consumer</w:t>
            </w:r>
            <w:r w:rsidRPr="00EA3458">
              <w:rPr>
                <w:rFonts w:ascii="Calibri" w:eastAsia="Calibri" w:hAnsi="Calibri" w:cs="Calibri"/>
                <w:sz w:val="20"/>
                <w:szCs w:val="20"/>
              </w:rPr>
              <w:t xml:space="preserve"> numbers or prescribe methadone or buprenorphine (without naloxone).</w:t>
            </w:r>
          </w:p>
        </w:tc>
      </w:tr>
      <w:tr w:rsidR="00434810" w:rsidRPr="00EA3458" w14:paraId="19CE718B" w14:textId="77777777" w:rsidTr="00CE03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dotted" w:sz="4" w:space="0" w:color="7F7F7F" w:themeColor="text1" w:themeTint="80"/>
              <w:left w:val="single" w:sz="4" w:space="0" w:color="7F7F7F" w:themeColor="text1" w:themeTint="80"/>
              <w:bottom w:val="dotted" w:sz="4" w:space="0" w:color="7F7F7F" w:themeColor="text1" w:themeTint="80"/>
              <w:right w:val="single" w:sz="4" w:space="0" w:color="auto"/>
            </w:tcBorders>
            <w:hideMark/>
          </w:tcPr>
          <w:p w14:paraId="70C9771E" w14:textId="77777777" w:rsidR="00434810" w:rsidRPr="00EA3458" w:rsidRDefault="00434810" w:rsidP="00205455">
            <w:pPr>
              <w:spacing w:after="0"/>
              <w:jc w:val="left"/>
              <w:rPr>
                <w:sz w:val="20"/>
                <w:szCs w:val="20"/>
              </w:rPr>
            </w:pPr>
            <w:r w:rsidRPr="00EA3458">
              <w:rPr>
                <w:rFonts w:ascii="Calibri" w:eastAsia="Calibri" w:hAnsi="Calibri" w:cs="Calibri"/>
                <w:sz w:val="20"/>
                <w:szCs w:val="20"/>
              </w:rPr>
              <w:t>Queensland</w:t>
            </w:r>
          </w:p>
        </w:tc>
        <w:tc>
          <w:tcPr>
            <w:tcW w:w="0" w:type="auto"/>
            <w:tcBorders>
              <w:top w:val="dotted" w:sz="4" w:space="0" w:color="7F7F7F" w:themeColor="text1" w:themeTint="80"/>
              <w:left w:val="single" w:sz="4" w:space="0" w:color="auto"/>
              <w:bottom w:val="dotted" w:sz="4" w:space="0" w:color="7F7F7F" w:themeColor="text1" w:themeTint="80"/>
              <w:right w:val="single" w:sz="4" w:space="0" w:color="7F7F7F" w:themeColor="text1" w:themeTint="80"/>
            </w:tcBorders>
            <w:hideMark/>
          </w:tcPr>
          <w:p w14:paraId="7BEBA2B8" w14:textId="17DCF04D" w:rsidR="00434810" w:rsidRPr="00EA3458" w:rsidRDefault="00434810" w:rsidP="00205455">
            <w:pPr>
              <w:spacing w:after="0"/>
              <w:jc w:val="left"/>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sidRPr="00EA3458">
              <w:rPr>
                <w:rFonts w:ascii="Calibri" w:eastAsia="Calibri" w:hAnsi="Calibri" w:cs="Calibri"/>
                <w:sz w:val="20"/>
                <w:szCs w:val="20"/>
              </w:rPr>
              <w:t xml:space="preserve">There are multiple prescriber types: level 1 can prescribe the full suite of pharmacotherapy; level 2 is an interim prescriber, typically on hospital rotation and can prescribe the full suite of pharmacotherapy for 3 months under supervision; a </w:t>
            </w:r>
            <w:r w:rsidR="00270D98">
              <w:rPr>
                <w:rFonts w:ascii="Calibri" w:eastAsia="Calibri" w:hAnsi="Calibri" w:cs="Calibri"/>
                <w:sz w:val="20"/>
                <w:szCs w:val="20"/>
              </w:rPr>
              <w:t>buprenorphine + naloxone</w:t>
            </w:r>
            <w:r w:rsidRPr="00EA3458">
              <w:rPr>
                <w:rFonts w:ascii="Calibri" w:eastAsia="Calibri" w:hAnsi="Calibri" w:cs="Calibri"/>
                <w:sz w:val="20"/>
                <w:szCs w:val="20"/>
              </w:rPr>
              <w:t xml:space="preserve"> only prescriber type has a </w:t>
            </w:r>
            <w:r w:rsidR="00441126" w:rsidRPr="00EA3458">
              <w:rPr>
                <w:rFonts w:ascii="Calibri" w:eastAsia="Calibri" w:hAnsi="Calibri" w:cs="Calibri"/>
                <w:sz w:val="20"/>
                <w:szCs w:val="20"/>
              </w:rPr>
              <w:t>consumer</w:t>
            </w:r>
            <w:r w:rsidRPr="00EA3458">
              <w:rPr>
                <w:rFonts w:ascii="Calibri" w:eastAsia="Calibri" w:hAnsi="Calibri" w:cs="Calibri"/>
                <w:sz w:val="20"/>
                <w:szCs w:val="20"/>
              </w:rPr>
              <w:t xml:space="preserve"> cap of 20; and lastly a community shared care prescriber who can provide the full suite of pharmacotherapy under an approved share-care arrangement with an approved prescriber. There are no caps for other prescriber types.  </w:t>
            </w:r>
          </w:p>
        </w:tc>
      </w:tr>
      <w:tr w:rsidR="00434810" w:rsidRPr="00EA3458" w14:paraId="4173F2E4" w14:textId="77777777" w:rsidTr="00CE03C3">
        <w:tc>
          <w:tcPr>
            <w:cnfStyle w:val="001000000000" w:firstRow="0" w:lastRow="0" w:firstColumn="1" w:lastColumn="0" w:oddVBand="0" w:evenVBand="0" w:oddHBand="0" w:evenHBand="0" w:firstRowFirstColumn="0" w:firstRowLastColumn="0" w:lastRowFirstColumn="0" w:lastRowLastColumn="0"/>
            <w:tcW w:w="0" w:type="auto"/>
            <w:tcBorders>
              <w:top w:val="dotted" w:sz="4" w:space="0" w:color="7F7F7F" w:themeColor="text1" w:themeTint="80"/>
              <w:left w:val="single" w:sz="4" w:space="0" w:color="7F7F7F" w:themeColor="text1" w:themeTint="80"/>
              <w:bottom w:val="dotted" w:sz="4" w:space="0" w:color="7F7F7F" w:themeColor="text1" w:themeTint="80"/>
              <w:right w:val="single" w:sz="4" w:space="0" w:color="auto"/>
            </w:tcBorders>
            <w:hideMark/>
          </w:tcPr>
          <w:p w14:paraId="1FE6AF59" w14:textId="77777777" w:rsidR="00434810" w:rsidRPr="00EA3458" w:rsidRDefault="00434810" w:rsidP="00205455">
            <w:pPr>
              <w:spacing w:after="0"/>
              <w:jc w:val="left"/>
              <w:rPr>
                <w:sz w:val="20"/>
                <w:szCs w:val="20"/>
              </w:rPr>
            </w:pPr>
            <w:r w:rsidRPr="00EA3458">
              <w:rPr>
                <w:rFonts w:ascii="Calibri" w:eastAsia="Calibri" w:hAnsi="Calibri" w:cs="Calibri"/>
                <w:sz w:val="20"/>
                <w:szCs w:val="20"/>
              </w:rPr>
              <w:t>Western Australia</w:t>
            </w:r>
          </w:p>
        </w:tc>
        <w:tc>
          <w:tcPr>
            <w:tcW w:w="0" w:type="auto"/>
            <w:tcBorders>
              <w:top w:val="dotted" w:sz="4" w:space="0" w:color="7F7F7F" w:themeColor="text1" w:themeTint="80"/>
              <w:left w:val="single" w:sz="4" w:space="0" w:color="auto"/>
              <w:bottom w:val="dotted" w:sz="4" w:space="0" w:color="7F7F7F" w:themeColor="text1" w:themeTint="80"/>
              <w:right w:val="single" w:sz="4" w:space="0" w:color="7F7F7F" w:themeColor="text1" w:themeTint="80"/>
            </w:tcBorders>
            <w:hideMark/>
          </w:tcPr>
          <w:p w14:paraId="6FE1B89B" w14:textId="5D27174D" w:rsidR="00434810" w:rsidRPr="00EA3458" w:rsidRDefault="00434810" w:rsidP="00205455">
            <w:pPr>
              <w:spacing w:after="0"/>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EA3458">
              <w:rPr>
                <w:rFonts w:ascii="Calibri" w:eastAsia="Calibri" w:hAnsi="Calibri" w:cs="Calibri"/>
                <w:sz w:val="20"/>
                <w:szCs w:val="20"/>
              </w:rPr>
              <w:t xml:space="preserve">A metro prescriber is permitted to prescribe for a maximum of 50 active pharmacotherapy </w:t>
            </w:r>
            <w:r w:rsidR="00441126" w:rsidRPr="00EA3458">
              <w:rPr>
                <w:rFonts w:ascii="Calibri" w:eastAsia="Calibri" w:hAnsi="Calibri" w:cs="Calibri"/>
                <w:sz w:val="20"/>
                <w:szCs w:val="20"/>
              </w:rPr>
              <w:t>consumer</w:t>
            </w:r>
            <w:r w:rsidRPr="00EA3458">
              <w:rPr>
                <w:rFonts w:ascii="Calibri" w:eastAsia="Calibri" w:hAnsi="Calibri" w:cs="Calibri"/>
                <w:sz w:val="20"/>
                <w:szCs w:val="20"/>
              </w:rPr>
              <w:t xml:space="preserve">s. A regional prescriber is limited to a maximum of 25 pharmacotherapy </w:t>
            </w:r>
            <w:r w:rsidR="00441126" w:rsidRPr="00EA3458">
              <w:rPr>
                <w:rFonts w:ascii="Calibri" w:eastAsia="Calibri" w:hAnsi="Calibri" w:cs="Calibri"/>
                <w:sz w:val="20"/>
                <w:szCs w:val="20"/>
              </w:rPr>
              <w:t>consumer</w:t>
            </w:r>
            <w:r w:rsidRPr="00EA3458">
              <w:rPr>
                <w:rFonts w:ascii="Calibri" w:eastAsia="Calibri" w:hAnsi="Calibri" w:cs="Calibri"/>
                <w:sz w:val="20"/>
                <w:szCs w:val="20"/>
              </w:rPr>
              <w:t>s. The risk to continuity of care is particularly high where the prescriber is a sole practitioner and/or is in a regional area. Other prescribers may not be available to continue treatment if a prescriber withdraws from the program. Each prescriber is required to complete a 6-hour face to face training session and take-home assessment package for all approved forms of pharmacotherapy. An online program is currently being developed.</w:t>
            </w:r>
          </w:p>
        </w:tc>
      </w:tr>
      <w:tr w:rsidR="00434810" w:rsidRPr="00EA3458" w14:paraId="305B247C" w14:textId="77777777" w:rsidTr="00CE03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dotted" w:sz="4" w:space="0" w:color="7F7F7F" w:themeColor="text1" w:themeTint="80"/>
              <w:left w:val="single" w:sz="4" w:space="0" w:color="7F7F7F" w:themeColor="text1" w:themeTint="80"/>
              <w:bottom w:val="dotted" w:sz="4" w:space="0" w:color="7F7F7F" w:themeColor="text1" w:themeTint="80"/>
              <w:right w:val="single" w:sz="4" w:space="0" w:color="auto"/>
            </w:tcBorders>
            <w:hideMark/>
          </w:tcPr>
          <w:p w14:paraId="1839F3EA" w14:textId="77777777" w:rsidR="00434810" w:rsidRPr="00EA3458" w:rsidRDefault="00434810" w:rsidP="00205455">
            <w:pPr>
              <w:spacing w:after="0"/>
              <w:jc w:val="left"/>
              <w:rPr>
                <w:sz w:val="20"/>
                <w:szCs w:val="20"/>
              </w:rPr>
            </w:pPr>
            <w:r w:rsidRPr="00EA3458">
              <w:rPr>
                <w:rFonts w:ascii="Calibri" w:eastAsia="Calibri" w:hAnsi="Calibri" w:cs="Calibri"/>
                <w:sz w:val="20"/>
                <w:szCs w:val="20"/>
              </w:rPr>
              <w:t>South Australia</w:t>
            </w:r>
          </w:p>
        </w:tc>
        <w:tc>
          <w:tcPr>
            <w:tcW w:w="0" w:type="auto"/>
            <w:tcBorders>
              <w:top w:val="dotted" w:sz="4" w:space="0" w:color="7F7F7F" w:themeColor="text1" w:themeTint="80"/>
              <w:left w:val="single" w:sz="4" w:space="0" w:color="auto"/>
              <w:bottom w:val="dotted" w:sz="4" w:space="0" w:color="7F7F7F" w:themeColor="text1" w:themeTint="80"/>
              <w:right w:val="single" w:sz="4" w:space="0" w:color="7F7F7F" w:themeColor="text1" w:themeTint="80"/>
            </w:tcBorders>
            <w:hideMark/>
          </w:tcPr>
          <w:p w14:paraId="024F1EBF" w14:textId="032A6C2B" w:rsidR="00434810" w:rsidRPr="00EA3458" w:rsidRDefault="00434810" w:rsidP="00205455">
            <w:pPr>
              <w:tabs>
                <w:tab w:val="left" w:pos="1800"/>
                <w:tab w:val="left" w:pos="2520"/>
              </w:tabs>
              <w:spacing w:after="0"/>
              <w:jc w:val="left"/>
              <w:cnfStyle w:val="000000100000" w:firstRow="0" w:lastRow="0" w:firstColumn="0" w:lastColumn="0" w:oddVBand="0" w:evenVBand="0" w:oddHBand="1" w:evenHBand="0" w:firstRowFirstColumn="0" w:firstRowLastColumn="0" w:lastRowFirstColumn="0" w:lastRowLastColumn="0"/>
              <w:rPr>
                <w:sz w:val="20"/>
                <w:szCs w:val="20"/>
              </w:rPr>
            </w:pPr>
            <w:r w:rsidRPr="00EA3458">
              <w:rPr>
                <w:rFonts w:ascii="Calibri" w:eastAsia="Calibri" w:hAnsi="Calibri" w:cs="Calibri"/>
                <w:sz w:val="20"/>
                <w:szCs w:val="20"/>
              </w:rPr>
              <w:t xml:space="preserve">A prescriber must become accredited if they wish to prescribe buprenorphine/naloxone film for more than ten </w:t>
            </w:r>
            <w:r w:rsidR="00441126" w:rsidRPr="00EA3458">
              <w:rPr>
                <w:rFonts w:ascii="Calibri" w:eastAsia="Calibri" w:hAnsi="Calibri" w:cs="Calibri"/>
                <w:sz w:val="20"/>
                <w:szCs w:val="20"/>
              </w:rPr>
              <w:t>consumer</w:t>
            </w:r>
            <w:r w:rsidRPr="00EA3458">
              <w:rPr>
                <w:rFonts w:ascii="Calibri" w:eastAsia="Calibri" w:hAnsi="Calibri" w:cs="Calibri"/>
                <w:sz w:val="20"/>
                <w:szCs w:val="20"/>
              </w:rPr>
              <w:t xml:space="preserve">s at one time or prescribe: methadone liquid, buprenorphine as a single agent (Subutex®), or long-acting buprenorphine. Prescriber training involves completing an online course followed by a 3-hour skills development component involving </w:t>
            </w:r>
            <w:r w:rsidR="00441126" w:rsidRPr="00EA3458">
              <w:rPr>
                <w:rFonts w:ascii="Calibri" w:eastAsia="Calibri" w:hAnsi="Calibri" w:cs="Calibri"/>
                <w:sz w:val="20"/>
                <w:szCs w:val="20"/>
              </w:rPr>
              <w:t>consumer</w:t>
            </w:r>
            <w:r w:rsidRPr="00EA3458">
              <w:rPr>
                <w:rFonts w:ascii="Calibri" w:eastAsia="Calibri" w:hAnsi="Calibri" w:cs="Calibri"/>
                <w:sz w:val="20"/>
                <w:szCs w:val="20"/>
              </w:rPr>
              <w:t xml:space="preserve">s. Unaccredited medical practitioners can still prescribe buprenorphine with naloxone in film form (Suboxone®) for up to 10 </w:t>
            </w:r>
            <w:r w:rsidR="00441126" w:rsidRPr="00EA3458">
              <w:rPr>
                <w:rFonts w:ascii="Calibri" w:eastAsia="Calibri" w:hAnsi="Calibri" w:cs="Calibri"/>
                <w:sz w:val="20"/>
                <w:szCs w:val="20"/>
              </w:rPr>
              <w:t>consumer</w:t>
            </w:r>
            <w:r w:rsidRPr="00EA3458">
              <w:rPr>
                <w:rFonts w:ascii="Calibri" w:eastAsia="Calibri" w:hAnsi="Calibri" w:cs="Calibri"/>
                <w:sz w:val="20"/>
                <w:szCs w:val="20"/>
              </w:rPr>
              <w:t>s for opioid dependence.</w:t>
            </w:r>
          </w:p>
        </w:tc>
      </w:tr>
      <w:tr w:rsidR="00434810" w:rsidRPr="00EA3458" w14:paraId="48E64110" w14:textId="77777777" w:rsidTr="00CE03C3">
        <w:tc>
          <w:tcPr>
            <w:cnfStyle w:val="001000000000" w:firstRow="0" w:lastRow="0" w:firstColumn="1" w:lastColumn="0" w:oddVBand="0" w:evenVBand="0" w:oddHBand="0" w:evenHBand="0" w:firstRowFirstColumn="0" w:firstRowLastColumn="0" w:lastRowFirstColumn="0" w:lastRowLastColumn="0"/>
            <w:tcW w:w="0" w:type="auto"/>
            <w:tcBorders>
              <w:top w:val="dotted" w:sz="4" w:space="0" w:color="7F7F7F" w:themeColor="text1" w:themeTint="80"/>
              <w:left w:val="single" w:sz="4" w:space="0" w:color="7F7F7F" w:themeColor="text1" w:themeTint="80"/>
              <w:bottom w:val="dotted" w:sz="4" w:space="0" w:color="7F7F7F" w:themeColor="text1" w:themeTint="80"/>
              <w:right w:val="single" w:sz="4" w:space="0" w:color="auto"/>
            </w:tcBorders>
            <w:hideMark/>
          </w:tcPr>
          <w:p w14:paraId="33936B23" w14:textId="77777777" w:rsidR="00434810" w:rsidRPr="00EA3458" w:rsidRDefault="00434810" w:rsidP="00205455">
            <w:pPr>
              <w:spacing w:after="0"/>
              <w:jc w:val="left"/>
              <w:rPr>
                <w:sz w:val="20"/>
                <w:szCs w:val="20"/>
              </w:rPr>
            </w:pPr>
            <w:r w:rsidRPr="00EA3458">
              <w:rPr>
                <w:rFonts w:ascii="Calibri" w:eastAsia="Calibri" w:hAnsi="Calibri" w:cs="Calibri"/>
                <w:sz w:val="20"/>
                <w:szCs w:val="20"/>
              </w:rPr>
              <w:t>Tasmania</w:t>
            </w:r>
          </w:p>
        </w:tc>
        <w:tc>
          <w:tcPr>
            <w:tcW w:w="0" w:type="auto"/>
            <w:tcBorders>
              <w:top w:val="dotted" w:sz="4" w:space="0" w:color="7F7F7F" w:themeColor="text1" w:themeTint="80"/>
              <w:left w:val="single" w:sz="4" w:space="0" w:color="auto"/>
              <w:bottom w:val="dotted" w:sz="4" w:space="0" w:color="7F7F7F" w:themeColor="text1" w:themeTint="80"/>
              <w:right w:val="single" w:sz="4" w:space="0" w:color="7F7F7F" w:themeColor="text1" w:themeTint="80"/>
            </w:tcBorders>
            <w:hideMark/>
          </w:tcPr>
          <w:p w14:paraId="3981F023" w14:textId="2ADB6A44" w:rsidR="00434810" w:rsidRPr="00EA3458" w:rsidRDefault="00434810" w:rsidP="00205455">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r w:rsidRPr="00EA3458">
              <w:rPr>
                <w:rFonts w:ascii="Calibri" w:eastAsia="Calibri" w:hAnsi="Calibri" w:cs="Calibri"/>
                <w:sz w:val="20"/>
                <w:szCs w:val="20"/>
              </w:rPr>
              <w:t xml:space="preserve">To become an authorised prescriber, an application to the Alcohol and Drug Service (ADS) Clinical Director must be made and complete training in opioid dependence and pharmacotherapy with an ADS Addiction Medicine Specialist. Prescribers will also be invited to observe a pharmacotherapy practice during a clinic; they must pass a multi question exam. A prescriber in a full-time general practice can prescribe methadone or buprenorphine to a maximum of 20 </w:t>
            </w:r>
            <w:r w:rsidR="00441126" w:rsidRPr="00EA3458">
              <w:rPr>
                <w:rFonts w:ascii="Calibri" w:eastAsia="Calibri" w:hAnsi="Calibri" w:cs="Calibri"/>
                <w:sz w:val="20"/>
                <w:szCs w:val="20"/>
              </w:rPr>
              <w:t>consumer</w:t>
            </w:r>
            <w:r w:rsidRPr="00EA3458">
              <w:rPr>
                <w:rFonts w:ascii="Calibri" w:eastAsia="Calibri" w:hAnsi="Calibri" w:cs="Calibri"/>
                <w:sz w:val="20"/>
                <w:szCs w:val="20"/>
              </w:rPr>
              <w:t>s. Practitioners with clinical skills and an interest in this area can apply to increase this number.</w:t>
            </w:r>
          </w:p>
        </w:tc>
      </w:tr>
      <w:tr w:rsidR="00434810" w:rsidRPr="00EA3458" w14:paraId="56964219" w14:textId="77777777" w:rsidTr="00CE03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dotted" w:sz="4" w:space="0" w:color="7F7F7F" w:themeColor="text1" w:themeTint="80"/>
              <w:left w:val="single" w:sz="4" w:space="0" w:color="7F7F7F" w:themeColor="text1" w:themeTint="80"/>
              <w:right w:val="single" w:sz="4" w:space="0" w:color="auto"/>
            </w:tcBorders>
            <w:hideMark/>
          </w:tcPr>
          <w:p w14:paraId="445ACE31" w14:textId="77777777" w:rsidR="00434810" w:rsidRPr="00EA3458" w:rsidRDefault="00434810" w:rsidP="00205455">
            <w:pPr>
              <w:spacing w:after="0"/>
              <w:jc w:val="left"/>
              <w:rPr>
                <w:sz w:val="20"/>
                <w:szCs w:val="20"/>
              </w:rPr>
            </w:pPr>
            <w:r w:rsidRPr="00EA3458">
              <w:rPr>
                <w:rFonts w:ascii="Calibri" w:eastAsia="Calibri" w:hAnsi="Calibri" w:cs="Calibri"/>
                <w:sz w:val="20"/>
                <w:szCs w:val="20"/>
              </w:rPr>
              <w:t>Australian Capital Territory</w:t>
            </w:r>
          </w:p>
        </w:tc>
        <w:tc>
          <w:tcPr>
            <w:tcW w:w="0" w:type="auto"/>
            <w:tcBorders>
              <w:top w:val="dotted" w:sz="4" w:space="0" w:color="7F7F7F" w:themeColor="text1" w:themeTint="80"/>
              <w:left w:val="single" w:sz="4" w:space="0" w:color="auto"/>
              <w:right w:val="single" w:sz="4" w:space="0" w:color="7F7F7F" w:themeColor="text1" w:themeTint="80"/>
            </w:tcBorders>
            <w:hideMark/>
          </w:tcPr>
          <w:p w14:paraId="6AA4FD4C" w14:textId="1A8C54A9" w:rsidR="00434810" w:rsidRPr="00EA3458" w:rsidRDefault="00434810" w:rsidP="00205455">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r w:rsidRPr="00EA3458">
              <w:rPr>
                <w:rFonts w:ascii="Calibri" w:eastAsia="Calibri" w:hAnsi="Calibri" w:cs="Calibri"/>
                <w:sz w:val="20"/>
                <w:szCs w:val="20"/>
              </w:rPr>
              <w:t xml:space="preserve">A prescriber must hold an endorsement to treat drug-dependency if they wish to initiate </w:t>
            </w:r>
            <w:r w:rsidR="00441126" w:rsidRPr="00EA3458">
              <w:rPr>
                <w:rFonts w:ascii="Calibri" w:eastAsia="Calibri" w:hAnsi="Calibri" w:cs="Calibri"/>
                <w:sz w:val="20"/>
                <w:szCs w:val="20"/>
              </w:rPr>
              <w:t>consumer</w:t>
            </w:r>
            <w:r w:rsidRPr="00EA3458">
              <w:rPr>
                <w:rFonts w:ascii="Calibri" w:eastAsia="Calibri" w:hAnsi="Calibri" w:cs="Calibri"/>
                <w:sz w:val="20"/>
                <w:szCs w:val="20"/>
              </w:rPr>
              <w:t xml:space="preserve">s onto treatment or to prescribe for more than five stable </w:t>
            </w:r>
            <w:r w:rsidR="00441126" w:rsidRPr="00EA3458">
              <w:rPr>
                <w:rFonts w:ascii="Calibri" w:eastAsia="Calibri" w:hAnsi="Calibri" w:cs="Calibri"/>
                <w:sz w:val="20"/>
                <w:szCs w:val="20"/>
              </w:rPr>
              <w:t>consumer</w:t>
            </w:r>
            <w:r w:rsidRPr="00EA3458">
              <w:rPr>
                <w:rFonts w:ascii="Calibri" w:eastAsia="Calibri" w:hAnsi="Calibri" w:cs="Calibri"/>
                <w:sz w:val="20"/>
                <w:szCs w:val="20"/>
              </w:rPr>
              <w:t xml:space="preserve">s at a time unless the prescriber is working at a defined ACT institution. An endorsed prescriber has no limits to the number of </w:t>
            </w:r>
            <w:r w:rsidR="00441126" w:rsidRPr="00EA3458">
              <w:rPr>
                <w:rFonts w:ascii="Calibri" w:eastAsia="Calibri" w:hAnsi="Calibri" w:cs="Calibri"/>
                <w:sz w:val="20"/>
                <w:szCs w:val="20"/>
              </w:rPr>
              <w:t>consumer</w:t>
            </w:r>
            <w:r w:rsidRPr="00EA3458">
              <w:rPr>
                <w:rFonts w:ascii="Calibri" w:eastAsia="Calibri" w:hAnsi="Calibri" w:cs="Calibri"/>
                <w:sz w:val="20"/>
                <w:szCs w:val="20"/>
              </w:rPr>
              <w:t>s. To become endorsed, prescribers must have successfully completed a designated training program with short examination and a practical placement. To maintain endorsement prescribers are required to undertake refresher training every five years.</w:t>
            </w:r>
          </w:p>
        </w:tc>
      </w:tr>
      <w:tr w:rsidR="00434810" w:rsidRPr="00EA3458" w14:paraId="2AEE6EAB" w14:textId="77777777" w:rsidTr="00CE03C3">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14:paraId="5D728BBA" w14:textId="77777777" w:rsidR="00434810" w:rsidRPr="00EA3458" w:rsidRDefault="00434810" w:rsidP="00205455">
            <w:pPr>
              <w:spacing w:after="0"/>
              <w:jc w:val="left"/>
              <w:rPr>
                <w:sz w:val="20"/>
                <w:szCs w:val="20"/>
              </w:rPr>
            </w:pPr>
            <w:r w:rsidRPr="00EA3458">
              <w:rPr>
                <w:rFonts w:ascii="Calibri" w:eastAsia="Calibri" w:hAnsi="Calibri" w:cs="Calibri"/>
                <w:sz w:val="20"/>
                <w:szCs w:val="20"/>
              </w:rPr>
              <w:t>Northern Territory</w:t>
            </w:r>
          </w:p>
        </w:tc>
        <w:tc>
          <w:tcPr>
            <w:tcW w:w="0" w:type="auto"/>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14:paraId="0E6745D3" w14:textId="6346600D" w:rsidR="00434810" w:rsidRPr="00EA3458" w:rsidRDefault="00434810" w:rsidP="00205455">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r w:rsidRPr="00EA3458">
              <w:rPr>
                <w:rFonts w:ascii="Calibri" w:eastAsia="Calibri" w:hAnsi="Calibri" w:cs="Calibri"/>
                <w:sz w:val="20"/>
                <w:szCs w:val="20"/>
              </w:rPr>
              <w:t xml:space="preserve">A prescriber must </w:t>
            </w:r>
            <w:r w:rsidR="00C6260F" w:rsidRPr="00EA3458">
              <w:rPr>
                <w:rFonts w:ascii="Calibri" w:eastAsia="Calibri" w:hAnsi="Calibri" w:cs="Calibri"/>
                <w:sz w:val="20"/>
                <w:szCs w:val="20"/>
              </w:rPr>
              <w:t>apply</w:t>
            </w:r>
            <w:r w:rsidRPr="00EA3458">
              <w:rPr>
                <w:rFonts w:ascii="Calibri" w:eastAsia="Calibri" w:hAnsi="Calibri" w:cs="Calibri"/>
                <w:sz w:val="20"/>
                <w:szCs w:val="20"/>
              </w:rPr>
              <w:t xml:space="preserve"> to the </w:t>
            </w:r>
            <w:r w:rsidR="00DA2DA6">
              <w:rPr>
                <w:rFonts w:ascii="Calibri" w:eastAsia="Calibri" w:hAnsi="Calibri" w:cs="Calibri"/>
                <w:sz w:val="20"/>
                <w:szCs w:val="20"/>
              </w:rPr>
              <w:t xml:space="preserve">NT </w:t>
            </w:r>
            <w:r w:rsidRPr="00EA3458">
              <w:rPr>
                <w:rFonts w:ascii="Calibri" w:eastAsia="Calibri" w:hAnsi="Calibri" w:cs="Calibri"/>
                <w:sz w:val="20"/>
                <w:szCs w:val="20"/>
              </w:rPr>
              <w:t xml:space="preserve">Chief Health Officer (CHO) for an authorisation to prescribe to each </w:t>
            </w:r>
            <w:r w:rsidR="00441126" w:rsidRPr="00EA3458">
              <w:rPr>
                <w:rFonts w:ascii="Calibri" w:eastAsia="Calibri" w:hAnsi="Calibri" w:cs="Calibri"/>
                <w:sz w:val="20"/>
                <w:szCs w:val="20"/>
              </w:rPr>
              <w:t>consumer</w:t>
            </w:r>
            <w:r w:rsidRPr="00EA3458">
              <w:rPr>
                <w:rFonts w:ascii="Calibri" w:eastAsia="Calibri" w:hAnsi="Calibri" w:cs="Calibri"/>
                <w:sz w:val="20"/>
                <w:szCs w:val="20"/>
              </w:rPr>
              <w:t xml:space="preserve">. The CHO decides in relation to each individual application whether the prescriber is competent. Each prescriber is allowed 10 buprenorphine, buprenorphine/naloxone and methadone authorisations and may apply in writing for an increase.  </w:t>
            </w:r>
          </w:p>
        </w:tc>
      </w:tr>
    </w:tbl>
    <w:p w14:paraId="7B2A71F1" w14:textId="160042BA" w:rsidR="00434810" w:rsidRPr="00B356F7" w:rsidRDefault="00434810" w:rsidP="007B6A6D">
      <w:pPr>
        <w:spacing w:line="256" w:lineRule="auto"/>
        <w:rPr>
          <w:sz w:val="16"/>
          <w:szCs w:val="16"/>
        </w:rPr>
        <w:sectPr w:rsidR="00434810" w:rsidRPr="00B356F7" w:rsidSect="00EC14DA">
          <w:headerReference w:type="default" r:id="rId17"/>
          <w:pgSz w:w="16838" w:h="11906" w:orient="landscape"/>
          <w:pgMar w:top="397" w:right="567" w:bottom="397" w:left="567" w:header="567" w:footer="709" w:gutter="0"/>
          <w:cols w:space="708"/>
          <w:docGrid w:linePitch="360"/>
        </w:sectPr>
      </w:pPr>
      <w:r w:rsidRPr="00B356F7">
        <w:rPr>
          <w:rFonts w:eastAsia="Calibri" w:cs="Calibri"/>
          <w:sz w:val="16"/>
          <w:szCs w:val="16"/>
        </w:rPr>
        <w:t xml:space="preserve">Information has been drawn from relevant policy documents. </w:t>
      </w:r>
      <w:r w:rsidR="008A0334">
        <w:rPr>
          <w:rFonts w:eastAsia="Calibri" w:cs="Calibri"/>
          <w:sz w:val="16"/>
          <w:szCs w:val="16"/>
        </w:rPr>
        <w:t>A</w:t>
      </w:r>
      <w:r w:rsidRPr="00B356F7">
        <w:rPr>
          <w:rFonts w:eastAsia="Calibri" w:cs="Calibri"/>
          <w:sz w:val="16"/>
          <w:szCs w:val="16"/>
        </w:rPr>
        <w:t xml:space="preserve">ll states and territories require and provide some prescriber training, though the nature of this training differs in each jurisdiction. Restrictions on prescribing (e.g., </w:t>
      </w:r>
      <w:r w:rsidR="00441126" w:rsidRPr="00B356F7">
        <w:rPr>
          <w:rFonts w:eastAsia="Calibri" w:cs="Calibri"/>
          <w:sz w:val="16"/>
          <w:szCs w:val="16"/>
        </w:rPr>
        <w:t>consumer</w:t>
      </w:r>
      <w:r w:rsidRPr="00B356F7">
        <w:rPr>
          <w:rFonts w:eastAsia="Calibri" w:cs="Calibri"/>
          <w:sz w:val="16"/>
          <w:szCs w:val="16"/>
        </w:rPr>
        <w:t xml:space="preserve"> caps before and after training) also differ by jurisdiction.      </w:t>
      </w:r>
    </w:p>
    <w:p w14:paraId="26623279" w14:textId="77777777" w:rsidR="00434810" w:rsidRPr="00EA3458" w:rsidRDefault="00434810" w:rsidP="00DA0E77">
      <w:pPr>
        <w:pStyle w:val="Heading4"/>
      </w:pPr>
      <w:bookmarkStart w:id="272" w:name="_Toc99135834"/>
      <w:bookmarkStart w:id="273" w:name="_Toc116025869"/>
      <w:r w:rsidRPr="00EA3458">
        <w:lastRenderedPageBreak/>
        <w:t>Comparison of Australian and international treatment guidelines</w:t>
      </w:r>
      <w:bookmarkEnd w:id="272"/>
      <w:bookmarkEnd w:id="273"/>
      <w:r w:rsidRPr="00EA3458">
        <w:t xml:space="preserve"> </w:t>
      </w:r>
    </w:p>
    <w:p w14:paraId="2037129E" w14:textId="207C5440" w:rsidR="00434810" w:rsidRPr="00EA3458" w:rsidRDefault="00434810" w:rsidP="00F22F00">
      <w:r w:rsidRPr="00EA3458">
        <w:t>O</w:t>
      </w:r>
      <w:r w:rsidR="0033315D">
        <w:t>D</w:t>
      </w:r>
      <w:r w:rsidRPr="00EA3458">
        <w:t>T</w:t>
      </w:r>
      <w:r w:rsidR="0033315D">
        <w:t xml:space="preserve"> medicine</w:t>
      </w:r>
      <w:r w:rsidRPr="00EA3458">
        <w:t xml:space="preserve"> guideline documents </w:t>
      </w:r>
      <w:r w:rsidR="00307B05">
        <w:t xml:space="preserve">commonly include elements </w:t>
      </w:r>
      <w:r w:rsidR="00646B2D">
        <w:t xml:space="preserve">relating to program delivery </w:t>
      </w:r>
      <w:r w:rsidR="00307B05">
        <w:t>which include (but are not limited to)</w:t>
      </w:r>
      <w:r w:rsidR="00307B05" w:rsidRPr="00EA3458">
        <w:t xml:space="preserve"> </w:t>
      </w:r>
      <w:r w:rsidRPr="00EA3458">
        <w:t>eligibility criteria for receiving O</w:t>
      </w:r>
      <w:r w:rsidR="0033315D">
        <w:t>D</w:t>
      </w:r>
      <w:r w:rsidRPr="00EA3458">
        <w:t>T</w:t>
      </w:r>
      <w:r w:rsidR="0033315D">
        <w:t xml:space="preserve"> medicines</w:t>
      </w:r>
      <w:r w:rsidRPr="00EA3458">
        <w:t>, dosing requirements, restrictions on prescribers, pharmacists, and consumers, consumer fees and subsidies from government entities</w:t>
      </w:r>
      <w:r w:rsidR="00646B2D">
        <w:t xml:space="preserve">. </w:t>
      </w:r>
      <w:r w:rsidR="00A33097">
        <w:t xml:space="preserve">Additionally, </w:t>
      </w:r>
      <w:r w:rsidR="00307B05">
        <w:t xml:space="preserve">guidelines also cover other </w:t>
      </w:r>
      <w:r w:rsidR="00A33097">
        <w:t>elements related to treatment includ</w:t>
      </w:r>
      <w:r w:rsidR="0083592C">
        <w:t>ing</w:t>
      </w:r>
      <w:r w:rsidR="00646B2D">
        <w:t xml:space="preserve"> </w:t>
      </w:r>
      <w:r w:rsidRPr="00EA3458">
        <w:t xml:space="preserve">unsupervised dosing, and urine drug screening. The literature review extracted details from guideline and policy documents from Australia, the United Kingdom, England, Scotland, Wales, and Canada. Comparator countries were selected due to similarities in the healthcare systems in each of these countries to Australia. </w:t>
      </w:r>
    </w:p>
    <w:p w14:paraId="7BD1F5E3" w14:textId="26166EE6" w:rsidR="00434810" w:rsidRPr="00EA3458" w:rsidRDefault="00434810" w:rsidP="00F22F00">
      <w:pPr>
        <w:pStyle w:val="Heading5"/>
        <w:rPr>
          <w:i/>
        </w:rPr>
      </w:pPr>
      <w:r w:rsidRPr="00EA3458">
        <w:t>Eligibility criteria for O</w:t>
      </w:r>
      <w:r w:rsidR="0033315D">
        <w:t>D</w:t>
      </w:r>
      <w:r w:rsidRPr="00EA3458">
        <w:t>T</w:t>
      </w:r>
      <w:r w:rsidR="0033315D">
        <w:t xml:space="preserve"> medicines</w:t>
      </w:r>
    </w:p>
    <w:p w14:paraId="40D2F209" w14:textId="7FCCE907" w:rsidR="00434810" w:rsidRPr="00EA3458" w:rsidRDefault="00434810" w:rsidP="00F22F00">
      <w:r w:rsidRPr="00EA3458">
        <w:t>Eligibility criteria across O</w:t>
      </w:r>
      <w:r w:rsidR="0033315D">
        <w:t>D</w:t>
      </w:r>
      <w:r w:rsidRPr="00EA3458">
        <w:t xml:space="preserve">T </w:t>
      </w:r>
      <w:r w:rsidR="0033315D">
        <w:t xml:space="preserve">medicine </w:t>
      </w:r>
      <w:r w:rsidRPr="00EA3458">
        <w:t>guidelines from Australia largely omitted information regarding the minimum age for treatment entry. However, the province of Ontario in Canada did mention a minimum age of 16 years and federal guidelines suggest that individuals under 18 are eligible for O</w:t>
      </w:r>
      <w:r w:rsidR="0033315D">
        <w:t>D</w:t>
      </w:r>
      <w:r w:rsidRPr="00EA3458">
        <w:t>T</w:t>
      </w:r>
      <w:r w:rsidR="0033315D">
        <w:t xml:space="preserve"> medicines</w:t>
      </w:r>
      <w:r w:rsidRPr="00EA3458">
        <w:t xml:space="preserve"> if they fulfill the criteria for opioid dependence. Like Australian guidelines, most jurisdictions mention the requirement of an opioid dependence diagnosis for an individual to be eligible to receive O</w:t>
      </w:r>
      <w:r w:rsidR="0033315D">
        <w:t>D</w:t>
      </w:r>
      <w:r w:rsidRPr="00EA3458">
        <w:t>T</w:t>
      </w:r>
      <w:r w:rsidR="0033315D">
        <w:t xml:space="preserve"> medicines</w:t>
      </w:r>
      <w:r w:rsidRPr="00EA3458">
        <w:t>. Guidelines from the province of Alberta, where injectable diacetylmorphine or hydromorphone are available as O</w:t>
      </w:r>
      <w:r w:rsidR="0033315D">
        <w:t>D</w:t>
      </w:r>
      <w:r w:rsidRPr="00EA3458">
        <w:t>T</w:t>
      </w:r>
      <w:r w:rsidR="0033315D">
        <w:t xml:space="preserve"> medicines</w:t>
      </w:r>
      <w:r w:rsidRPr="00EA3458">
        <w:t>, state that individuals require a diagnosis of opioid use disorder, current or previous intravenous drug use, and previous attempts using oral forms of O</w:t>
      </w:r>
      <w:r w:rsidR="0033315D">
        <w:t>D</w:t>
      </w:r>
      <w:r w:rsidRPr="00EA3458">
        <w:t>T</w:t>
      </w:r>
      <w:r w:rsidR="0033315D">
        <w:t xml:space="preserve"> medicines</w:t>
      </w:r>
      <w:r w:rsidRPr="00EA3458">
        <w:t>.</w:t>
      </w:r>
      <w:hyperlink w:anchor="_ENREF_36" w:tooltip="Alberta College of Pharmacy, 2021 #37" w:history="1">
        <w:r w:rsidR="002565E6" w:rsidRPr="00EA3458">
          <w:fldChar w:fldCharType="begin"/>
        </w:r>
        <w:r w:rsidR="002565E6">
          <w:instrText xml:space="preserve"> ADDIN EN.CITE &lt;EndNote&gt;&lt;Cite&gt;&lt;Author&gt;Alberta College of Pharmacy&lt;/Author&gt;&lt;Year&gt;2021&lt;/Year&gt;&lt;RecNum&gt;37&lt;/RecNum&gt;&lt;DisplayText&gt;&lt;style face="superscript"&gt;36&lt;/style&gt;&lt;/DisplayText&gt;&lt;record&gt;&lt;rec-number&gt;37&lt;/rec-number&gt;&lt;foreign-keys&gt;&lt;key app="EN" db-id="xssz590sx9vzw4ewpzdv0s5sret50aexdtd9" timestamp="1668645425"&gt;37&lt;/key&gt;&lt;/foreign-keys&gt;&lt;ref-type name="Report"&gt;27&lt;/ref-type&gt;&lt;contributors&gt;&lt;authors&gt;&lt;author&gt;Alberta College of Pharmacy,&lt;/author&gt;&lt;/authors&gt;&lt;/contributors&gt;&lt;titles&gt;&lt;title&gt;Opioid Agonist Therapy (OAT) guidelines &lt;/title&gt;&lt;/titles&gt;&lt;dates&gt;&lt;year&gt;2021&lt;/year&gt;&lt;/dates&gt;&lt;urls&gt;&lt;related-urls&gt;&lt;url&gt;https://abpharmacy.ca/sites/default/files/OAT_Guidelines.pdf&lt;/url&gt;&lt;/related-urls&gt;&lt;/urls&gt;&lt;/record&gt;&lt;/Cite&gt;&lt;/EndNote&gt;</w:instrText>
        </w:r>
        <w:r w:rsidR="002565E6" w:rsidRPr="00EA3458">
          <w:fldChar w:fldCharType="separate"/>
        </w:r>
        <w:r w:rsidR="002565E6" w:rsidRPr="00646D54">
          <w:rPr>
            <w:noProof/>
            <w:vertAlign w:val="superscript"/>
          </w:rPr>
          <w:t>36</w:t>
        </w:r>
        <w:r w:rsidR="002565E6" w:rsidRPr="00EA3458">
          <w:fldChar w:fldCharType="end"/>
        </w:r>
      </w:hyperlink>
    </w:p>
    <w:p w14:paraId="779C24C0" w14:textId="77777777" w:rsidR="00434810" w:rsidRPr="00EA3458" w:rsidRDefault="00434810" w:rsidP="004139FC">
      <w:pPr>
        <w:pStyle w:val="Heading5"/>
        <w:rPr>
          <w:i/>
        </w:rPr>
      </w:pPr>
      <w:r w:rsidRPr="00EA3458">
        <w:t>Guidelines regarding daily doses prescribed</w:t>
      </w:r>
    </w:p>
    <w:p w14:paraId="3C3ABFA7" w14:textId="2AF81931" w:rsidR="00434810" w:rsidRPr="00EA3458" w:rsidRDefault="00434810" w:rsidP="004139FC">
      <w:r w:rsidRPr="00EA3458">
        <w:t>The National Institute for Health and Care Excellence (NICE) guidelines in the United Kingdom provide information on the initial daily dose recommended for methadone and buprenorphine. For methadone, the initial daily dose range is between 10-30mg, lowered to 10-20mg if the opioid tolerance is unknown. For buprenorphine, the initial daily dose range is 4-8mg, increasing to a maintenance dose in the range of 12-16mg</w:t>
      </w:r>
      <w:hyperlink w:anchor="_ENREF_37" w:tooltip="Clinical Guidelines on Drug Misuse and Dependence Update 2017 Independent Expert Working Group, 2017 #38" w:history="1">
        <w:r w:rsidR="002565E6" w:rsidRPr="00EA3458">
          <w:fldChar w:fldCharType="begin"/>
        </w:r>
        <w:r w:rsidR="002565E6">
          <w:instrText xml:space="preserve"> ADDIN EN.CITE &lt;EndNote&gt;&lt;Cite&gt;&lt;Author&gt;Clinical Guidelines on Drug Misuse and Dependence Update 2017 Independent Expert Working Group&lt;/Author&gt;&lt;Year&gt;2017&lt;/Year&gt;&lt;RecNum&gt;38&lt;/RecNum&gt;&lt;DisplayText&gt;&lt;style face="superscript"&gt;37&lt;/style&gt;&lt;/DisplayText&gt;&lt;record&gt;&lt;rec-number&gt;38&lt;/rec-number&gt;&lt;foreign-keys&gt;&lt;key app="EN" db-id="xssz590sx9vzw4ewpzdv0s5sret50aexdtd9" timestamp="1668645429"&gt;38&lt;/key&gt;&lt;/foreign-keys&gt;&lt;ref-type name="Report"&gt;27&lt;/ref-type&gt;&lt;contributors&gt;&lt;authors&gt;&lt;author&gt;Clinical Guidelines on Drug Misuse and Dependence Update 2017 Independent Expert Working Group, &lt;/author&gt;&lt;/authors&gt;&lt;/contributors&gt;&lt;titles&gt;&lt;title&gt;Drug misuse and dependence: UK guidelines on clinical management &lt;/title&gt;&lt;/titles&gt;&lt;dates&gt;&lt;year&gt;2017&lt;/year&gt;&lt;/dates&gt;&lt;pub-location&gt;London&lt;/pub-location&gt;&lt;publisher&gt;Department of Health &lt;/publisher&gt;&lt;orig-pub&gt;July 2017 &lt;/orig-pub&gt;&lt;urls&gt;&lt;/urls&gt;&lt;/record&gt;&lt;/Cite&gt;&lt;/EndNote&gt;</w:instrText>
        </w:r>
        <w:r w:rsidR="002565E6" w:rsidRPr="00EA3458">
          <w:fldChar w:fldCharType="separate"/>
        </w:r>
        <w:r w:rsidR="002565E6" w:rsidRPr="00646D54">
          <w:rPr>
            <w:noProof/>
            <w:vertAlign w:val="superscript"/>
          </w:rPr>
          <w:t>37</w:t>
        </w:r>
        <w:r w:rsidR="002565E6" w:rsidRPr="00EA3458">
          <w:fldChar w:fldCharType="end"/>
        </w:r>
      </w:hyperlink>
      <w:r w:rsidRPr="00EA3458">
        <w:t>. Guidelines for methadone in Ontario and Alberta state an initial daily dose of 10-30mg</w:t>
      </w:r>
      <w:r w:rsidR="00656634">
        <w:t>,</w:t>
      </w:r>
      <w:r w:rsidRPr="00EA3458">
        <w:fldChar w:fldCharType="begin"/>
      </w:r>
      <w:r w:rsidR="00646D54">
        <w:instrText xml:space="preserve"> ADDIN EN.CITE &lt;EndNote&gt;&lt;Cite&gt;&lt;Author&gt;Alberta College of Pharmacy&lt;/Author&gt;&lt;Year&gt;2021&lt;/Year&gt;&lt;RecNum&gt;37&lt;/RecNum&gt;&lt;DisplayText&gt;&lt;style face="superscript"&gt;36, 38&lt;/style&gt;&lt;/DisplayText&gt;&lt;record&gt;&lt;rec-number&gt;37&lt;/rec-number&gt;&lt;foreign-keys&gt;&lt;key app="EN" db-id="xssz590sx9vzw4ewpzdv0s5sret50aexdtd9" timestamp="1668645425"&gt;37&lt;/key&gt;&lt;/foreign-keys&gt;&lt;ref-type name="Report"&gt;27&lt;/ref-type&gt;&lt;contributors&gt;&lt;authors&gt;&lt;author&gt;Alberta College of Pharmacy,&lt;/author&gt;&lt;/authors&gt;&lt;/contributors&gt;&lt;titles&gt;&lt;title&gt;Opioid Agonist Therapy (OAT) guidelines &lt;/title&gt;&lt;/titles&gt;&lt;dates&gt;&lt;year&gt;2021&lt;/year&gt;&lt;/dates&gt;&lt;urls&gt;&lt;related-urls&gt;&lt;url&gt;https://abpharmacy.ca/sites/default/files/OAT_Guidelines.pdf&lt;/url&gt;&lt;/related-urls&gt;&lt;/urls&gt;&lt;/record&gt;&lt;/Cite&gt;&lt;Cite&gt;&lt;Author&gt;Canadian Research Initiative in Substance Misuse&lt;/Author&gt;&lt;Year&gt;2020&lt;/Year&gt;&lt;RecNum&gt;39&lt;/RecNum&gt;&lt;record&gt;&lt;rec-number&gt;39&lt;/rec-number&gt;&lt;foreign-keys&gt;&lt;key app="EN" db-id="xssz590sx9vzw4ewpzdv0s5sret50aexdtd9" timestamp="1668645435"&gt;39&lt;/key&gt;&lt;/foreign-keys&gt;&lt;ref-type name="Report"&gt;27&lt;/ref-type&gt;&lt;contributors&gt;&lt;authors&gt;&lt;author&gt;Canadian Research Initiative in Substance Misuse, &lt;/author&gt;&lt;/authors&gt;&lt;/contributors&gt;&lt;titles&gt;&lt;title&gt;CRISM National Guideline for the Clinical Management of Opioid Use &lt;/title&gt;&lt;/titles&gt;&lt;dates&gt;&lt;year&gt;2020&lt;/year&gt;&lt;/dates&gt;&lt;urls&gt;&lt;related-urls&gt;&lt;url&gt;https://crism.ca/wp-content/uploads/2018/03/CRISM_NationalGuideline_OUD-ENG.pdf&lt;/url&gt;&lt;/related-urls&gt;&lt;/urls&gt;&lt;/record&gt;&lt;/Cite&gt;&lt;/EndNote&gt;</w:instrText>
      </w:r>
      <w:r w:rsidRPr="00EA3458">
        <w:fldChar w:fldCharType="separate"/>
      </w:r>
      <w:hyperlink w:anchor="_ENREF_36" w:tooltip="Alberta College of Pharmacy, 2021 #37" w:history="1">
        <w:r w:rsidR="002565E6" w:rsidRPr="00646D54">
          <w:rPr>
            <w:noProof/>
            <w:vertAlign w:val="superscript"/>
          </w:rPr>
          <w:t>36</w:t>
        </w:r>
      </w:hyperlink>
      <w:r w:rsidR="00646D54" w:rsidRPr="00646D54">
        <w:rPr>
          <w:noProof/>
          <w:vertAlign w:val="superscript"/>
        </w:rPr>
        <w:t>,</w:t>
      </w:r>
      <w:hyperlink w:anchor="_ENREF_38" w:tooltip="Canadian Research Initiative in Substance Misuse, 2020 #39" w:history="1">
        <w:r w:rsidR="002565E6" w:rsidRPr="00646D54">
          <w:rPr>
            <w:noProof/>
            <w:vertAlign w:val="superscript"/>
          </w:rPr>
          <w:t>38</w:t>
        </w:r>
      </w:hyperlink>
      <w:r w:rsidRPr="00EA3458">
        <w:fldChar w:fldCharType="end"/>
      </w:r>
      <w:r w:rsidRPr="00EA3458">
        <w:t xml:space="preserve"> while the range increases in British Columbia from 5-30mg</w:t>
      </w:r>
      <w:r w:rsidR="00656634">
        <w:t>.</w:t>
      </w:r>
      <w:hyperlink w:anchor="_ENREF_39" w:tooltip="British Columbia Centre on Substance Use, 2017 #40" w:history="1">
        <w:r w:rsidR="002565E6" w:rsidRPr="00EA3458">
          <w:fldChar w:fldCharType="begin"/>
        </w:r>
        <w:r w:rsidR="002565E6">
          <w:instrText xml:space="preserve"> ADDIN EN.CITE &lt;EndNote&gt;&lt;Cite&gt;&lt;Author&gt;British Columbia Centre on Substance Use&lt;/Author&gt;&lt;Year&gt;2017&lt;/Year&gt;&lt;RecNum&gt;40&lt;/RecNum&gt;&lt;DisplayText&gt;&lt;style face="superscript"&gt;39&lt;/style&gt;&lt;/DisplayText&gt;&lt;record&gt;&lt;rec-number&gt;40&lt;/rec-number&gt;&lt;foreign-keys&gt;&lt;key app="EN" db-id="xssz590sx9vzw4ewpzdv0s5sret50aexdtd9" timestamp="1668645439"&gt;40&lt;/key&gt;&lt;/foreign-keys&gt;&lt;ref-type name="Report"&gt;27&lt;/ref-type&gt;&lt;contributors&gt;&lt;authors&gt;&lt;author&gt;British Columbia Centre on Substance Use,&lt;/author&gt;&lt;/authors&gt;&lt;/contributors&gt;&lt;titles&gt;&lt;title&gt;A Guideline for the Clinical Management of Opioid Use Disorder &lt;/title&gt;&lt;/titles&gt;&lt;dates&gt;&lt;year&gt;2017&lt;/year&gt;&lt;/dates&gt;&lt;urls&gt;&lt;related-urls&gt;&lt;url&gt;https://www.bccsu.ca/wp-content/uploads/2017/06/BC-OUD-Guidelines_June2017.pdf&lt;/url&gt;&lt;/related-urls&gt;&lt;/urls&gt;&lt;/record&gt;&lt;/Cite&gt;&lt;/EndNote&gt;</w:instrText>
        </w:r>
        <w:r w:rsidR="002565E6" w:rsidRPr="00EA3458">
          <w:fldChar w:fldCharType="separate"/>
        </w:r>
        <w:r w:rsidR="002565E6" w:rsidRPr="00646D54">
          <w:rPr>
            <w:noProof/>
            <w:vertAlign w:val="superscript"/>
          </w:rPr>
          <w:t>39</w:t>
        </w:r>
        <w:r w:rsidR="002565E6" w:rsidRPr="00EA3458">
          <w:fldChar w:fldCharType="end"/>
        </w:r>
      </w:hyperlink>
      <w:r w:rsidRPr="00EA3458">
        <w:t xml:space="preserve"> For Quebec, methadone dosing is individualised and determined by the care provider</w:t>
      </w:r>
      <w:r w:rsidR="00656634">
        <w:t>.</w:t>
      </w:r>
      <w:hyperlink w:anchor="_ENREF_40" w:tooltip="Institut Universitaire Sur Les Dependances, 2020 #41" w:history="1">
        <w:r w:rsidR="002565E6" w:rsidRPr="00EA3458">
          <w:fldChar w:fldCharType="begin"/>
        </w:r>
        <w:r w:rsidR="002565E6">
          <w:instrText xml:space="preserve"> ADDIN EN.CITE &lt;EndNote&gt;&lt;Cite&gt;&lt;Author&gt;Institut Universitaire Sur Les Dependances&lt;/Author&gt;&lt;Year&gt;2020&lt;/Year&gt;&lt;RecNum&gt;41&lt;/RecNum&gt;&lt;DisplayText&gt;&lt;style face="superscript"&gt;40&lt;/style&gt;&lt;/DisplayText&gt;&lt;record&gt;&lt;rec-number&gt;41&lt;/rec-number&gt;&lt;foreign-keys&gt;&lt;key app="EN" db-id="xssz590sx9vzw4ewpzdv0s5sret50aexdtd9" timestamp="1668645443"&gt;41&lt;/key&gt;&lt;/foreign-keys&gt;&lt;ref-type name="Report"&gt;27&lt;/ref-type&gt;&lt;contributors&gt;&lt;authors&gt;&lt;author&gt;Institut Universitaire Sur Les Dependances,&lt;/author&gt;&lt;/authors&gt;&lt;/contributors&gt;&lt;titles&gt;&lt;title&gt;Quebec Guide to Improving Practices in the Management of Opioid Use Disorder &lt;/title&gt;&lt;/titles&gt;&lt;dates&gt;&lt;year&gt;2020&lt;/year&gt;&lt;/dates&gt;&lt;pub-location&gt;Montreal, Quebec&lt;/pub-location&gt;&lt;urls&gt;&lt;related-urls&gt;&lt;url&gt;http://dependanceitinerance.ca/wp-content/uploads/2020/09/GuideTUO-EN-sept2020.pdf&lt;/url&gt;&lt;/related-urls&gt;&lt;/urls&gt;&lt;/record&gt;&lt;/Cite&gt;&lt;/EndNote&gt;</w:instrText>
        </w:r>
        <w:r w:rsidR="002565E6" w:rsidRPr="00EA3458">
          <w:fldChar w:fldCharType="separate"/>
        </w:r>
        <w:r w:rsidR="002565E6" w:rsidRPr="00646D54">
          <w:rPr>
            <w:noProof/>
            <w:vertAlign w:val="superscript"/>
          </w:rPr>
          <w:t>40</w:t>
        </w:r>
        <w:r w:rsidR="002565E6" w:rsidRPr="00EA3458">
          <w:fldChar w:fldCharType="end"/>
        </w:r>
      </w:hyperlink>
      <w:r w:rsidRPr="00EA3458">
        <w:t xml:space="preserve"> Centre for Addiction and Mental Health (CAMH) guidelines are followed for buprenorphine dosing and apply across Ontario, Quebec, </w:t>
      </w:r>
      <w:r w:rsidR="00C6260F" w:rsidRPr="00EA3458">
        <w:t>Alberta,</w:t>
      </w:r>
      <w:r w:rsidRPr="00EA3458">
        <w:t xml:space="preserve"> and British Columbia. Initial dose is between 2-4mg, with doses increased by increments of 2-4mg to a maximum of 8-16mg/day</w:t>
      </w:r>
      <w:r w:rsidR="00656634">
        <w:t>.</w:t>
      </w:r>
      <w:hyperlink w:anchor="_ENREF_41" w:tooltip="Centre for Addiction and Mental Health, 2021 #42" w:history="1">
        <w:r w:rsidR="002565E6" w:rsidRPr="00EA3458">
          <w:fldChar w:fldCharType="begin"/>
        </w:r>
        <w:r w:rsidR="002565E6">
          <w:instrText xml:space="preserve"> ADDIN EN.CITE &lt;EndNote&gt;&lt;Cite&gt;&lt;Author&gt;Centre for Addiction and Mental Health&lt;/Author&gt;&lt;Year&gt;2021&lt;/Year&gt;&lt;RecNum&gt;42&lt;/RecNum&gt;&lt;DisplayText&gt;&lt;style face="superscript"&gt;41&lt;/style&gt;&lt;/DisplayText&gt;&lt;record&gt;&lt;rec-number&gt;42&lt;/rec-number&gt;&lt;foreign-keys&gt;&lt;key app="EN" db-id="xssz590sx9vzw4ewpzdv0s5sret50aexdtd9" timestamp="1668645448"&gt;42&lt;/key&gt;&lt;/foreign-keys&gt;&lt;ref-type name="Report"&gt;27&lt;/ref-type&gt;&lt;contributors&gt;&lt;authors&gt;&lt;author&gt;Centre for Addiction and Mental Health,&lt;/author&gt;&lt;/authors&gt;&lt;/contributors&gt;&lt;titles&gt;&lt;title&gt;Opioid Agonist Therapy: A Synthesis of Canadian Guidelines for Treating Opioid Use Disorder &lt;/title&gt;&lt;/titles&gt;&lt;dates&gt;&lt;year&gt;2021&lt;/year&gt;&lt;/dates&gt;&lt;urls&gt;&lt;related-urls&gt;&lt;url&gt;www.camh.ca&lt;/url&gt;&lt;/related-urls&gt;&lt;/urls&gt;&lt;/record&gt;&lt;/Cite&gt;&lt;/EndNote&gt;</w:instrText>
        </w:r>
        <w:r w:rsidR="002565E6" w:rsidRPr="00EA3458">
          <w:fldChar w:fldCharType="separate"/>
        </w:r>
        <w:r w:rsidR="002565E6" w:rsidRPr="00646D54">
          <w:rPr>
            <w:noProof/>
            <w:vertAlign w:val="superscript"/>
          </w:rPr>
          <w:t>41</w:t>
        </w:r>
        <w:r w:rsidR="002565E6" w:rsidRPr="00EA3458">
          <w:fldChar w:fldCharType="end"/>
        </w:r>
      </w:hyperlink>
      <w:r w:rsidRPr="00EA3458">
        <w:t xml:space="preserve"> </w:t>
      </w:r>
    </w:p>
    <w:p w14:paraId="34D744B5" w14:textId="42CC15E9" w:rsidR="00434810" w:rsidRPr="00EA3458" w:rsidRDefault="00434810">
      <w:pPr>
        <w:rPr>
          <w:rFonts w:asciiTheme="minorHAnsi" w:hAnsiTheme="minorHAnsi" w:cstheme="minorBidi"/>
        </w:rPr>
      </w:pPr>
      <w:r w:rsidRPr="00EA3458">
        <w:t xml:space="preserve">Data from two global systematic reviews suggests that optimal dosing for methadone is </w:t>
      </w:r>
      <w:r w:rsidRPr="00EA3458">
        <w:rPr>
          <w:rFonts w:cstheme="minorHAnsi"/>
        </w:rPr>
        <w:t>≥</w:t>
      </w:r>
      <w:r w:rsidRPr="00EA3458">
        <w:t xml:space="preserve">60mg for methadone and </w:t>
      </w:r>
      <w:r w:rsidRPr="00EA3458">
        <w:rPr>
          <w:rFonts w:cstheme="minorHAnsi"/>
        </w:rPr>
        <w:t>≥</w:t>
      </w:r>
      <w:r w:rsidRPr="00EA3458">
        <w:t>8 mg for buprenorphine</w:t>
      </w:r>
      <w:r w:rsidR="00656634">
        <w:t>.</w:t>
      </w:r>
      <w:r w:rsidRPr="00EA3458">
        <w:fldChar w:fldCharType="begin">
          <w:fldData xml:space="preserve">PEVuZE5vdGU+PENpdGU+PEF1dGhvcj5GYWdnaWFubzwvQXV0aG9yPjxZZWFyPjIwMDM8L1llYXI+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</w:fldData>
        </w:fldChar>
      </w:r>
      <w:r w:rsidR="00646D54">
        <w:instrText xml:space="preserve"> ADDIN EN.CITE </w:instrText>
      </w:r>
      <w:r w:rsidR="00646D54">
        <w:fldChar w:fldCharType="begin">
          <w:fldData xml:space="preserve">PEVuZE5vdGU+PENpdGU+PEF1dGhvcj5GYWdnaWFubzwvQXV0aG9yPjxZZWFyPjIwMDM8L1llYXI+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</w:fldData>
        </w:fldChar>
      </w:r>
      <w:r w:rsidR="00646D54">
        <w:instrText xml:space="preserve"> ADDIN EN.CITE.DATA </w:instrText>
      </w:r>
      <w:r w:rsidR="00646D54">
        <w:fldChar w:fldCharType="end"/>
      </w:r>
      <w:r w:rsidRPr="00EA3458">
        <w:fldChar w:fldCharType="separate"/>
      </w:r>
      <w:hyperlink w:anchor="_ENREF_42" w:tooltip="Faggiano, 2003 #43" w:history="1">
        <w:r w:rsidR="002565E6" w:rsidRPr="00646D54">
          <w:rPr>
            <w:noProof/>
            <w:vertAlign w:val="superscript"/>
          </w:rPr>
          <w:t>42</w:t>
        </w:r>
      </w:hyperlink>
      <w:r w:rsidR="00646D54" w:rsidRPr="00646D54">
        <w:rPr>
          <w:noProof/>
          <w:vertAlign w:val="superscript"/>
        </w:rPr>
        <w:t>,</w:t>
      </w:r>
      <w:hyperlink w:anchor="_ENREF_43" w:tooltip="Greenwald, 2014 #44" w:history="1">
        <w:r w:rsidR="002565E6" w:rsidRPr="00646D54">
          <w:rPr>
            <w:noProof/>
            <w:vertAlign w:val="superscript"/>
          </w:rPr>
          <w:t>43</w:t>
        </w:r>
      </w:hyperlink>
      <w:r w:rsidRPr="00EA3458">
        <w:fldChar w:fldCharType="end"/>
      </w:r>
      <w:r w:rsidRPr="00EA3458">
        <w:t xml:space="preserve"> Data from routine clinical practice in the United Kingdom found that the mean dose of methadone prescribed ranged from 48-65 mg, with only 43% of people receiving a dose of over 60 mg</w:t>
      </w:r>
      <w:r w:rsidR="00217678">
        <w:t>.</w:t>
      </w:r>
      <w:hyperlink w:anchor="_ENREF_44" w:tooltip="Jin, 2020 #45" w:history="1">
        <w:r w:rsidR="002565E6" w:rsidRPr="00EA3458">
          <w:fldChar w:fldCharType="begin">
            <w:fldData xml:space="preserve">PEVuZE5vdGU+PENpdGU+PEF1dGhvcj5KaW48L0F1dGhvcj48WWVhcj4yMDIwPC9ZZWFyPjxSZWNO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==
</w:fldData>
          </w:fldChar>
        </w:r>
        <w:r w:rsidR="002565E6">
          <w:instrText xml:space="preserve"> ADDIN EN.CITE </w:instrText>
        </w:r>
        <w:r w:rsidR="002565E6">
          <w:fldChar w:fldCharType="begin">
            <w:fldData xml:space="preserve">PEVuZE5vdGU+PENpdGU+PEF1dGhvcj5KaW48L0F1dGhvcj48WWVhcj4yMDIwPC9ZZWFyPjxSZWNO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==
</w:fldData>
          </w:fldChar>
        </w:r>
        <w:r w:rsidR="002565E6">
          <w:instrText xml:space="preserve"> ADDIN EN.CITE.DATA </w:instrText>
        </w:r>
        <w:r w:rsidR="002565E6">
          <w:fldChar w:fldCharType="end"/>
        </w:r>
        <w:r w:rsidR="002565E6" w:rsidRPr="00EA3458">
          <w:fldChar w:fldCharType="separate"/>
        </w:r>
        <w:r w:rsidR="002565E6" w:rsidRPr="00646D54">
          <w:rPr>
            <w:noProof/>
            <w:vertAlign w:val="superscript"/>
          </w:rPr>
          <w:t>44</w:t>
        </w:r>
        <w:r w:rsidR="002565E6" w:rsidRPr="00EA3458">
          <w:fldChar w:fldCharType="end"/>
        </w:r>
      </w:hyperlink>
      <w:r w:rsidRPr="00EA3458">
        <w:t xml:space="preserve"> In Canada, the median dose of methadone ranged from 75-89.5mg with over half receiving a dose greater than 80mg. Buprenorphine dose data from routine clinical practice was only available for the United Kingdom, and the mean doses of buprenorphine were 7.5-9mg. Only 21% of people receiving buprenorphine received over a threshold dose of 12mg</w:t>
      </w:r>
      <w:r w:rsidR="00217678">
        <w:t>.</w:t>
      </w:r>
      <w:hyperlink w:anchor="_ENREF_44" w:tooltip="Jin, 2020 #45" w:history="1">
        <w:r w:rsidR="002565E6" w:rsidRPr="00EA3458">
          <w:fldChar w:fldCharType="begin">
            <w:fldData xml:space="preserve">PEVuZE5vdGU+PENpdGU+PEF1dGhvcj5KaW48L0F1dGhvcj48WWVhcj4yMDIwPC9ZZWFyPjxSZWNO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==
</w:fldData>
          </w:fldChar>
        </w:r>
        <w:r w:rsidR="002565E6">
          <w:instrText xml:space="preserve"> ADDIN EN.CITE </w:instrText>
        </w:r>
        <w:r w:rsidR="002565E6">
          <w:fldChar w:fldCharType="begin">
            <w:fldData xml:space="preserve">PEVuZE5vdGU+PENpdGU+PEF1dGhvcj5KaW48L0F1dGhvcj48WWVhcj4yMDIwPC9ZZWFyPjxSZWNO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==
</w:fldData>
          </w:fldChar>
        </w:r>
        <w:r w:rsidR="002565E6">
          <w:instrText xml:space="preserve"> ADDIN EN.CITE.DATA </w:instrText>
        </w:r>
        <w:r w:rsidR="002565E6">
          <w:fldChar w:fldCharType="end"/>
        </w:r>
        <w:r w:rsidR="002565E6" w:rsidRPr="00EA3458">
          <w:fldChar w:fldCharType="separate"/>
        </w:r>
        <w:r w:rsidR="002565E6" w:rsidRPr="00646D54">
          <w:rPr>
            <w:noProof/>
            <w:vertAlign w:val="superscript"/>
          </w:rPr>
          <w:t>44</w:t>
        </w:r>
        <w:r w:rsidR="002565E6" w:rsidRPr="00EA3458">
          <w:fldChar w:fldCharType="end"/>
        </w:r>
      </w:hyperlink>
      <w:r w:rsidRPr="00EA3458">
        <w:t xml:space="preserve"> </w:t>
      </w:r>
    </w:p>
    <w:p w14:paraId="4173A1D4" w14:textId="77777777" w:rsidR="00434810" w:rsidRPr="00EA3458" w:rsidRDefault="00434810" w:rsidP="00B54030">
      <w:pPr>
        <w:spacing w:after="240" w:line="276" w:lineRule="auto"/>
      </w:pPr>
    </w:p>
    <w:p w14:paraId="0C142633" w14:textId="77777777" w:rsidR="00434810" w:rsidRPr="00EA3458" w:rsidRDefault="00434810">
      <w:pPr>
        <w:spacing w:after="240" w:line="276" w:lineRule="auto"/>
      </w:pPr>
    </w:p>
    <w:p w14:paraId="7C0A2061" w14:textId="77777777" w:rsidR="00434810" w:rsidRPr="00EA3458" w:rsidRDefault="00434810" w:rsidP="00DA0E77">
      <w:pPr>
        <w:pStyle w:val="Heading5"/>
        <w:rPr>
          <w:i/>
        </w:rPr>
      </w:pPr>
      <w:r w:rsidRPr="00EA3458">
        <w:lastRenderedPageBreak/>
        <w:t>Prescriber and pharmacist restrictions</w:t>
      </w:r>
    </w:p>
    <w:p w14:paraId="2B892FBC" w14:textId="0653C868" w:rsidR="00434810" w:rsidRPr="00EA3458" w:rsidRDefault="00434810" w:rsidP="00F22F00">
      <w:r w:rsidRPr="00EA3458">
        <w:t>In Canada, most provinces have no cap on the number of prescribers, nor is there a consumer cap per prescriber. In all Canadian provinces, prescribers are required to obtain a specific exemption to prescribe methadone. Further requirements vary by Canadian province, such as a one-day clinical observership in Ontario</w:t>
      </w:r>
      <w:r w:rsidR="00217678">
        <w:t>,</w:t>
      </w:r>
      <w:hyperlink w:anchor="_ENREF_38" w:tooltip="Canadian Research Initiative in Substance Misuse, 2020 #39" w:history="1">
        <w:r w:rsidR="002565E6" w:rsidRPr="00EA3458">
          <w:fldChar w:fldCharType="begin"/>
        </w:r>
        <w:r w:rsidR="002565E6">
          <w:instrText xml:space="preserve"> ADDIN EN.CITE &lt;EndNote&gt;&lt;Cite&gt;&lt;Author&gt;Canadian Research Initiative in Substance Misuse&lt;/Author&gt;&lt;Year&gt;2020&lt;/Year&gt;&lt;RecNum&gt;39&lt;/RecNum&gt;&lt;DisplayText&gt;&lt;style face="superscript"&gt;38&lt;/style&gt;&lt;/DisplayText&gt;&lt;record&gt;&lt;rec-number&gt;39&lt;/rec-number&gt;&lt;foreign-keys&gt;&lt;key app="EN" db-id="xssz590sx9vzw4ewpzdv0s5sret50aexdtd9" timestamp="1668645435"&gt;39&lt;/key&gt;&lt;/foreign-keys&gt;&lt;ref-type name="Report"&gt;27&lt;/ref-type&gt;&lt;contributors&gt;&lt;authors&gt;&lt;author&gt;Canadian Research Initiative in Substance Misuse, &lt;/author&gt;&lt;/authors&gt;&lt;/contributors&gt;&lt;titles&gt;&lt;title&gt;CRISM National Guideline for the Clinical Management of Opioid Use &lt;/title&gt;&lt;/titles&gt;&lt;dates&gt;&lt;year&gt;2020&lt;/year&gt;&lt;/dates&gt;&lt;urls&gt;&lt;related-urls&gt;&lt;url&gt;https://crism.ca/wp-content/uploads/2018/03/CRISM_NationalGuideline_OUD-ENG.pdf&lt;/url&gt;&lt;/related-urls&gt;&lt;/urls&gt;&lt;/record&gt;&lt;/Cite&gt;&lt;/EndNote&gt;</w:instrText>
        </w:r>
        <w:r w:rsidR="002565E6" w:rsidRPr="00EA3458">
          <w:fldChar w:fldCharType="separate"/>
        </w:r>
        <w:r w:rsidR="002565E6" w:rsidRPr="00646D54">
          <w:rPr>
            <w:noProof/>
            <w:vertAlign w:val="superscript"/>
          </w:rPr>
          <w:t>38</w:t>
        </w:r>
        <w:r w:rsidR="002565E6" w:rsidRPr="00EA3458">
          <w:fldChar w:fldCharType="end"/>
        </w:r>
      </w:hyperlink>
      <w:r w:rsidRPr="00EA3458">
        <w:t xml:space="preserve"> an online education program in Quebec and British Columbia</w:t>
      </w:r>
      <w:r w:rsidR="00217678">
        <w:t>,</w:t>
      </w:r>
      <w:r w:rsidRPr="00EA3458">
        <w:fldChar w:fldCharType="begin"/>
      </w:r>
      <w:r w:rsidR="00646D54">
        <w:instrText xml:space="preserve"> ADDIN EN.CITE &lt;EndNote&gt;&lt;Cite&gt;&lt;Author&gt;Institut Universitaire Sur Les Dependances&lt;/Author&gt;&lt;Year&gt;2020&lt;/Year&gt;&lt;RecNum&gt;41&lt;/RecNum&gt;&lt;DisplayText&gt;&lt;style face="superscript"&gt;39, 40&lt;/style&gt;&lt;/DisplayText&gt;&lt;record&gt;&lt;rec-number&gt;41&lt;/rec-number&gt;&lt;foreign-keys&gt;&lt;key app="EN" db-id="xssz590sx9vzw4ewpzdv0s5sret50aexdtd9" timestamp="1668645443"&gt;41&lt;/key&gt;&lt;/foreign-keys&gt;&lt;ref-type name="Report"&gt;27&lt;/ref-type&gt;&lt;contributors&gt;&lt;authors&gt;&lt;author&gt;Institut Universitaire Sur Les Dependances,&lt;/author&gt;&lt;/authors&gt;&lt;/contributors&gt;&lt;titles&gt;&lt;title&gt;Quebec Guide to Improving Practices in the Management of Opioid Use Disorder &lt;/title&gt;&lt;/titles&gt;&lt;dates&gt;&lt;year&gt;2020&lt;/year&gt;&lt;/dates&gt;&lt;pub-location&gt;Montreal, Quebec&lt;/pub-location&gt;&lt;urls&gt;&lt;related-urls&gt;&lt;url&gt;http://dependanceitinerance.ca/wp-content/uploads/2020/09/GuideTUO-EN-sept2020.pdf&lt;/url&gt;&lt;/related-urls&gt;&lt;/urls&gt;&lt;/record&gt;&lt;/Cite&gt;&lt;Cite&gt;&lt;Author&gt;British Columbia Centre on Substance Use&lt;/Author&gt;&lt;Year&gt;2017&lt;/Year&gt;&lt;RecNum&gt;40&lt;/RecNum&gt;&lt;record&gt;&lt;rec-number&gt;40&lt;/rec-number&gt;&lt;foreign-keys&gt;&lt;key app="EN" db-id="xssz590sx9vzw4ewpzdv0s5sret50aexdtd9" timestamp="1668645439"&gt;40&lt;/key&gt;&lt;/foreign-keys&gt;&lt;ref-type name="Report"&gt;27&lt;/ref-type&gt;&lt;contributors&gt;&lt;authors&gt;&lt;author&gt;British Columbia Centre on Substance Use,&lt;/author&gt;&lt;/authors&gt;&lt;/contributors&gt;&lt;titles&gt;&lt;title&gt;A Guideline for the Clinical Management of Opioid Use Disorder &lt;/title&gt;&lt;/titles&gt;&lt;dates&gt;&lt;year&gt;2017&lt;/year&gt;&lt;/dates&gt;&lt;urls&gt;&lt;related-urls&gt;&lt;url&gt;https://www.bccsu.ca/wp-content/uploads/2017/06/BC-OUD-Guidelines_June2017.pdf&lt;/url&gt;&lt;/related-urls&gt;&lt;/urls&gt;&lt;/record&gt;&lt;/Cite&gt;&lt;/EndNote&gt;</w:instrText>
      </w:r>
      <w:r w:rsidRPr="00EA3458">
        <w:fldChar w:fldCharType="separate"/>
      </w:r>
      <w:hyperlink w:anchor="_ENREF_39" w:tooltip="British Columbia Centre on Substance Use, 2017 #40" w:history="1">
        <w:r w:rsidR="002565E6" w:rsidRPr="00646D54">
          <w:rPr>
            <w:noProof/>
            <w:vertAlign w:val="superscript"/>
          </w:rPr>
          <w:t>39</w:t>
        </w:r>
      </w:hyperlink>
      <w:r w:rsidR="00646D54" w:rsidRPr="00646D54">
        <w:rPr>
          <w:noProof/>
          <w:vertAlign w:val="superscript"/>
        </w:rPr>
        <w:t>,</w:t>
      </w:r>
      <w:hyperlink w:anchor="_ENREF_40" w:tooltip="Institut Universitaire Sur Les Dependances, 2020 #41" w:history="1">
        <w:r w:rsidR="002565E6" w:rsidRPr="00646D54">
          <w:rPr>
            <w:noProof/>
            <w:vertAlign w:val="superscript"/>
          </w:rPr>
          <w:t>40</w:t>
        </w:r>
      </w:hyperlink>
      <w:r w:rsidRPr="00EA3458">
        <w:fldChar w:fldCharType="end"/>
      </w:r>
      <w:r w:rsidRPr="00EA3458">
        <w:t xml:space="preserve"> or a relationship with an experienced buprenorphine prescriber for prescribers without experience treating opioid dependence. For prescription of methadone and buprenorphine, little detail was available regarding prescriber restrictions or requirements for any country in the United Kingdom. </w:t>
      </w:r>
    </w:p>
    <w:p w14:paraId="48F91AEF" w14:textId="6CC82DCE" w:rsidR="00434810" w:rsidRPr="00EA3458" w:rsidRDefault="00434810" w:rsidP="00F22F00">
      <w:r w:rsidRPr="00EA3458">
        <w:t>In Canada, provinces do not have a consumer cap per dosing site. Pharmacists in Alberta and British Colombia require pharmacist training to dispense methadone</w:t>
      </w:r>
      <w:r w:rsidR="00217678">
        <w:t>,</w:t>
      </w:r>
      <w:r w:rsidRPr="00EA3458">
        <w:fldChar w:fldCharType="begin"/>
      </w:r>
      <w:r w:rsidR="00646D54">
        <w:instrText xml:space="preserve"> ADDIN EN.CITE &lt;EndNote&gt;&lt;Cite&gt;&lt;Author&gt;Alberta College of Pharmacy&lt;/Author&gt;&lt;Year&gt;2021&lt;/Year&gt;&lt;RecNum&gt;37&lt;/RecNum&gt;&lt;DisplayText&gt;&lt;style face="superscript"&gt;36, 39&lt;/style&gt;&lt;/DisplayText&gt;&lt;record&gt;&lt;rec-number&gt;37&lt;/rec-number&gt;&lt;foreign-keys&gt;&lt;key app="EN" db-id="xssz590sx9vzw4ewpzdv0s5sret50aexdtd9" timestamp="1668645425"&gt;37&lt;/key&gt;&lt;/foreign-keys&gt;&lt;ref-type name="Report"&gt;27&lt;/ref-type&gt;&lt;contributors&gt;&lt;authors&gt;&lt;author&gt;Alberta College of Pharmacy,&lt;/author&gt;&lt;/authors&gt;&lt;/contributors&gt;&lt;titles&gt;&lt;title&gt;Opioid Agonist Therapy (OAT) guidelines &lt;/title&gt;&lt;/titles&gt;&lt;dates&gt;&lt;year&gt;2021&lt;/year&gt;&lt;/dates&gt;&lt;urls&gt;&lt;related-urls&gt;&lt;url&gt;https://abpharmacy.ca/sites/default/files/OAT_Guidelines.pdf&lt;/url&gt;&lt;/related-urls&gt;&lt;/urls&gt;&lt;/record&gt;&lt;/Cite&gt;&lt;Cite&gt;&lt;Author&gt;British Columbia Centre on Substance Use&lt;/Author&gt;&lt;Year&gt;2017&lt;/Year&gt;&lt;RecNum&gt;40&lt;/RecNum&gt;&lt;record&gt;&lt;rec-number&gt;40&lt;/rec-number&gt;&lt;foreign-keys&gt;&lt;key app="EN" db-id="xssz590sx9vzw4ewpzdv0s5sret50aexdtd9" timestamp="1668645439"&gt;40&lt;/key&gt;&lt;/foreign-keys&gt;&lt;ref-type name="Report"&gt;27&lt;/ref-type&gt;&lt;contributors&gt;&lt;authors&gt;&lt;author&gt;British Columbia Centre on Substance Use,&lt;/author&gt;&lt;/authors&gt;&lt;/contributors&gt;&lt;titles&gt;&lt;title&gt;A Guideline for the Clinical Management of Opioid Use Disorder &lt;/title&gt;&lt;/titles&gt;&lt;dates&gt;&lt;year&gt;2017&lt;/year&gt;&lt;/dates&gt;&lt;urls&gt;&lt;related-urls&gt;&lt;url&gt;https://www.bccsu.ca/wp-content/uploads/2017/06/BC-OUD-Guidelines_June2017.pdf&lt;/url&gt;&lt;/related-urls&gt;&lt;/urls&gt;&lt;/record&gt;&lt;/Cite&gt;&lt;/EndNote&gt;</w:instrText>
      </w:r>
      <w:r w:rsidRPr="00EA3458">
        <w:fldChar w:fldCharType="separate"/>
      </w:r>
      <w:hyperlink w:anchor="_ENREF_36" w:tooltip="Alberta College of Pharmacy, 2021 #37" w:history="1">
        <w:r w:rsidR="002565E6" w:rsidRPr="00646D54">
          <w:rPr>
            <w:noProof/>
            <w:vertAlign w:val="superscript"/>
          </w:rPr>
          <w:t>36</w:t>
        </w:r>
      </w:hyperlink>
      <w:r w:rsidR="00646D54" w:rsidRPr="00646D54">
        <w:rPr>
          <w:noProof/>
          <w:vertAlign w:val="superscript"/>
        </w:rPr>
        <w:t>,</w:t>
      </w:r>
      <w:hyperlink w:anchor="_ENREF_39" w:tooltip="British Columbia Centre on Substance Use, 2017 #40" w:history="1">
        <w:r w:rsidR="002565E6" w:rsidRPr="00646D54">
          <w:rPr>
            <w:noProof/>
            <w:vertAlign w:val="superscript"/>
          </w:rPr>
          <w:t>39</w:t>
        </w:r>
      </w:hyperlink>
      <w:r w:rsidRPr="00EA3458">
        <w:fldChar w:fldCharType="end"/>
      </w:r>
      <w:r w:rsidRPr="00EA3458">
        <w:t xml:space="preserve"> however, Quebec and Prince Edward Island do not have such a requirement for pharmacists</w:t>
      </w:r>
      <w:r w:rsidR="00217678">
        <w:t>,</w:t>
      </w:r>
      <w:r w:rsidRPr="00EA3458">
        <w:fldChar w:fldCharType="begin"/>
      </w:r>
      <w:r w:rsidR="00646D54">
        <w:instrText xml:space="preserve"> ADDIN EN.CITE &lt;EndNote&gt;&lt;Cite&gt;&lt;Author&gt;Institut Universitaire Sur Les Dependances&lt;/Author&gt;&lt;Year&gt;2020&lt;/Year&gt;&lt;RecNum&gt;41&lt;/RecNum&gt;&lt;DisplayText&gt;&lt;style face="superscript"&gt;38, 40&lt;/style&gt;&lt;/DisplayText&gt;&lt;record&gt;&lt;rec-number&gt;41&lt;/rec-number&gt;&lt;foreign-keys&gt;&lt;key app="EN" db-id="xssz590sx9vzw4ewpzdv0s5sret50aexdtd9" timestamp="1668645443"&gt;41&lt;/key&gt;&lt;/foreign-keys&gt;&lt;ref-type name="Report"&gt;27&lt;/ref-type&gt;&lt;contributors&gt;&lt;authors&gt;&lt;author&gt;Institut Universitaire Sur Les Dependances,&lt;/author&gt;&lt;/authors&gt;&lt;/contributors&gt;&lt;titles&gt;&lt;title&gt;Quebec Guide to Improving Practices in the Management of Opioid Use Disorder &lt;/title&gt;&lt;/titles&gt;&lt;dates&gt;&lt;year&gt;2020&lt;/year&gt;&lt;/dates&gt;&lt;pub-location&gt;Montreal, Quebec&lt;/pub-location&gt;&lt;urls&gt;&lt;related-urls&gt;&lt;url&gt;http://dependanceitinerance.ca/wp-content/uploads/2020/09/GuideTUO-EN-sept2020.pdf&lt;/url&gt;&lt;/related-urls&gt;&lt;/urls&gt;&lt;/record&gt;&lt;/Cite&gt;&lt;Cite&gt;&lt;Author&gt;Canadian Research Initiative in Substance Misuse&lt;/Author&gt;&lt;Year&gt;2020&lt;/Year&gt;&lt;RecNum&gt;39&lt;/RecNum&gt;&lt;record&gt;&lt;rec-number&gt;39&lt;/rec-number&gt;&lt;foreign-keys&gt;&lt;key app="EN" db-id="xssz590sx9vzw4ewpzdv0s5sret50aexdtd9" timestamp="1668645435"&gt;39&lt;/key&gt;&lt;/foreign-keys&gt;&lt;ref-type name="Report"&gt;27&lt;/ref-type&gt;&lt;contributors&gt;&lt;authors&gt;&lt;author&gt;Canadian Research Initiative in Substance Misuse, &lt;/author&gt;&lt;/authors&gt;&lt;/contributors&gt;&lt;titles&gt;&lt;title&gt;CRISM National Guideline for the Clinical Management of Opioid Use &lt;/title&gt;&lt;/titles&gt;&lt;dates&gt;&lt;year&gt;2020&lt;/year&gt;&lt;/dates&gt;&lt;urls&gt;&lt;related-urls&gt;&lt;url&gt;https://crism.ca/wp-content/uploads/2018/03/CRISM_NationalGuideline_OUD-ENG.pdf&lt;/url&gt;&lt;/related-urls&gt;&lt;/urls&gt;&lt;/record&gt;&lt;/Cite&gt;&lt;/EndNote&gt;</w:instrText>
      </w:r>
      <w:r w:rsidRPr="00EA3458">
        <w:fldChar w:fldCharType="separate"/>
      </w:r>
      <w:hyperlink w:anchor="_ENREF_38" w:tooltip="Canadian Research Initiative in Substance Misuse, 2020 #39" w:history="1">
        <w:r w:rsidR="002565E6" w:rsidRPr="00646D54">
          <w:rPr>
            <w:noProof/>
            <w:vertAlign w:val="superscript"/>
          </w:rPr>
          <w:t>38</w:t>
        </w:r>
      </w:hyperlink>
      <w:r w:rsidR="00646D54" w:rsidRPr="00646D54">
        <w:rPr>
          <w:noProof/>
          <w:vertAlign w:val="superscript"/>
        </w:rPr>
        <w:t>,</w:t>
      </w:r>
      <w:hyperlink w:anchor="_ENREF_40" w:tooltip="Institut Universitaire Sur Les Dependances, 2020 #41" w:history="1">
        <w:r w:rsidR="002565E6" w:rsidRPr="00646D54">
          <w:rPr>
            <w:noProof/>
            <w:vertAlign w:val="superscript"/>
          </w:rPr>
          <w:t>40</w:t>
        </w:r>
      </w:hyperlink>
      <w:r w:rsidRPr="00EA3458">
        <w:fldChar w:fldCharType="end"/>
      </w:r>
      <w:r w:rsidRPr="00EA3458">
        <w:t xml:space="preserve"> Pharmacist training is also required to dispense methadone and buprenorphine in the United Kingdom</w:t>
      </w:r>
      <w:r w:rsidR="00217678">
        <w:t>.</w:t>
      </w:r>
      <w:hyperlink w:anchor="_ENREF_37" w:tooltip="Clinical Guidelines on Drug Misuse and Dependence Update 2017 Independent Expert Working Group, 2017 #38" w:history="1">
        <w:r w:rsidR="002565E6" w:rsidRPr="00EA3458">
          <w:fldChar w:fldCharType="begin"/>
        </w:r>
        <w:r w:rsidR="002565E6">
          <w:instrText xml:space="preserve"> ADDIN EN.CITE &lt;EndNote&gt;&lt;Cite&gt;&lt;Author&gt;Clinical Guidelines on Drug Misuse and Dependence Update 2017 Independent Expert Working Group&lt;/Author&gt;&lt;Year&gt;2017&lt;/Year&gt;&lt;RecNum&gt;38&lt;/RecNum&gt;&lt;DisplayText&gt;&lt;style face="superscript"&gt;37&lt;/style&gt;&lt;/DisplayText&gt;&lt;record&gt;&lt;rec-number&gt;38&lt;/rec-number&gt;&lt;foreign-keys&gt;&lt;key app="EN" db-id="xssz590sx9vzw4ewpzdv0s5sret50aexdtd9" timestamp="1668645429"&gt;38&lt;/key&gt;&lt;/foreign-keys&gt;&lt;ref-type name="Report"&gt;27&lt;/ref-type&gt;&lt;contributors&gt;&lt;authors&gt;&lt;author&gt;Clinical Guidelines on Drug Misuse and Dependence Update 2017 Independent Expert Working Group, &lt;/author&gt;&lt;/authors&gt;&lt;/contributors&gt;&lt;titles&gt;&lt;title&gt;Drug misuse and dependence: UK guidelines on clinical management &lt;/title&gt;&lt;/titles&gt;&lt;dates&gt;&lt;year&gt;2017&lt;/year&gt;&lt;/dates&gt;&lt;pub-location&gt;London&lt;/pub-location&gt;&lt;publisher&gt;Department of Health &lt;/publisher&gt;&lt;orig-pub&gt;July 2017 &lt;/orig-pub&gt;&lt;urls&gt;&lt;/urls&gt;&lt;/record&gt;&lt;/Cite&gt;&lt;/EndNote&gt;</w:instrText>
        </w:r>
        <w:r w:rsidR="002565E6" w:rsidRPr="00EA3458">
          <w:fldChar w:fldCharType="separate"/>
        </w:r>
        <w:r w:rsidR="002565E6" w:rsidRPr="00646D54">
          <w:rPr>
            <w:noProof/>
            <w:vertAlign w:val="superscript"/>
          </w:rPr>
          <w:t>37</w:t>
        </w:r>
        <w:r w:rsidR="002565E6" w:rsidRPr="00EA3458">
          <w:fldChar w:fldCharType="end"/>
        </w:r>
      </w:hyperlink>
      <w:r w:rsidRPr="00EA3458">
        <w:t xml:space="preserve"> </w:t>
      </w:r>
    </w:p>
    <w:p w14:paraId="178B2249" w14:textId="77777777" w:rsidR="00434810" w:rsidRPr="00EA3458" w:rsidRDefault="00434810" w:rsidP="00F22F00">
      <w:pPr>
        <w:pStyle w:val="Heading5"/>
        <w:rPr>
          <w:i/>
        </w:rPr>
      </w:pPr>
      <w:r w:rsidRPr="00EA3458">
        <w:t>Consumer restrictions and fees</w:t>
      </w:r>
    </w:p>
    <w:p w14:paraId="4FAF0DBB" w14:textId="45BA4FDA" w:rsidR="00434810" w:rsidRPr="00EA3458" w:rsidRDefault="00434810" w:rsidP="004139FC">
      <w:r w:rsidRPr="00EA3458">
        <w:t>Quebec and British Columbia’s provincial guidelines state that there is a government subsidy for community pharmacies</w:t>
      </w:r>
      <w:r w:rsidR="00217678">
        <w:t>.</w:t>
      </w:r>
      <w:r w:rsidRPr="00EA3458">
        <w:fldChar w:fldCharType="begin"/>
      </w:r>
      <w:r w:rsidR="00646D54">
        <w:instrText xml:space="preserve"> ADDIN EN.CITE &lt;EndNote&gt;&lt;Cite&gt;&lt;Author&gt;Institut Universitaire Sur Les Dependances&lt;/Author&gt;&lt;Year&gt;2020&lt;/Year&gt;&lt;RecNum&gt;41&lt;/RecNum&gt;&lt;DisplayText&gt;&lt;style face="superscript"&gt;39, 40&lt;/style&gt;&lt;/DisplayText&gt;&lt;record&gt;&lt;rec-number&gt;41&lt;/rec-number&gt;&lt;foreign-keys&gt;&lt;key app="EN" db-id="xssz590sx9vzw4ewpzdv0s5sret50aexdtd9" timestamp="1668645443"&gt;41&lt;/key&gt;&lt;/foreign-keys&gt;&lt;ref-type name="Report"&gt;27&lt;/ref-type&gt;&lt;contributors&gt;&lt;authors&gt;&lt;author&gt;Institut Universitaire Sur Les Dependances,&lt;/author&gt;&lt;/authors&gt;&lt;/contributors&gt;&lt;titles&gt;&lt;title&gt;Quebec Guide to Improving Practices in the Management of Opioid Use Disorder &lt;/title&gt;&lt;/titles&gt;&lt;dates&gt;&lt;year&gt;2020&lt;/year&gt;&lt;/dates&gt;&lt;pub-location&gt;Montreal, Quebec&lt;/pub-location&gt;&lt;urls&gt;&lt;related-urls&gt;&lt;url&gt;http://dependanceitinerance.ca/wp-content/uploads/2020/09/GuideTUO-EN-sept2020.pdf&lt;/url&gt;&lt;/related-urls&gt;&lt;/urls&gt;&lt;/record&gt;&lt;/Cite&gt;&lt;Cite&gt;&lt;Author&gt;British Columbia Centre on Substance Use&lt;/Author&gt;&lt;Year&gt;2017&lt;/Year&gt;&lt;RecNum&gt;40&lt;/RecNum&gt;&lt;record&gt;&lt;rec-number&gt;40&lt;/rec-number&gt;&lt;foreign-keys&gt;&lt;key app="EN" db-id="xssz590sx9vzw4ewpzdv0s5sret50aexdtd9" timestamp="1668645439"&gt;40&lt;/key&gt;&lt;/foreign-keys&gt;&lt;ref-type name="Report"&gt;27&lt;/ref-type&gt;&lt;contributors&gt;&lt;authors&gt;&lt;author&gt;British Columbia Centre on Substance Use,&lt;/author&gt;&lt;/authors&gt;&lt;/contributors&gt;&lt;titles&gt;&lt;title&gt;A Guideline for the Clinical Management of Opioid Use Disorder &lt;/title&gt;&lt;/titles&gt;&lt;dates&gt;&lt;year&gt;2017&lt;/year&gt;&lt;/dates&gt;&lt;urls&gt;&lt;related-urls&gt;&lt;url&gt;https://www.bccsu.ca/wp-content/uploads/2017/06/BC-OUD-Guidelines_June2017.pdf&lt;/url&gt;&lt;/related-urls&gt;&lt;/urls&gt;&lt;/record&gt;&lt;/Cite&gt;&lt;/EndNote&gt;</w:instrText>
      </w:r>
      <w:r w:rsidRPr="00EA3458">
        <w:fldChar w:fldCharType="separate"/>
      </w:r>
      <w:hyperlink w:anchor="_ENREF_39" w:tooltip="British Columbia Centre on Substance Use, 2017 #40" w:history="1">
        <w:r w:rsidR="002565E6" w:rsidRPr="00646D54">
          <w:rPr>
            <w:noProof/>
            <w:vertAlign w:val="superscript"/>
          </w:rPr>
          <w:t>39</w:t>
        </w:r>
      </w:hyperlink>
      <w:r w:rsidR="00646D54" w:rsidRPr="00646D54">
        <w:rPr>
          <w:noProof/>
          <w:vertAlign w:val="superscript"/>
        </w:rPr>
        <w:t>,</w:t>
      </w:r>
      <w:hyperlink w:anchor="_ENREF_40" w:tooltip="Institut Universitaire Sur Les Dependances, 2020 #41" w:history="1">
        <w:r w:rsidR="002565E6" w:rsidRPr="00646D54">
          <w:rPr>
            <w:noProof/>
            <w:vertAlign w:val="superscript"/>
          </w:rPr>
          <w:t>40</w:t>
        </w:r>
      </w:hyperlink>
      <w:r w:rsidRPr="00EA3458">
        <w:fldChar w:fldCharType="end"/>
      </w:r>
      <w:r w:rsidRPr="00EA3458">
        <w:t xml:space="preserve"> For Prince Edward Island, there is no subsidy for community pharmacy dispensing</w:t>
      </w:r>
      <w:r w:rsidR="00217678">
        <w:t>.</w:t>
      </w:r>
      <w:hyperlink w:anchor="_ENREF_38" w:tooltip="Canadian Research Initiative in Substance Misuse, 2020 #39" w:history="1">
        <w:r w:rsidR="002565E6" w:rsidRPr="00EA3458">
          <w:fldChar w:fldCharType="begin"/>
        </w:r>
        <w:r w:rsidR="002565E6">
          <w:instrText xml:space="preserve"> ADDIN EN.CITE &lt;EndNote&gt;&lt;Cite&gt;&lt;Author&gt;Canadian Research Initiative in Substance Misuse&lt;/Author&gt;&lt;Year&gt;2020&lt;/Year&gt;&lt;RecNum&gt;39&lt;/RecNum&gt;&lt;DisplayText&gt;&lt;style face="superscript"&gt;38&lt;/style&gt;&lt;/DisplayText&gt;&lt;record&gt;&lt;rec-number&gt;39&lt;/rec-number&gt;&lt;foreign-keys&gt;&lt;key app="EN" db-id="xssz590sx9vzw4ewpzdv0s5sret50aexdtd9" timestamp="1668645435"&gt;39&lt;/key&gt;&lt;/foreign-keys&gt;&lt;ref-type name="Report"&gt;27&lt;/ref-type&gt;&lt;contributors&gt;&lt;authors&gt;&lt;author&gt;Canadian Research Initiative in Substance Misuse, &lt;/author&gt;&lt;/authors&gt;&lt;/contributors&gt;&lt;titles&gt;&lt;title&gt;CRISM National Guideline for the Clinical Management of Opioid Use &lt;/title&gt;&lt;/titles&gt;&lt;dates&gt;&lt;year&gt;2020&lt;/year&gt;&lt;/dates&gt;&lt;urls&gt;&lt;related-urls&gt;&lt;url&gt;https://crism.ca/wp-content/uploads/2018/03/CRISM_NationalGuideline_OUD-ENG.pdf&lt;/url&gt;&lt;/related-urls&gt;&lt;/urls&gt;&lt;/record&gt;&lt;/Cite&gt;&lt;/EndNote&gt;</w:instrText>
        </w:r>
        <w:r w:rsidR="002565E6" w:rsidRPr="00EA3458">
          <w:fldChar w:fldCharType="separate"/>
        </w:r>
        <w:r w:rsidR="002565E6" w:rsidRPr="00646D54">
          <w:rPr>
            <w:noProof/>
            <w:vertAlign w:val="superscript"/>
          </w:rPr>
          <w:t>38</w:t>
        </w:r>
        <w:r w:rsidR="002565E6" w:rsidRPr="00EA3458">
          <w:fldChar w:fldCharType="end"/>
        </w:r>
      </w:hyperlink>
      <w:r w:rsidRPr="00EA3458">
        <w:t xml:space="preserve"> This information was not included from Alberta’s and Ontario’s guidelines, nor was there information regarding a capped consumer fee and payments to pharmacies for services relating to supply of O</w:t>
      </w:r>
      <w:r w:rsidR="0033315D">
        <w:t>D</w:t>
      </w:r>
      <w:r w:rsidRPr="00EA3458">
        <w:t>T medicines. There is no cap on consumer fees outlined in Quebec, British Columbia, or Prince Edward Island’s guidelines</w:t>
      </w:r>
      <w:r w:rsidR="00217678">
        <w:t>.</w:t>
      </w:r>
      <w:hyperlink w:anchor="_ENREF_38" w:tooltip="Canadian Research Initiative in Substance Misuse, 2020 #39" w:history="1">
        <w:r w:rsidR="002565E6" w:rsidRPr="00EA3458">
          <w:fldChar w:fldCharType="begin">
            <w:fldData xml:space="preserve">PEVuZE5vdGU+PENpdGU+PEF1dGhvcj5DYW5hZGlhbiBSZXNlYXJjaCBJbml0aWF0aXZlIGluIFN1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</w:fldData>
          </w:fldChar>
        </w:r>
        <w:r w:rsidR="002565E6">
          <w:instrText xml:space="preserve"> ADDIN EN.CITE </w:instrText>
        </w:r>
        <w:r w:rsidR="002565E6">
          <w:fldChar w:fldCharType="begin">
            <w:fldData xml:space="preserve">PEVuZE5vdGU+PENpdGU+PEF1dGhvcj5DYW5hZGlhbiBSZXNlYXJjaCBJbml0aWF0aXZlIGluIFN1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</w:fldData>
          </w:fldChar>
        </w:r>
        <w:r w:rsidR="002565E6">
          <w:instrText xml:space="preserve"> ADDIN EN.CITE.DATA </w:instrText>
        </w:r>
        <w:r w:rsidR="002565E6">
          <w:fldChar w:fldCharType="end"/>
        </w:r>
        <w:r w:rsidR="002565E6" w:rsidRPr="00EA3458">
          <w:fldChar w:fldCharType="separate"/>
        </w:r>
        <w:r w:rsidR="002565E6" w:rsidRPr="00646D54">
          <w:rPr>
            <w:noProof/>
            <w:vertAlign w:val="superscript"/>
          </w:rPr>
          <w:t>38-40</w:t>
        </w:r>
        <w:r w:rsidR="002565E6" w:rsidRPr="00EA3458">
          <w:fldChar w:fldCharType="end"/>
        </w:r>
      </w:hyperlink>
      <w:r w:rsidRPr="00EA3458">
        <w:t xml:space="preserve"> </w:t>
      </w:r>
    </w:p>
    <w:p w14:paraId="29449B79" w14:textId="17964719" w:rsidR="00A33097" w:rsidRDefault="00434810" w:rsidP="004139FC">
      <w:pPr>
        <w:rPr>
          <w:color w:val="000000" w:themeColor="text1"/>
        </w:rPr>
      </w:pPr>
      <w:r w:rsidRPr="00EA3458">
        <w:rPr>
          <w:b/>
          <w:bCs/>
          <w:color w:val="000000" w:themeColor="text1"/>
        </w:rPr>
        <w:t xml:space="preserve"> </w:t>
      </w:r>
      <w:r w:rsidRPr="00EA3458">
        <w:t>Guidelines for England, Scotland and Wales do not include information on capped amounts for consumers, subsidies provided to community pharmacies for O</w:t>
      </w:r>
      <w:r w:rsidR="0033315D">
        <w:t>D</w:t>
      </w:r>
      <w:r w:rsidRPr="00EA3458">
        <w:t>T</w:t>
      </w:r>
      <w:r w:rsidR="0033315D">
        <w:t xml:space="preserve"> medicine</w:t>
      </w:r>
      <w:r w:rsidRPr="00EA3458">
        <w:t xml:space="preserve"> service provision, consumer cap per prescriber or prescriber training requirements for either methadone or buprenorphine. </w:t>
      </w:r>
      <w:r w:rsidRPr="00EA3458">
        <w:rPr>
          <w:color w:val="000000" w:themeColor="text1"/>
        </w:rPr>
        <w:t>In Scotland, pharmacists are paid £2.16 for every dose of methadone dispensed and £1.34 (2018-19) for supervising consumption</w:t>
      </w:r>
      <w:r w:rsidR="00217678">
        <w:rPr>
          <w:color w:val="000000" w:themeColor="text1"/>
        </w:rPr>
        <w:t>.</w:t>
      </w:r>
      <w:hyperlink w:anchor="_ENREF_45" w:tooltip="Public Health Scotland, 2020 #46" w:history="1">
        <w:r w:rsidR="002565E6" w:rsidRPr="00EA3458">
          <w:rPr>
            <w:color w:val="000000" w:themeColor="text1"/>
          </w:rPr>
          <w:fldChar w:fldCharType="begin"/>
        </w:r>
        <w:r w:rsidR="002565E6">
          <w:rPr>
            <w:color w:val="000000" w:themeColor="text1"/>
          </w:rPr>
          <w:instrText xml:space="preserve"> ADDIN EN.CITE &lt;EndNote&gt;&lt;Cite&gt;&lt;Author&gt;Public Health Scotland&lt;/Author&gt;&lt;Year&gt;2020&lt;/Year&gt;&lt;RecNum&gt;46&lt;/RecNum&gt;&lt;DisplayText&gt;&lt;style face="superscript"&gt;45&lt;/style&gt;&lt;/DisplayText&gt;&lt;record&gt;&lt;rec-number&gt;46&lt;/rec-number&gt;&lt;foreign-keys&gt;&lt;key app="EN" db-id="xssz590sx9vzw4ewpzdv0s5sret50aexdtd9" timestamp="1668645478"&gt;46&lt;/key&gt;&lt;/foreign-keys&gt;&lt;ref-type name="Web Page"&gt;12&lt;/ref-type&gt;&lt;contributors&gt;&lt;authors&gt;&lt;author&gt;Public Health Scotland,&lt;/author&gt;&lt;/authors&gt;&lt;/contributors&gt;&lt;titles&gt;&lt;title&gt;Community Dispensing: Dispenser Remuneration &lt;/title&gt;&lt;/titles&gt;&lt;volume&gt;2022&lt;/volume&gt;&lt;number&gt;13 February 2022&lt;/number&gt;&lt;dates&gt;&lt;year&gt;2020&lt;/year&gt;&lt;/dates&gt;&lt;pub-location&gt;Edinburgh, Scotland &lt;/pub-location&gt;&lt;urls&gt;&lt;related-urls&gt;&lt;url&gt;https://www.isdscotland.org/Health-Topics/Prescribing-and-Medicines/Community-Dispensing/Dispenser-Remuneration/&lt;/url&gt;&lt;/related-urls&gt;&lt;/urls&gt;&lt;/record&gt;&lt;/Cite&gt;&lt;/EndNote&gt;</w:instrText>
        </w:r>
        <w:r w:rsidR="002565E6" w:rsidRPr="00EA3458">
          <w:rPr>
            <w:color w:val="000000" w:themeColor="text1"/>
          </w:rPr>
          <w:fldChar w:fldCharType="separate"/>
        </w:r>
        <w:r w:rsidR="002565E6" w:rsidRPr="00646D54">
          <w:rPr>
            <w:noProof/>
            <w:color w:val="000000" w:themeColor="text1"/>
            <w:vertAlign w:val="superscript"/>
          </w:rPr>
          <w:t>45</w:t>
        </w:r>
        <w:r w:rsidR="002565E6" w:rsidRPr="00EA3458">
          <w:rPr>
            <w:color w:val="000000" w:themeColor="text1"/>
          </w:rPr>
          <w:fldChar w:fldCharType="end"/>
        </w:r>
      </w:hyperlink>
      <w:r w:rsidRPr="00EA3458">
        <w:t xml:space="preserve"> </w:t>
      </w:r>
      <w:r w:rsidR="00A33097" w:rsidRPr="00EA3458">
        <w:rPr>
          <w:color w:val="000000" w:themeColor="text1"/>
        </w:rPr>
        <w:t xml:space="preserve">There is no dispensing fee charged to consumers in Scotland. </w:t>
      </w:r>
    </w:p>
    <w:p w14:paraId="09AE9627" w14:textId="7B3248F2" w:rsidR="00434810" w:rsidRPr="00EA3458" w:rsidRDefault="00434810" w:rsidP="004139FC">
      <w:pPr>
        <w:rPr>
          <w:color w:val="000000" w:themeColor="text1"/>
        </w:rPr>
      </w:pPr>
      <w:r w:rsidRPr="00EA3458">
        <w:t xml:space="preserve">There is no mention of subsidies for community pharmacies in guidelines for England and Wales. Both England and Wales have a single activity fee of </w:t>
      </w:r>
      <w:r w:rsidRPr="00EA3458">
        <w:rPr>
          <w:color w:val="000000" w:themeColor="text1"/>
        </w:rPr>
        <w:t>£1.29 and £2.50 for oral methadone plus an additional “packaged dose fee” of £0.55</w:t>
      </w:r>
      <w:r w:rsidR="00217678">
        <w:rPr>
          <w:color w:val="000000" w:themeColor="text1"/>
        </w:rPr>
        <w:t>.</w:t>
      </w:r>
      <w:hyperlink w:anchor="_ENREF_46" w:tooltip="Pharmaceutical Services Negotiating Committee, 2022 #47" w:history="1">
        <w:r w:rsidR="002565E6" w:rsidRPr="00EA3458">
          <w:rPr>
            <w:color w:val="000000" w:themeColor="text1"/>
          </w:rPr>
          <w:fldChar w:fldCharType="begin"/>
        </w:r>
        <w:r w:rsidR="002565E6">
          <w:rPr>
            <w:color w:val="000000" w:themeColor="text1"/>
          </w:rPr>
          <w:instrText xml:space="preserve"> ADDIN EN.CITE &lt;EndNote&gt;&lt;Cite&gt;&lt;Author&gt;Pharmaceutical Services Negotiating Committee&lt;/Author&gt;&lt;Year&gt;2022&lt;/Year&gt;&lt;RecNum&gt;47&lt;/RecNum&gt;&lt;DisplayText&gt;&lt;style face="superscript"&gt;46&lt;/style&gt;&lt;/DisplayText&gt;&lt;record&gt;&lt;rec-number&gt;47&lt;/rec-number&gt;&lt;foreign-keys&gt;&lt;key app="EN" db-id="xssz590sx9vzw4ewpzdv0s5sret50aexdtd9" timestamp="1668645485"&gt;47&lt;/key&gt;&lt;/foreign-keys&gt;&lt;ref-type name="Web Page"&gt;12&lt;/ref-type&gt;&lt;contributors&gt;&lt;authors&gt;&lt;author&gt;Pharmaceutical Services Negotiating Committee,&lt;/author&gt;&lt;/authors&gt;&lt;/contributors&gt;&lt;titles&gt;&lt;title&gt;Instalment dispensing (FP10 and FP10MDA including liquid oral methadone) &lt;/title&gt;&lt;/titles&gt;&lt;volume&gt;2022&lt;/volume&gt;&lt;number&gt;12 January 2022 &lt;/number&gt;&lt;dates&gt;&lt;year&gt;2022&lt;/year&gt;&lt;/dates&gt;&lt;pub-location&gt;London, England &lt;/pub-location&gt;&lt;urls&gt;&lt;related-urls&gt;&lt;url&gt;https://psnc.org.uk/dispensing-supply/dispensing-controlled-drugs/instalment-dispensing-fp10-and-fp10mda-including-liquid-oral-methadone/&lt;/url&gt;&lt;/related-urls&gt;&lt;/urls&gt;&lt;/record&gt;&lt;/Cite&gt;&lt;/EndNote&gt;</w:instrText>
        </w:r>
        <w:r w:rsidR="002565E6" w:rsidRPr="00EA3458">
          <w:rPr>
            <w:color w:val="000000" w:themeColor="text1"/>
          </w:rPr>
          <w:fldChar w:fldCharType="separate"/>
        </w:r>
        <w:r w:rsidR="002565E6" w:rsidRPr="00646D54">
          <w:rPr>
            <w:noProof/>
            <w:color w:val="000000" w:themeColor="text1"/>
            <w:vertAlign w:val="superscript"/>
          </w:rPr>
          <w:t>46</w:t>
        </w:r>
        <w:r w:rsidR="002565E6" w:rsidRPr="00EA3458">
          <w:rPr>
            <w:color w:val="000000" w:themeColor="text1"/>
          </w:rPr>
          <w:fldChar w:fldCharType="end"/>
        </w:r>
      </w:hyperlink>
      <w:r w:rsidRPr="00EA3458">
        <w:rPr>
          <w:color w:val="000000" w:themeColor="text1"/>
        </w:rPr>
        <w:t xml:space="preserve"> </w:t>
      </w:r>
    </w:p>
    <w:p w14:paraId="09C31A22" w14:textId="647285F4" w:rsidR="00434810" w:rsidRPr="00EA3458" w:rsidRDefault="00434810">
      <w:r w:rsidRPr="00EA3458">
        <w:t>No information was available pertaining to O</w:t>
      </w:r>
      <w:r w:rsidR="0033315D">
        <w:t>D</w:t>
      </w:r>
      <w:r w:rsidRPr="00EA3458">
        <w:t>T</w:t>
      </w:r>
      <w:r w:rsidR="0033315D">
        <w:t xml:space="preserve"> medicine</w:t>
      </w:r>
      <w:r w:rsidRPr="00EA3458">
        <w:t xml:space="preserve"> consumer fees in correctional facilities in England, Wales</w:t>
      </w:r>
      <w:r w:rsidR="00C6260F">
        <w:t>,</w:t>
      </w:r>
      <w:r w:rsidRPr="00EA3458">
        <w:t xml:space="preserve"> or Scotland. In Canada, there is no fee charged in correctional facilities in British Columbia or Prince Edward Island</w:t>
      </w:r>
      <w:r w:rsidR="00217678">
        <w:t>.</w:t>
      </w:r>
      <w:r w:rsidRPr="00EA3458">
        <w:fldChar w:fldCharType="begin"/>
      </w:r>
      <w:r w:rsidR="00646D54">
        <w:instrText xml:space="preserve"> ADDIN EN.CITE &lt;EndNote&gt;&lt;Cite&gt;&lt;Author&gt;British Columbia Centre on Substance Use&lt;/Author&gt;&lt;Year&gt;2017&lt;/Year&gt;&lt;RecNum&gt;40&lt;/RecNum&gt;&lt;DisplayText&gt;&lt;style face="superscript"&gt;38, 39&lt;/style&gt;&lt;/DisplayText&gt;&lt;record&gt;&lt;rec-number&gt;40&lt;/rec-number&gt;&lt;foreign-keys&gt;&lt;key app="EN" db-id="xssz590sx9vzw4ewpzdv0s5sret50aexdtd9" timestamp="1668645439"&gt;40&lt;/key&gt;&lt;/foreign-keys&gt;&lt;ref-type name="Report"&gt;27&lt;/ref-type&gt;&lt;contributors&gt;&lt;authors&gt;&lt;author&gt;British Columbia Centre on Substance Use,&lt;/author&gt;&lt;/authors&gt;&lt;/contributors&gt;&lt;titles&gt;&lt;title&gt;A Guideline for the Clinical Management of Opioid Use Disorder &lt;/title&gt;&lt;/titles&gt;&lt;dates&gt;&lt;year&gt;2017&lt;/year&gt;&lt;/dates&gt;&lt;urls&gt;&lt;related-urls&gt;&lt;url&gt;https://www.bccsu.ca/wp-content/uploads/2017/06/BC-OUD-Guidelines_June2017.pdf&lt;/url&gt;&lt;/related-urls&gt;&lt;/urls&gt;&lt;/record&gt;&lt;/Cite&gt;&lt;Cite&gt;&lt;Author&gt;Canadian Research Initiative in Substance Misuse&lt;/Author&gt;&lt;Year&gt;2020&lt;/Year&gt;&lt;RecNum&gt;39&lt;/RecNum&gt;&lt;record&gt;&lt;rec-number&gt;39&lt;/rec-number&gt;&lt;foreign-keys&gt;&lt;key app="EN" db-id="xssz590sx9vzw4ewpzdv0s5sret50aexdtd9" timestamp="1668645435"&gt;39&lt;/key&gt;&lt;/foreign-keys&gt;&lt;ref-type name="Report"&gt;27&lt;/ref-type&gt;&lt;contributors&gt;&lt;authors&gt;&lt;author&gt;Canadian Research Initiative in Substance Misuse, &lt;/author&gt;&lt;/authors&gt;&lt;/contributors&gt;&lt;titles&gt;&lt;title&gt;CRISM National Guideline for the Clinical Management of Opioid Use &lt;/title&gt;&lt;/titles&gt;&lt;dates&gt;&lt;year&gt;2020&lt;/year&gt;&lt;/dates&gt;&lt;urls&gt;&lt;related-urls&gt;&lt;url&gt;https://crism.ca/wp-content/uploads/2018/03/CRISM_NationalGuideline_OUD-ENG.pdf&lt;/url&gt;&lt;/related-urls&gt;&lt;/urls&gt;&lt;/record&gt;&lt;/Cite&gt;&lt;/EndNote&gt;</w:instrText>
      </w:r>
      <w:r w:rsidRPr="00EA3458">
        <w:fldChar w:fldCharType="separate"/>
      </w:r>
      <w:hyperlink w:anchor="_ENREF_38" w:tooltip="Canadian Research Initiative in Substance Misuse, 2020 #39" w:history="1">
        <w:r w:rsidR="002565E6" w:rsidRPr="00646D54">
          <w:rPr>
            <w:noProof/>
            <w:vertAlign w:val="superscript"/>
          </w:rPr>
          <w:t>38</w:t>
        </w:r>
      </w:hyperlink>
      <w:r w:rsidR="00646D54" w:rsidRPr="00646D54">
        <w:rPr>
          <w:noProof/>
          <w:vertAlign w:val="superscript"/>
        </w:rPr>
        <w:t>,</w:t>
      </w:r>
      <w:hyperlink w:anchor="_ENREF_39" w:tooltip="British Columbia Centre on Substance Use, 2017 #40" w:history="1">
        <w:r w:rsidR="002565E6" w:rsidRPr="00646D54">
          <w:rPr>
            <w:noProof/>
            <w:vertAlign w:val="superscript"/>
          </w:rPr>
          <w:t>39</w:t>
        </w:r>
      </w:hyperlink>
      <w:r w:rsidRPr="00EA3458">
        <w:fldChar w:fldCharType="end"/>
      </w:r>
      <w:r w:rsidRPr="00EA3458">
        <w:t xml:space="preserve"> A fee is charged in correctional facilities in Quebec</w:t>
      </w:r>
      <w:r w:rsidR="00217678">
        <w:t>,</w:t>
      </w:r>
      <w:hyperlink w:anchor="_ENREF_40" w:tooltip="Institut Universitaire Sur Les Dependances, 2020 #41" w:history="1">
        <w:r w:rsidR="002565E6" w:rsidRPr="00EA3458">
          <w:fldChar w:fldCharType="begin"/>
        </w:r>
        <w:r w:rsidR="002565E6">
          <w:instrText xml:space="preserve"> ADDIN EN.CITE &lt;EndNote&gt;&lt;Cite&gt;&lt;Author&gt;Institut Universitaire Sur Les Dependances&lt;/Author&gt;&lt;Year&gt;2020&lt;/Year&gt;&lt;RecNum&gt;41&lt;/RecNum&gt;&lt;DisplayText&gt;&lt;style face="superscript"&gt;40&lt;/style&gt;&lt;/DisplayText&gt;&lt;record&gt;&lt;rec-number&gt;41&lt;/rec-number&gt;&lt;foreign-keys&gt;&lt;key app="EN" db-id="xssz590sx9vzw4ewpzdv0s5sret50aexdtd9" timestamp="1668645443"&gt;41&lt;/key&gt;&lt;/foreign-keys&gt;&lt;ref-type name="Report"&gt;27&lt;/ref-type&gt;&lt;contributors&gt;&lt;authors&gt;&lt;author&gt;Institut Universitaire Sur Les Dependances,&lt;/author&gt;&lt;/authors&gt;&lt;/contributors&gt;&lt;titles&gt;&lt;title&gt;Quebec Guide to Improving Practices in the Management of Opioid Use Disorder &lt;/title&gt;&lt;/titles&gt;&lt;dates&gt;&lt;year&gt;2020&lt;/year&gt;&lt;/dates&gt;&lt;pub-location&gt;Montreal, Quebec&lt;/pub-location&gt;&lt;urls&gt;&lt;related-urls&gt;&lt;url&gt;http://dependanceitinerance.ca/wp-content/uploads/2020/09/GuideTUO-EN-sept2020.pdf&lt;/url&gt;&lt;/related-urls&gt;&lt;/urls&gt;&lt;/record&gt;&lt;/Cite&gt;&lt;/EndNote&gt;</w:instrText>
        </w:r>
        <w:r w:rsidR="002565E6" w:rsidRPr="00EA3458">
          <w:fldChar w:fldCharType="separate"/>
        </w:r>
        <w:r w:rsidR="002565E6" w:rsidRPr="00646D54">
          <w:rPr>
            <w:noProof/>
            <w:vertAlign w:val="superscript"/>
          </w:rPr>
          <w:t>40</w:t>
        </w:r>
        <w:r w:rsidR="002565E6" w:rsidRPr="00EA3458">
          <w:fldChar w:fldCharType="end"/>
        </w:r>
      </w:hyperlink>
      <w:r w:rsidRPr="00EA3458">
        <w:t xml:space="preserve"> and no information was available for Ontario or Alberta. </w:t>
      </w:r>
    </w:p>
    <w:p w14:paraId="1CCE342A" w14:textId="77777777" w:rsidR="00434810" w:rsidRPr="00EA3458" w:rsidRDefault="00434810">
      <w:pPr>
        <w:pStyle w:val="Heading5"/>
        <w:rPr>
          <w:i/>
        </w:rPr>
      </w:pPr>
      <w:r w:rsidRPr="00EA3458">
        <w:t>Unsupervised dosing and urine drug screening</w:t>
      </w:r>
    </w:p>
    <w:p w14:paraId="2DB3F05F" w14:textId="719FF4CE" w:rsidR="00434810" w:rsidRPr="00EA3458" w:rsidRDefault="00434810">
      <w:r w:rsidRPr="00EA3458">
        <w:t>Supervised dosing in the United Kingdom is required for the first three months of treatment, which can then be relaxed subject to the perceived status of the consumer and once an assurance of compliance is made</w:t>
      </w:r>
      <w:r w:rsidR="00217678">
        <w:t>.</w:t>
      </w:r>
      <w:hyperlink w:anchor="_ENREF_37" w:tooltip="Clinical Guidelines on Drug Misuse and Dependence Update 2017 Independent Expert Working Group, 2017 #38" w:history="1">
        <w:r w:rsidR="002565E6" w:rsidRPr="00EA3458">
          <w:fldChar w:fldCharType="begin"/>
        </w:r>
        <w:r w:rsidR="002565E6">
          <w:instrText xml:space="preserve"> ADDIN EN.CITE &lt;EndNote&gt;&lt;Cite&gt;&lt;Author&gt;Clinical Guidelines on Drug Misuse and Dependence Update 2017 Independent Expert Working Group&lt;/Author&gt;&lt;Year&gt;2017&lt;/Year&gt;&lt;RecNum&gt;38&lt;/RecNum&gt;&lt;DisplayText&gt;&lt;style face="superscript"&gt;37&lt;/style&gt;&lt;/DisplayText&gt;&lt;record&gt;&lt;rec-number&gt;38&lt;/rec-number&gt;&lt;foreign-keys&gt;&lt;key app="EN" db-id="xssz590sx9vzw4ewpzdv0s5sret50aexdtd9" timestamp="1668645429"&gt;38&lt;/key&gt;&lt;/foreign-keys&gt;&lt;ref-type name="Report"&gt;27&lt;/ref-type&gt;&lt;contributors&gt;&lt;authors&gt;&lt;author&gt;Clinical Guidelines on Drug Misuse and Dependence Update 2017 Independent Expert Working Group, &lt;/author&gt;&lt;/authors&gt;&lt;/contributors&gt;&lt;titles&gt;&lt;title&gt;Drug misuse and dependence: UK guidelines on clinical management &lt;/title&gt;&lt;/titles&gt;&lt;dates&gt;&lt;year&gt;2017&lt;/year&gt;&lt;/dates&gt;&lt;pub-location&gt;London&lt;/pub-location&gt;&lt;publisher&gt;Department of Health &lt;/publisher&gt;&lt;orig-pub&gt;July 2017 &lt;/orig-pub&gt;&lt;urls&gt;&lt;/urls&gt;&lt;/record&gt;&lt;/Cite&gt;&lt;/EndNote&gt;</w:instrText>
        </w:r>
        <w:r w:rsidR="002565E6" w:rsidRPr="00EA3458">
          <w:fldChar w:fldCharType="separate"/>
        </w:r>
        <w:r w:rsidR="002565E6" w:rsidRPr="00646D54">
          <w:rPr>
            <w:noProof/>
            <w:vertAlign w:val="superscript"/>
          </w:rPr>
          <w:t>37</w:t>
        </w:r>
        <w:r w:rsidR="002565E6" w:rsidRPr="00EA3458">
          <w:fldChar w:fldCharType="end"/>
        </w:r>
      </w:hyperlink>
      <w:r w:rsidRPr="00EA3458">
        <w:t xml:space="preserve"> Provincial Canadian guidelines on supervised dosing differ on the treatment that is being administered. For methadone, both Quebec and Alberta require supervised dosing for the first three months</w:t>
      </w:r>
      <w:r w:rsidR="00217678">
        <w:t>,</w:t>
      </w:r>
      <w:r w:rsidRPr="00EA3458">
        <w:fldChar w:fldCharType="begin"/>
      </w:r>
      <w:r w:rsidR="00646D54">
        <w:instrText xml:space="preserve"> ADDIN EN.CITE &lt;EndNote&gt;&lt;Cite&gt;&lt;Author&gt;Institut Universitaire Sur Les Dependances&lt;/Author&gt;&lt;Year&gt;2020&lt;/Year&gt;&lt;RecNum&gt;41&lt;/RecNum&gt;&lt;DisplayText&gt;&lt;style face="superscript"&gt;36, 40&lt;/style&gt;&lt;/DisplayText&gt;&lt;record&gt;&lt;rec-number&gt;41&lt;/rec-number&gt;&lt;foreign-keys&gt;&lt;key app="EN" db-id="xssz590sx9vzw4ewpzdv0s5sret50aexdtd9" timestamp="1668645443"&gt;41&lt;/key&gt;&lt;/foreign-keys&gt;&lt;ref-type name="Report"&gt;27&lt;/ref-type&gt;&lt;contributors&gt;&lt;authors&gt;&lt;author&gt;Institut Universitaire Sur Les Dependances,&lt;/author&gt;&lt;/authors&gt;&lt;/contributors&gt;&lt;titles&gt;&lt;title&gt;Quebec Guide to Improving Practices in the Management of Opioid Use Disorder &lt;/title&gt;&lt;/titles&gt;&lt;dates&gt;&lt;year&gt;2020&lt;/year&gt;&lt;/dates&gt;&lt;pub-location&gt;Montreal, Quebec&lt;/pub-location&gt;&lt;urls&gt;&lt;related-urls&gt;&lt;url&gt;http://dependanceitinerance.ca/wp-content/uploads/2020/09/GuideTUO-EN-sept2020.pdf&lt;/url&gt;&lt;/related-urls&gt;&lt;/urls&gt;&lt;/record&gt;&lt;/Cite&gt;&lt;Cite&gt;&lt;Author&gt;Alberta College of Pharmacy&lt;/Author&gt;&lt;Year&gt;2021&lt;/Year&gt;&lt;RecNum&gt;37&lt;/RecNum&gt;&lt;record&gt;&lt;rec-number&gt;37&lt;/rec-number&gt;&lt;foreign-keys&gt;&lt;key app="EN" db-id="xssz590sx9vzw4ewpzdv0s5sret50aexdtd9" timestamp="1668645425"&gt;37&lt;/key&gt;&lt;/foreign-keys&gt;&lt;ref-type name="Report"&gt;27&lt;/ref-type&gt;&lt;contributors&gt;&lt;authors&gt;&lt;author&gt;Alberta College of Pharmacy,&lt;/author&gt;&lt;/authors&gt;&lt;/contributors&gt;&lt;titles&gt;&lt;title&gt;Opioid Agonist Therapy (OAT) guidelines &lt;/title&gt;&lt;/titles&gt;&lt;dates&gt;&lt;year&gt;2021&lt;/year&gt;&lt;/dates&gt;&lt;urls&gt;&lt;related-urls&gt;&lt;url&gt;https://abpharmacy.ca/sites/default/files/OAT_Guidelines.pdf&lt;/url&gt;&lt;/related-urls&gt;&lt;/urls&gt;&lt;/record&gt;&lt;/Cite&gt;&lt;/EndNote&gt;</w:instrText>
      </w:r>
      <w:r w:rsidRPr="00EA3458">
        <w:fldChar w:fldCharType="separate"/>
      </w:r>
      <w:hyperlink w:anchor="_ENREF_36" w:tooltip="Alberta College of Pharmacy, 2021 #37" w:history="1">
        <w:r w:rsidR="002565E6" w:rsidRPr="00646D54">
          <w:rPr>
            <w:noProof/>
            <w:vertAlign w:val="superscript"/>
          </w:rPr>
          <w:t>36</w:t>
        </w:r>
      </w:hyperlink>
      <w:r w:rsidR="00646D54" w:rsidRPr="00646D54">
        <w:rPr>
          <w:noProof/>
          <w:vertAlign w:val="superscript"/>
        </w:rPr>
        <w:t>,</w:t>
      </w:r>
      <w:hyperlink w:anchor="_ENREF_40" w:tooltip="Institut Universitaire Sur Les Dependances, 2020 #41" w:history="1">
        <w:r w:rsidR="002565E6" w:rsidRPr="00646D54">
          <w:rPr>
            <w:noProof/>
            <w:vertAlign w:val="superscript"/>
          </w:rPr>
          <w:t>40</w:t>
        </w:r>
      </w:hyperlink>
      <w:r w:rsidRPr="00EA3458">
        <w:fldChar w:fldCharType="end"/>
      </w:r>
      <w:r w:rsidRPr="00EA3458">
        <w:t xml:space="preserve"> while British Columbia guidelines stipulate supervised dosing for one month once a stable dose has been reached and 12 weeks of negative urine screening</w:t>
      </w:r>
      <w:r w:rsidR="00217678">
        <w:t>.</w:t>
      </w:r>
      <w:hyperlink w:anchor="_ENREF_39" w:tooltip="British Columbia Centre on Substance Use, 2017 #40" w:history="1">
        <w:r w:rsidR="002565E6" w:rsidRPr="00EA3458">
          <w:fldChar w:fldCharType="begin"/>
        </w:r>
        <w:r w:rsidR="002565E6">
          <w:instrText xml:space="preserve"> ADDIN EN.CITE &lt;EndNote&gt;&lt;Cite&gt;&lt;Author&gt;British Columbia Centre on Substance Use&lt;/Author&gt;&lt;Year&gt;2017&lt;/Year&gt;&lt;RecNum&gt;40&lt;/RecNum&gt;&lt;DisplayText&gt;&lt;style face="superscript"&gt;39&lt;/style&gt;&lt;/DisplayText&gt;&lt;record&gt;&lt;rec-number&gt;40&lt;/rec-number&gt;&lt;foreign-keys&gt;&lt;key app="EN" db-id="xssz590sx9vzw4ewpzdv0s5sret50aexdtd9" timestamp="1668645439"&gt;40&lt;/key&gt;&lt;/foreign-keys&gt;&lt;ref-type name="Report"&gt;27&lt;/ref-type&gt;&lt;contributors&gt;&lt;authors&gt;&lt;author&gt;British Columbia Centre on Substance Use,&lt;/author&gt;&lt;/authors&gt;&lt;/contributors&gt;&lt;titles&gt;&lt;title&gt;A Guideline for the Clinical Management of Opioid Use Disorder &lt;/title&gt;&lt;/titles&gt;&lt;dates&gt;&lt;year&gt;2017&lt;/year&gt;&lt;/dates&gt;&lt;urls&gt;&lt;related-urls&gt;&lt;url&gt;https://www.bccsu.ca/wp-content/uploads/2017/06/BC-OUD-Guidelines_June2017.pdf&lt;/url&gt;&lt;/related-urls&gt;&lt;/urls&gt;&lt;/record&gt;&lt;/Cite&gt;&lt;/EndNote&gt;</w:instrText>
        </w:r>
        <w:r w:rsidR="002565E6" w:rsidRPr="00EA3458">
          <w:fldChar w:fldCharType="separate"/>
        </w:r>
        <w:r w:rsidR="002565E6" w:rsidRPr="00646D54">
          <w:rPr>
            <w:noProof/>
            <w:vertAlign w:val="superscript"/>
          </w:rPr>
          <w:t>39</w:t>
        </w:r>
        <w:r w:rsidR="002565E6" w:rsidRPr="00EA3458">
          <w:fldChar w:fldCharType="end"/>
        </w:r>
      </w:hyperlink>
      <w:r w:rsidRPr="00EA3458">
        <w:t xml:space="preserve"> Ontario requires two months of supervised dosing and at least </w:t>
      </w:r>
      <w:r w:rsidRPr="00EA3458">
        <w:lastRenderedPageBreak/>
        <w:t>one week without problematic substance use</w:t>
      </w:r>
      <w:r w:rsidR="00217678">
        <w:t>.</w:t>
      </w:r>
      <w:hyperlink w:anchor="_ENREF_38" w:tooltip="Canadian Research Initiative in Substance Misuse, 2020 #39" w:history="1">
        <w:r w:rsidR="002565E6" w:rsidRPr="00EA3458">
          <w:fldChar w:fldCharType="begin"/>
        </w:r>
        <w:r w:rsidR="002565E6">
          <w:instrText xml:space="preserve"> ADDIN EN.CITE &lt;EndNote&gt;&lt;Cite&gt;&lt;Author&gt;Canadian Research Initiative in Substance Misuse&lt;/Author&gt;&lt;Year&gt;2020&lt;/Year&gt;&lt;RecNum&gt;39&lt;/RecNum&gt;&lt;DisplayText&gt;&lt;style face="superscript"&gt;38&lt;/style&gt;&lt;/DisplayText&gt;&lt;record&gt;&lt;rec-number&gt;39&lt;/rec-number&gt;&lt;foreign-keys&gt;&lt;key app="EN" db-id="xssz590sx9vzw4ewpzdv0s5sret50aexdtd9" timestamp="1668645435"&gt;39&lt;/key&gt;&lt;/foreign-keys&gt;&lt;ref-type name="Report"&gt;27&lt;/ref-type&gt;&lt;contributors&gt;&lt;authors&gt;&lt;author&gt;Canadian Research Initiative in Substance Misuse, &lt;/author&gt;&lt;/authors&gt;&lt;/contributors&gt;&lt;titles&gt;&lt;title&gt;CRISM National Guideline for the Clinical Management of Opioid Use &lt;/title&gt;&lt;/titles&gt;&lt;dates&gt;&lt;year&gt;2020&lt;/year&gt;&lt;/dates&gt;&lt;urls&gt;&lt;related-urls&gt;&lt;url&gt;https://crism.ca/wp-content/uploads/2018/03/CRISM_NationalGuideline_OUD-ENG.pdf&lt;/url&gt;&lt;/related-urls&gt;&lt;/urls&gt;&lt;/record&gt;&lt;/Cite&gt;&lt;/EndNote&gt;</w:instrText>
        </w:r>
        <w:r w:rsidR="002565E6" w:rsidRPr="00EA3458">
          <w:fldChar w:fldCharType="separate"/>
        </w:r>
        <w:r w:rsidR="002565E6" w:rsidRPr="00646D54">
          <w:rPr>
            <w:noProof/>
            <w:vertAlign w:val="superscript"/>
          </w:rPr>
          <w:t>38</w:t>
        </w:r>
        <w:r w:rsidR="002565E6" w:rsidRPr="00EA3458">
          <w:fldChar w:fldCharType="end"/>
        </w:r>
      </w:hyperlink>
      <w:r w:rsidRPr="00EA3458">
        <w:t xml:space="preserve"> </w:t>
      </w:r>
      <w:r w:rsidR="00F76590">
        <w:t>The impact of COVID-19 on increased access to ODT medicines is discussed in section 2.4.4.</w:t>
      </w:r>
    </w:p>
    <w:p w14:paraId="2BE7AF82" w14:textId="53EF3585" w:rsidR="00632DDD" w:rsidRDefault="00434810" w:rsidP="00E9495B">
      <w:pPr>
        <w:spacing w:after="0"/>
      </w:pPr>
      <w:r w:rsidRPr="00EA3458">
        <w:t>Urine drug screening was recommended to be based o</w:t>
      </w:r>
      <w:r w:rsidR="00C6260F">
        <w:t>n</w:t>
      </w:r>
      <w:r w:rsidRPr="00EA3458">
        <w:t xml:space="preserve"> the current status of the consumer in UK guidelines, stipulating it should be carried out at least twice per year. There was a contradiction between the NICE 2017 Guidelines and the </w:t>
      </w:r>
      <w:r w:rsidR="00217678">
        <w:t>National Health Service</w:t>
      </w:r>
      <w:r w:rsidR="00217678" w:rsidRPr="00EA3458">
        <w:t xml:space="preserve"> </w:t>
      </w:r>
      <w:r w:rsidRPr="00EA3458">
        <w:t>Prescribing Guidelines that recommend urine drug screening to be carried out every three months</w:t>
      </w:r>
      <w:r w:rsidR="00B723E3">
        <w:t>.</w:t>
      </w:r>
      <w:r w:rsidRPr="00EA3458">
        <w:fldChar w:fldCharType="begin"/>
      </w:r>
      <w:r w:rsidR="00646D54">
        <w:instrText xml:space="preserve"> ADDIN EN.CITE &lt;EndNote&gt;&lt;Cite&gt;&lt;Author&gt;Clinical Guidelines on Drug Misuse and Dependence Update 2017 Independent Expert Working Group&lt;/Author&gt;&lt;Year&gt;2017&lt;/Year&gt;&lt;RecNum&gt;38&lt;/RecNum&gt;&lt;DisplayText&gt;&lt;style face="superscript"&gt;37, 47&lt;/style&gt;&lt;/DisplayText&gt;&lt;record&gt;&lt;rec-number&gt;38&lt;/rec-number&gt;&lt;foreign-keys&gt;&lt;key app="EN" db-id="xssz590sx9vzw4ewpzdv0s5sret50aexdtd9" timestamp="1668645429"&gt;38&lt;/key&gt;&lt;/foreign-keys&gt;&lt;ref-type name="Report"&gt;27&lt;/ref-type&gt;&lt;contributors&gt;&lt;authors&gt;&lt;author&gt;Clinical Guidelines on Drug Misuse and Dependence Update 2017 Independent Expert Working Group, &lt;/author&gt;&lt;/authors&gt;&lt;/contributors&gt;&lt;titles&gt;&lt;title&gt;Drug misuse and dependence: UK guidelines on clinical management &lt;/title&gt;&lt;/titles&gt;&lt;dates&gt;&lt;year&gt;2017&lt;/year&gt;&lt;/dates&gt;&lt;pub-location&gt;London&lt;/pub-location&gt;&lt;publisher&gt;Department of Health &lt;/publisher&gt;&lt;orig-pub&gt;July 2017 &lt;/orig-pub&gt;&lt;urls&gt;&lt;/urls&gt;&lt;/record&gt;&lt;/Cite&gt;&lt;Cite&gt;&lt;Author&gt;National Health Service&lt;/Author&gt;&lt;Year&gt;2019 &lt;/Year&gt;&lt;RecNum&gt;48&lt;/RecNum&gt;&lt;record&gt;&lt;rec-number&gt;48&lt;/rec-number&gt;&lt;foreign-keys&gt;&lt;key app="EN" db-id="xssz590sx9vzw4ewpzdv0s5sret50aexdtd9" timestamp="1668645493"&gt;48&lt;/key&gt;&lt;/foreign-keys&gt;&lt;ref-type name="Report"&gt;27&lt;/ref-type&gt;&lt;contributors&gt;&lt;authors&gt;&lt;author&gt;National Health Service,&lt;/author&gt;&lt;/authors&gt;&lt;/contributors&gt;&lt;titles&gt;&lt;title&gt;Prescribing Guidance for Substance Misuse Services &lt;/title&gt;&lt;/titles&gt;&lt;dates&gt;&lt;year&gt;2019 &lt;/year&gt;&lt;/dates&gt;&lt;urls&gt;&lt;/urls&gt;&lt;/record&gt;&lt;/Cite&gt;&lt;/EndNote&gt;</w:instrText>
      </w:r>
      <w:r w:rsidRPr="00EA3458">
        <w:fldChar w:fldCharType="separate"/>
      </w:r>
      <w:hyperlink w:anchor="_ENREF_37" w:tooltip="Clinical Guidelines on Drug Misuse and Dependence Update 2017 Independent Expert Working Group, 2017 #38" w:history="1">
        <w:r w:rsidR="002565E6" w:rsidRPr="00646D54">
          <w:rPr>
            <w:noProof/>
            <w:vertAlign w:val="superscript"/>
          </w:rPr>
          <w:t>37</w:t>
        </w:r>
      </w:hyperlink>
      <w:r w:rsidR="00646D54" w:rsidRPr="00646D54">
        <w:rPr>
          <w:noProof/>
          <w:vertAlign w:val="superscript"/>
        </w:rPr>
        <w:t>,</w:t>
      </w:r>
      <w:hyperlink w:anchor="_ENREF_47" w:tooltip="National Health Service, 2019  #48" w:history="1">
        <w:r w:rsidR="002565E6" w:rsidRPr="00646D54">
          <w:rPr>
            <w:noProof/>
            <w:vertAlign w:val="superscript"/>
          </w:rPr>
          <w:t>47</w:t>
        </w:r>
      </w:hyperlink>
      <w:r w:rsidRPr="00EA3458">
        <w:fldChar w:fldCharType="end"/>
      </w:r>
      <w:r w:rsidRPr="00EA3458">
        <w:t xml:space="preserve"> Canadian provincial guidelines vary on the treatment prescribed. For methadone, urine drug screening is based on where the consumer is at in their treatment with more frequent screening occurring in the initiation and titration phase (ranging from weekly to fortnightly)</w:t>
      </w:r>
      <w:r w:rsidR="00B723E3">
        <w:t>.</w:t>
      </w:r>
      <w:hyperlink w:anchor="_ENREF_38" w:tooltip="Canadian Research Initiative in Substance Misuse, 2020 #39" w:history="1">
        <w:r w:rsidR="002565E6" w:rsidRPr="00EA3458">
          <w:fldChar w:fldCharType="begin"/>
        </w:r>
        <w:r w:rsidR="002565E6">
          <w:instrText xml:space="preserve"> ADDIN EN.CITE &lt;EndNote&gt;&lt;Cite&gt;&lt;Author&gt;Canadian Research Initiative in Substance Misuse&lt;/Author&gt;&lt;Year&gt;2020&lt;/Year&gt;&lt;RecNum&gt;39&lt;/RecNum&gt;&lt;DisplayText&gt;&lt;style face="superscript"&gt;38&lt;/style&gt;&lt;/DisplayText&gt;&lt;record&gt;&lt;rec-number&gt;39&lt;/rec-number&gt;&lt;foreign-keys&gt;&lt;key app="EN" db-id="xssz590sx9vzw4ewpzdv0s5sret50aexdtd9" timestamp="1668645435"&gt;39&lt;/key&gt;&lt;/foreign-keys&gt;&lt;ref-type name="Report"&gt;27&lt;/ref-type&gt;&lt;contributors&gt;&lt;authors&gt;&lt;author&gt;Canadian Research Initiative in Substance Misuse, &lt;/author&gt;&lt;/authors&gt;&lt;/contributors&gt;&lt;titles&gt;&lt;title&gt;CRISM National Guideline for the Clinical Management of Opioid Use &lt;/title&gt;&lt;/titles&gt;&lt;dates&gt;&lt;year&gt;2020&lt;/year&gt;&lt;/dates&gt;&lt;urls&gt;&lt;related-urls&gt;&lt;url&gt;https://crism.ca/wp-content/uploads/2018/03/CRISM_NationalGuideline_OUD-ENG.pdf&lt;/url&gt;&lt;/related-urls&gt;&lt;/urls&gt;&lt;/record&gt;&lt;/Cite&gt;&lt;/EndNote&gt;</w:instrText>
        </w:r>
        <w:r w:rsidR="002565E6" w:rsidRPr="00EA3458">
          <w:fldChar w:fldCharType="separate"/>
        </w:r>
        <w:r w:rsidR="002565E6" w:rsidRPr="00646D54">
          <w:rPr>
            <w:noProof/>
            <w:vertAlign w:val="superscript"/>
          </w:rPr>
          <w:t>38</w:t>
        </w:r>
        <w:r w:rsidR="002565E6" w:rsidRPr="00EA3458">
          <w:fldChar w:fldCharType="end"/>
        </w:r>
      </w:hyperlink>
      <w:r w:rsidRPr="00EA3458">
        <w:t xml:space="preserve"> Drug screening lessens as the stabilisation and maintenance phases are reached (once per week to once every three months)</w:t>
      </w:r>
      <w:r w:rsidR="00B723E3">
        <w:t>.</w:t>
      </w:r>
      <w:hyperlink w:anchor="_ENREF_38" w:tooltip="Canadian Research Initiative in Substance Misuse, 2020 #39" w:history="1">
        <w:r w:rsidR="002565E6" w:rsidRPr="00EA3458">
          <w:fldChar w:fldCharType="begin"/>
        </w:r>
        <w:r w:rsidR="002565E6">
          <w:instrText xml:space="preserve"> ADDIN EN.CITE &lt;EndNote&gt;&lt;Cite&gt;&lt;Author&gt;Canadian Research Initiative in Substance Misuse&lt;/Author&gt;&lt;Year&gt;2020&lt;/Year&gt;&lt;RecNum&gt;39&lt;/RecNum&gt;&lt;DisplayText&gt;&lt;style face="superscript"&gt;38&lt;/style&gt;&lt;/DisplayText&gt;&lt;record&gt;&lt;rec-number&gt;39&lt;/rec-number&gt;&lt;foreign-keys&gt;&lt;key app="EN" db-id="xssz590sx9vzw4ewpzdv0s5sret50aexdtd9" timestamp="1668645435"&gt;39&lt;/key&gt;&lt;/foreign-keys&gt;&lt;ref-type name="Report"&gt;27&lt;/ref-type&gt;&lt;contributors&gt;&lt;authors&gt;&lt;author&gt;Canadian Research Initiative in Substance Misuse, &lt;/author&gt;&lt;/authors&gt;&lt;/contributors&gt;&lt;titles&gt;&lt;title&gt;CRISM National Guideline for the Clinical Management of Opioid Use &lt;/title&gt;&lt;/titles&gt;&lt;dates&gt;&lt;year&gt;2020&lt;/year&gt;&lt;/dates&gt;&lt;urls&gt;&lt;related-urls&gt;&lt;url&gt;https://crism.ca/wp-content/uploads/2018/03/CRISM_NationalGuideline_OUD-ENG.pdf&lt;/url&gt;&lt;/related-urls&gt;&lt;/urls&gt;&lt;/record&gt;&lt;/Cite&gt;&lt;/EndNote&gt;</w:instrText>
        </w:r>
        <w:r w:rsidR="002565E6" w:rsidRPr="00EA3458">
          <w:fldChar w:fldCharType="separate"/>
        </w:r>
        <w:r w:rsidR="002565E6" w:rsidRPr="00646D54">
          <w:rPr>
            <w:noProof/>
            <w:vertAlign w:val="superscript"/>
          </w:rPr>
          <w:t>38</w:t>
        </w:r>
        <w:r w:rsidR="002565E6" w:rsidRPr="00EA3458">
          <w:fldChar w:fldCharType="end"/>
        </w:r>
      </w:hyperlink>
      <w:r w:rsidRPr="00EA3458">
        <w:t xml:space="preserve"> For buprenorphine, recommendations for urine drug screening range from before treatment has begun in Ontario and Alberta</w:t>
      </w:r>
      <w:r w:rsidR="00B723E3">
        <w:t>,</w:t>
      </w:r>
      <w:r w:rsidRPr="00EA3458">
        <w:fldChar w:fldCharType="begin"/>
      </w:r>
      <w:r w:rsidR="00646D54">
        <w:instrText xml:space="preserve"> ADDIN EN.CITE &lt;EndNote&gt;&lt;Cite&gt;&lt;Author&gt;Alberta College of Pharmacy&lt;/Author&gt;&lt;Year&gt;2021&lt;/Year&gt;&lt;RecNum&gt;37&lt;/RecNum&gt;&lt;DisplayText&gt;&lt;style face="superscript"&gt;36, 38&lt;/style&gt;&lt;/DisplayText&gt;&lt;record&gt;&lt;rec-number&gt;37&lt;/rec-number&gt;&lt;foreign-keys&gt;&lt;key app="EN" db-id="xssz590sx9vzw4ewpzdv0s5sret50aexdtd9" timestamp="1668645425"&gt;37&lt;/key&gt;&lt;/foreign-keys&gt;&lt;ref-type name="Report"&gt;27&lt;/ref-type&gt;&lt;contributors&gt;&lt;authors&gt;&lt;author&gt;Alberta College of Pharmacy,&lt;/author&gt;&lt;/authors&gt;&lt;/contributors&gt;&lt;titles&gt;&lt;title&gt;Opioid Agonist Therapy (OAT) guidelines &lt;/title&gt;&lt;/titles&gt;&lt;dates&gt;&lt;year&gt;2021&lt;/year&gt;&lt;/dates&gt;&lt;urls&gt;&lt;related-urls&gt;&lt;url&gt;https://abpharmacy.ca/sites/default/files/OAT_Guidelines.pdf&lt;/url&gt;&lt;/related-urls&gt;&lt;/urls&gt;&lt;/record&gt;&lt;/Cite&gt;&lt;Cite&gt;&lt;Author&gt;Canadian Research Initiative in Substance Misuse&lt;/Author&gt;&lt;Year&gt;2020&lt;/Year&gt;&lt;RecNum&gt;39&lt;/RecNum&gt;&lt;record&gt;&lt;rec-number&gt;39&lt;/rec-number&gt;&lt;foreign-keys&gt;&lt;key app="EN" db-id="xssz590sx9vzw4ewpzdv0s5sret50aexdtd9" timestamp="1668645435"&gt;39&lt;/key&gt;&lt;/foreign-keys&gt;&lt;ref-type name="Report"&gt;27&lt;/ref-type&gt;&lt;contributors&gt;&lt;authors&gt;&lt;author&gt;Canadian Research Initiative in Substance Misuse, &lt;/author&gt;&lt;/authors&gt;&lt;/contributors&gt;&lt;titles&gt;&lt;title&gt;CRISM National Guideline for the Clinical Management of Opioid Use &lt;/title&gt;&lt;/titles&gt;&lt;dates&gt;&lt;year&gt;2020&lt;/year&gt;&lt;/dates&gt;&lt;urls&gt;&lt;related-urls&gt;&lt;url&gt;https://crism.ca/wp-content/uploads/2018/03/CRISM_NationalGuideline_OUD-ENG.pdf&lt;/url&gt;&lt;/related-urls&gt;&lt;/urls&gt;&lt;/record&gt;&lt;/Cite&gt;&lt;/EndNote&gt;</w:instrText>
      </w:r>
      <w:r w:rsidRPr="00EA3458">
        <w:fldChar w:fldCharType="separate"/>
      </w:r>
      <w:hyperlink w:anchor="_ENREF_36" w:tooltip="Alberta College of Pharmacy, 2021 #37" w:history="1">
        <w:r w:rsidR="002565E6" w:rsidRPr="00646D54">
          <w:rPr>
            <w:noProof/>
            <w:vertAlign w:val="superscript"/>
          </w:rPr>
          <w:t>36</w:t>
        </w:r>
      </w:hyperlink>
      <w:r w:rsidR="00646D54" w:rsidRPr="00646D54">
        <w:rPr>
          <w:noProof/>
          <w:vertAlign w:val="superscript"/>
        </w:rPr>
        <w:t>,</w:t>
      </w:r>
      <w:hyperlink w:anchor="_ENREF_38" w:tooltip="Canadian Research Initiative in Substance Misuse, 2020 #39" w:history="1">
        <w:r w:rsidR="002565E6" w:rsidRPr="00646D54">
          <w:rPr>
            <w:noProof/>
            <w:vertAlign w:val="superscript"/>
          </w:rPr>
          <w:t>38</w:t>
        </w:r>
      </w:hyperlink>
      <w:r w:rsidRPr="00EA3458">
        <w:fldChar w:fldCharType="end"/>
      </w:r>
      <w:r w:rsidRPr="00EA3458">
        <w:t xml:space="preserve"> at each consumer appointment in Quebec and at least monthly during induction and titration in British Columbia</w:t>
      </w:r>
      <w:r w:rsidR="00B723E3">
        <w:t>.</w:t>
      </w:r>
      <w:hyperlink w:anchor="_ENREF_39" w:tooltip="British Columbia Centre on Substance Use, 2017 #40" w:history="1">
        <w:r w:rsidR="002565E6" w:rsidRPr="00EA3458">
          <w:fldChar w:fldCharType="begin"/>
        </w:r>
        <w:r w:rsidR="002565E6">
          <w:instrText xml:space="preserve"> ADDIN EN.CITE &lt;EndNote&gt;&lt;Cite&gt;&lt;Author&gt;British Columbia Centre on Substance Use&lt;/Author&gt;&lt;Year&gt;2017&lt;/Year&gt;&lt;RecNum&gt;40&lt;/RecNum&gt;&lt;DisplayText&gt;&lt;style face="superscript"&gt;39&lt;/style&gt;&lt;/DisplayText&gt;&lt;record&gt;&lt;rec-number&gt;40&lt;/rec-number&gt;&lt;foreign-keys&gt;&lt;key app="EN" db-id="xssz590sx9vzw4ewpzdv0s5sret50aexdtd9" timestamp="1668645439"&gt;40&lt;/key&gt;&lt;/foreign-keys&gt;&lt;ref-type name="Report"&gt;27&lt;/ref-type&gt;&lt;contributors&gt;&lt;authors&gt;&lt;author&gt;British Columbia Centre on Substance Use,&lt;/author&gt;&lt;/authors&gt;&lt;/contributors&gt;&lt;titles&gt;&lt;title&gt;A Guideline for the Clinical Management of Opioid Use Disorder &lt;/title&gt;&lt;/titles&gt;&lt;dates&gt;&lt;year&gt;2017&lt;/year&gt;&lt;/dates&gt;&lt;urls&gt;&lt;related-urls&gt;&lt;url&gt;https://www.bccsu.ca/wp-content/uploads/2017/06/BC-OUD-Guidelines_June2017.pdf&lt;/url&gt;&lt;/related-urls&gt;&lt;/urls&gt;&lt;/record&gt;&lt;/Cite&gt;&lt;/EndNote&gt;</w:instrText>
        </w:r>
        <w:r w:rsidR="002565E6" w:rsidRPr="00EA3458">
          <w:fldChar w:fldCharType="separate"/>
        </w:r>
        <w:r w:rsidR="002565E6" w:rsidRPr="00646D54">
          <w:rPr>
            <w:noProof/>
            <w:vertAlign w:val="superscript"/>
          </w:rPr>
          <w:t>39</w:t>
        </w:r>
        <w:r w:rsidR="002565E6" w:rsidRPr="00EA3458">
          <w:fldChar w:fldCharType="end"/>
        </w:r>
      </w:hyperlink>
      <w:r w:rsidR="00620073">
        <w:t xml:space="preserve"> In Australia, the National Guidelines state urine drug screening can be an important tool and the frequency is primarily based on the judgement of the prescribing doctor. However, the National Guidelines note that directly observed urine samples are intrusive and impact negatively on therapeutic engagement.</w:t>
      </w:r>
    </w:p>
    <w:p w14:paraId="2CCDDA49" w14:textId="77777777" w:rsidR="00E9495B" w:rsidRPr="00EA3458" w:rsidRDefault="00E9495B" w:rsidP="00E9495B">
      <w:pPr>
        <w:spacing w:after="0"/>
      </w:pPr>
    </w:p>
    <w:p w14:paraId="42C9A696" w14:textId="1C585B5C" w:rsidR="00434810" w:rsidRPr="00EA3458" w:rsidRDefault="00434810">
      <w:pPr>
        <w:pStyle w:val="Heading3"/>
        <w:rPr>
          <w:rFonts w:eastAsia="Calibri"/>
        </w:rPr>
      </w:pPr>
      <w:bookmarkStart w:id="274" w:name="_Toc118719045"/>
      <w:bookmarkStart w:id="275" w:name="_Toc163221168"/>
      <w:r w:rsidRPr="00EA3458">
        <w:rPr>
          <w:rFonts w:eastAsia="Calibri"/>
        </w:rPr>
        <w:t>Literature Review - Changes arising from the PBS listing of LAIB</w:t>
      </w:r>
      <w:bookmarkEnd w:id="274"/>
      <w:bookmarkEnd w:id="275"/>
    </w:p>
    <w:p w14:paraId="0F0767FA" w14:textId="763CCA06" w:rsidR="0091678C" w:rsidRDefault="006F74EE">
      <w:r>
        <w:t>The LAIB formulations are expected to have a</w:t>
      </w:r>
      <w:r w:rsidR="00F3151C">
        <w:t>n ongoing</w:t>
      </w:r>
      <w:r>
        <w:t xml:space="preserve"> significant impact on the O</w:t>
      </w:r>
      <w:r w:rsidR="006061A2">
        <w:t>D</w:t>
      </w:r>
      <w:r>
        <w:t xml:space="preserve">T medicines landscape. Therefore, </w:t>
      </w:r>
      <w:r w:rsidR="002C6609">
        <w:t xml:space="preserve">the </w:t>
      </w:r>
      <w:r w:rsidR="00434810" w:rsidRPr="00EA3458">
        <w:t>literature review examined changes that have occurred</w:t>
      </w:r>
      <w:r>
        <w:t xml:space="preserve"> to date</w:t>
      </w:r>
      <w:r w:rsidR="00434810" w:rsidRPr="00EA3458">
        <w:t xml:space="preserve"> in O</w:t>
      </w:r>
      <w:r w:rsidR="006061A2">
        <w:t>D</w:t>
      </w:r>
      <w:r w:rsidR="00434810" w:rsidRPr="00EA3458">
        <w:t>T</w:t>
      </w:r>
      <w:r w:rsidR="006061A2">
        <w:t xml:space="preserve"> medicine provision</w:t>
      </w:r>
      <w:r w:rsidR="00434810" w:rsidRPr="00EA3458">
        <w:t xml:space="preserve"> </w:t>
      </w:r>
      <w:r w:rsidR="00C6260F" w:rsidRPr="00EA3458">
        <w:t>because of</w:t>
      </w:r>
      <w:r w:rsidR="00434810" w:rsidRPr="00EA3458">
        <w:t xml:space="preserve"> the PBS listing of LAIB for prescribers, dispensing/administration sites</w:t>
      </w:r>
      <w:r w:rsidR="00C6260F">
        <w:t>,</w:t>
      </w:r>
      <w:r w:rsidR="00434810" w:rsidRPr="00EA3458">
        <w:t xml:space="preserve"> and patients.</w:t>
      </w:r>
      <w:r>
        <w:t xml:space="preserve"> </w:t>
      </w:r>
    </w:p>
    <w:p w14:paraId="4D088E40" w14:textId="2D757B49" w:rsidR="00434810" w:rsidRPr="00EA3458" w:rsidRDefault="006F74EE">
      <w:r>
        <w:t xml:space="preserve">It is acknowledged that </w:t>
      </w:r>
      <w:r w:rsidR="00C55198">
        <w:t>the</w:t>
      </w:r>
      <w:r>
        <w:t xml:space="preserve"> </w:t>
      </w:r>
      <w:r w:rsidR="00C55198">
        <w:t xml:space="preserve">available </w:t>
      </w:r>
      <w:r>
        <w:t xml:space="preserve">evidence </w:t>
      </w:r>
      <w:r w:rsidR="00C55198">
        <w:t>may be somewhat limited given the recent introduction of these products and may be subject to change as further studies are published</w:t>
      </w:r>
      <w:r w:rsidR="00241237">
        <w:t>. H</w:t>
      </w:r>
      <w:r w:rsidR="00C55198">
        <w:t>owever</w:t>
      </w:r>
      <w:r w:rsidR="00241237">
        <w:t>,</w:t>
      </w:r>
      <w:r w:rsidR="00C55198">
        <w:t xml:space="preserve"> it was considered important</w:t>
      </w:r>
      <w:r w:rsidR="00241237">
        <w:t xml:space="preserve"> for the Review</w:t>
      </w:r>
      <w:r w:rsidR="00C55198">
        <w:t xml:space="preserve"> to consider the available evidence</w:t>
      </w:r>
      <w:r w:rsidR="00241237" w:rsidRPr="00241237">
        <w:t xml:space="preserve"> </w:t>
      </w:r>
      <w:r w:rsidR="00241237">
        <w:t>on the impact of LAIB formulations</w:t>
      </w:r>
      <w:r w:rsidR="00C55198">
        <w:t xml:space="preserve"> as preliminary guidance to assist in possible future policy considerations.   </w:t>
      </w:r>
      <w:r>
        <w:t xml:space="preserve"> </w:t>
      </w:r>
    </w:p>
    <w:p w14:paraId="5C460B35" w14:textId="77777777" w:rsidR="00434810" w:rsidRPr="00EA3458" w:rsidRDefault="00434810">
      <w:pPr>
        <w:pStyle w:val="Heading4"/>
      </w:pPr>
      <w:bookmarkStart w:id="276" w:name="_Toc99135836"/>
      <w:bookmarkStart w:id="277" w:name="_Toc116025871"/>
      <w:r w:rsidRPr="00EA3458">
        <w:t xml:space="preserve">Overview of </w:t>
      </w:r>
      <w:bookmarkEnd w:id="276"/>
      <w:bookmarkEnd w:id="277"/>
      <w:r w:rsidRPr="00EA3458">
        <w:t>LAIB</w:t>
      </w:r>
    </w:p>
    <w:p w14:paraId="7FF78729" w14:textId="7F101FD0" w:rsidR="00C6260F" w:rsidRDefault="00C6260F" w:rsidP="00C6260F">
      <w:r>
        <w:t xml:space="preserve">The recent introduction of LAIB provides an opportunity to </w:t>
      </w:r>
      <w:r w:rsidR="005003D4">
        <w:t xml:space="preserve">potentially </w:t>
      </w:r>
      <w:r>
        <w:t>address</w:t>
      </w:r>
      <w:r w:rsidR="005003D4">
        <w:t xml:space="preserve"> some</w:t>
      </w:r>
      <w:r>
        <w:t xml:space="preserve"> O</w:t>
      </w:r>
      <w:r w:rsidR="006061A2">
        <w:t>D</w:t>
      </w:r>
      <w:r>
        <w:t>T</w:t>
      </w:r>
      <w:r w:rsidR="006061A2">
        <w:t xml:space="preserve"> </w:t>
      </w:r>
      <w:r w:rsidR="004E0719">
        <w:t>medication</w:t>
      </w:r>
      <w:r>
        <w:t xml:space="preserve"> barriers and facilitate O</w:t>
      </w:r>
      <w:r w:rsidR="006061A2">
        <w:t>D</w:t>
      </w:r>
      <w:r>
        <w:t>T</w:t>
      </w:r>
      <w:r w:rsidR="006061A2">
        <w:t xml:space="preserve"> </w:t>
      </w:r>
      <w:r w:rsidR="004E0719">
        <w:t>medication</w:t>
      </w:r>
      <w:r>
        <w:t xml:space="preserve"> scale-up</w:t>
      </w:r>
      <w:r w:rsidR="005003D4">
        <w:t xml:space="preserve"> where clinically appropriate and while respecting consumer autonomy</w:t>
      </w:r>
      <w:r w:rsidR="003C4D67">
        <w:t xml:space="preserve"> and treatment choice</w:t>
      </w:r>
      <w:r>
        <w:t xml:space="preserve">. LAIB is administered by subcutaneous injection of a buprenorphine suspension slowly releasing buprenorphine over periods up to a month. LAIB administered via weekly or monthly subcutaneous injections eliminates the need for frequent dosing, </w:t>
      </w:r>
      <w:r w:rsidR="005003D4">
        <w:t xml:space="preserve">potentially </w:t>
      </w:r>
      <w:r>
        <w:t xml:space="preserve">offering </w:t>
      </w:r>
      <w:r w:rsidR="008627C4">
        <w:t xml:space="preserve">some patients </w:t>
      </w:r>
      <w:r w:rsidR="003C4D67">
        <w:t>benefits</w:t>
      </w:r>
      <w:r>
        <w:t xml:space="preserve"> such as treatment efficacy through improved treatment exposure. </w:t>
      </w:r>
      <w:r w:rsidR="0053766B">
        <w:t>However, despite the potential benefits, research evidence and stakeholders have also raised concerns regarding the use of LAIB and its uptake in Australia</w:t>
      </w:r>
      <w:r w:rsidR="008627C4">
        <w:t xml:space="preserve">, particularly the need to ensure consumers understand how LAIB works and </w:t>
      </w:r>
      <w:r w:rsidR="00707AAE">
        <w:t xml:space="preserve">that </w:t>
      </w:r>
      <w:r w:rsidR="008627C4">
        <w:t xml:space="preserve">treatment options </w:t>
      </w:r>
      <w:r w:rsidR="00707AAE">
        <w:t>continue to be made available</w:t>
      </w:r>
      <w:r w:rsidR="009B1FF0">
        <w:t xml:space="preserve">. </w:t>
      </w:r>
    </w:p>
    <w:p w14:paraId="0644F94F" w14:textId="1AE50A35" w:rsidR="00C6260F" w:rsidRDefault="00C6260F" w:rsidP="00C6260F">
      <w:r>
        <w:t xml:space="preserve">Two LAIB brands are registered for use in Australia. Buvidal®, a monthly or weekly injection became available on the PBS from 1 September 2019. Sublocade® is a monthly injection and became available on the PBS from 1 May 2020. The TGA recommended an initial restriction </w:t>
      </w:r>
      <w:r>
        <w:lastRenderedPageBreak/>
        <w:t xml:space="preserve">in distribution to hospital and specialist </w:t>
      </w:r>
      <w:r w:rsidR="009E77CF">
        <w:t>alcohol and drug services</w:t>
      </w:r>
      <w:r>
        <w:t>. This would enable a robust post marketing study during the first six months for accurate adverse events reporting and to make decision on further expanding the access. These conditions have since been completed and removed from each LAIB product.</w:t>
      </w:r>
    </w:p>
    <w:p w14:paraId="6A55D8EB" w14:textId="11CBA786" w:rsidR="00434810" w:rsidRPr="00EA3458" w:rsidRDefault="00E47C90">
      <w:r>
        <w:t>The literature review found the p</w:t>
      </w:r>
      <w:r w:rsidR="00434810" w:rsidRPr="00EA3458">
        <w:t>otential benefits of LAIB include improved treatment retention, greater choice/flexibility, and reduced pharmacy/clinic attendance in settings where this is a typical feature of O</w:t>
      </w:r>
      <w:r w:rsidR="006061A2">
        <w:t>D</w:t>
      </w:r>
      <w:r w:rsidR="00434810" w:rsidRPr="00EA3458">
        <w:t>T</w:t>
      </w:r>
      <w:r w:rsidR="00B723E3">
        <w:t>.</w:t>
      </w:r>
      <w:hyperlink w:anchor="_ENREF_48" w:tooltip="Gilman, 2018 #49" w:history="1">
        <w:r w:rsidR="002565E6" w:rsidRPr="00EA3458">
          <w:fldChar w:fldCharType="begin">
            <w:fldData xml:space="preserve">PEVuZE5vdGU+PENpdGU+PEF1dGhvcj5HaWxtYW48L0F1dGhvcj48WWVhcj4yMDE4PC9ZZWFyPjxS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</w:fldData>
          </w:fldChar>
        </w:r>
        <w:r w:rsidR="002565E6">
          <w:instrText xml:space="preserve"> ADDIN EN.CITE </w:instrText>
        </w:r>
        <w:r w:rsidR="002565E6">
          <w:fldChar w:fldCharType="begin">
            <w:fldData xml:space="preserve">PEVuZE5vdGU+PENpdGU+PEF1dGhvcj5HaWxtYW48L0F1dGhvcj48WWVhcj4yMDE4PC9ZZWFyPjxS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</w:fldData>
          </w:fldChar>
        </w:r>
        <w:r w:rsidR="002565E6">
          <w:instrText xml:space="preserve"> ADDIN EN.CITE.DATA </w:instrText>
        </w:r>
        <w:r w:rsidR="002565E6">
          <w:fldChar w:fldCharType="end"/>
        </w:r>
        <w:r w:rsidR="002565E6" w:rsidRPr="00EA3458">
          <w:fldChar w:fldCharType="separate"/>
        </w:r>
        <w:r w:rsidR="002565E6" w:rsidRPr="00646D54">
          <w:rPr>
            <w:noProof/>
            <w:vertAlign w:val="superscript"/>
          </w:rPr>
          <w:t>48-50</w:t>
        </w:r>
        <w:r w:rsidR="002565E6" w:rsidRPr="00EA3458">
          <w:fldChar w:fldCharType="end"/>
        </w:r>
      </w:hyperlink>
      <w:r w:rsidR="00434810" w:rsidRPr="00EA3458">
        <w:t xml:space="preserve"> Two randomised controlled trials of </w:t>
      </w:r>
      <w:r w:rsidR="002C748D">
        <w:t>LAIB</w:t>
      </w:r>
      <w:r w:rsidR="00434810" w:rsidRPr="00EA3458">
        <w:fldChar w:fldCharType="begin"/>
      </w:r>
      <w:r w:rsidR="00646D54">
        <w:instrText xml:space="preserve"> ADDIN EN.CITE &lt;EndNote&gt;&lt;Cite&gt;&lt;Author&gt;Haight&lt;/Author&gt;&lt;Year&gt;2019&lt;/Year&gt;&lt;RecNum&gt;52&lt;/RecNum&gt;&lt;DisplayText&gt;&lt;style face="superscript"&gt;51, 52&lt;/style&gt;&lt;/DisplayText&gt;&lt;record&gt;&lt;rec-number&gt;52&lt;/rec-number&gt;&lt;foreign-keys&gt;&lt;key app="EN" db-id="xssz590sx9vzw4ewpzdv0s5sret50aexdtd9" timestamp="1668645513"&gt;52&lt;/key&gt;&lt;/foreign-keys&gt;&lt;ref-type name="Journal Article"&gt;17&lt;/ref-type&gt;&lt;contributors&gt;&lt;authors&gt;&lt;author&gt;Haight, B.R.&lt;/author&gt;&lt;author&gt;Learned, S.M. &lt;/author&gt;&lt;author&gt;Laffont, C.M. &lt;/author&gt;&lt;author&gt;Fudala, P.J.&lt;/author&gt;&lt;author&gt;Zhao, Y. &lt;/author&gt;&lt;author&gt;Garofalo, A.S.&lt;/author&gt;&lt;author&gt;Greenwald, M.&lt;/author&gt;&lt;author&gt;Nadipelli, V.R.&lt;/author&gt;&lt;author&gt;Ling, W.&lt;/author&gt;&lt;author&gt;Heidbreder, C.&lt;/author&gt;&lt;/authors&gt;&lt;/contributors&gt;&lt;titles&gt;&lt;title&gt;Efficacy and safety of a monthly buprenorphine depot injection for opioid use disorder: a multicentre, randomised, double-blind, placebo-controlled, phase 3 trial&lt;/title&gt;&lt;secondary-title&gt;Lancet&lt;/secondary-title&gt;&lt;/titles&gt;&lt;pages&gt;779-790&lt;/pages&gt;&lt;volume&gt;393&lt;/volume&gt;&lt;number&gt;10173&lt;/number&gt;&lt;dates&gt;&lt;year&gt;2019&lt;/year&gt;&lt;/dates&gt;&lt;urls&gt;&lt;/urls&gt;&lt;/record&gt;&lt;/Cite&gt;&lt;Cite&gt;&lt;Author&gt;Lofwall&lt;/Author&gt;&lt;Year&gt;2018&lt;/Year&gt;&lt;RecNum&gt;53&lt;/RecNum&gt;&lt;record&gt;&lt;rec-number&gt;53&lt;/rec-number&gt;&lt;foreign-keys&gt;&lt;key app="EN" db-id="xssz590sx9vzw4ewpzdv0s5sret50aexdtd9" timestamp="1668645518"&gt;53&lt;/key&gt;&lt;/foreign-keys&gt;&lt;ref-type name="Journal Article"&gt;17&lt;/ref-type&gt;&lt;contributors&gt;&lt;authors&gt;&lt;author&gt;Lofwall, M.R.&lt;/author&gt;&lt;author&gt;Walsh, S.V.&lt;/author&gt;&lt;author&gt;Nunes, E.V.&lt;/author&gt;&lt;author&gt;Bailey, G.L.&lt;/author&gt;&lt;author&gt;Sigmon, S.C.&lt;/author&gt;&lt;author&gt;Kampman, K.M.&lt;/author&gt;&lt;author&gt;Kim, S. &lt;/author&gt;&lt;/authors&gt;&lt;/contributors&gt;&lt;titles&gt;&lt;title&gt;Weekly and Monthly Subcutaneous Buprenorphine Depot Formulations vs Daily Sublingual Buprenorphine with Naloxone for Treatment of Opioid Use Disorder: A Randomized Clinical Trial. &lt;/title&gt;&lt;secondary-title&gt;JAMA Internal Medicine&lt;/secondary-title&gt;&lt;/titles&gt;&lt;pages&gt;764-773&lt;/pages&gt;&lt;volume&gt;178&lt;/volume&gt;&lt;number&gt;6&lt;/number&gt;&lt;dates&gt;&lt;year&gt;2018&lt;/year&gt;&lt;/dates&gt;&lt;urls&gt;&lt;/urls&gt;&lt;/record&gt;&lt;/Cite&gt;&lt;/EndNote&gt;</w:instrText>
      </w:r>
      <w:r w:rsidR="00434810" w:rsidRPr="00EA3458">
        <w:fldChar w:fldCharType="separate"/>
      </w:r>
      <w:hyperlink w:anchor="_ENREF_51" w:tooltip="Haight, 2019 #52" w:history="1">
        <w:r w:rsidR="002565E6" w:rsidRPr="00646D54">
          <w:rPr>
            <w:noProof/>
            <w:vertAlign w:val="superscript"/>
          </w:rPr>
          <w:t>51</w:t>
        </w:r>
      </w:hyperlink>
      <w:r w:rsidR="00646D54" w:rsidRPr="00646D54">
        <w:rPr>
          <w:noProof/>
          <w:vertAlign w:val="superscript"/>
        </w:rPr>
        <w:t>,</w:t>
      </w:r>
      <w:hyperlink w:anchor="_ENREF_52" w:tooltip="Lofwall, 2018 #53" w:history="1">
        <w:r w:rsidR="002565E6" w:rsidRPr="00646D54">
          <w:rPr>
            <w:noProof/>
            <w:vertAlign w:val="superscript"/>
          </w:rPr>
          <w:t>52</w:t>
        </w:r>
      </w:hyperlink>
      <w:r w:rsidR="00434810" w:rsidRPr="00EA3458">
        <w:fldChar w:fldCharType="end"/>
      </w:r>
      <w:r w:rsidR="00434810" w:rsidRPr="00EA3458">
        <w:t xml:space="preserve"> informed Australian regulatory approval; single-arm studies also exist</w:t>
      </w:r>
      <w:r w:rsidR="00B723E3">
        <w:t>.</w:t>
      </w:r>
      <w:hyperlink w:anchor="_ENREF_6" w:tooltip="Larance, 2020 #6" w:history="1">
        <w:r w:rsidR="002565E6" w:rsidRPr="00EA3458">
          <w:fldChar w:fldCharType="begin"/>
        </w:r>
        <w:r w:rsidR="002565E6">
          <w:instrText xml:space="preserve"> ADDIN EN.CITE &lt;EndNote&gt;&lt;Cite&gt;&lt;Author&gt;Larance&lt;/Author&gt;&lt;Year&gt;2020&lt;/Year&gt;&lt;RecNum&gt;6&lt;/RecNum&gt;&lt;DisplayText&gt;&lt;style face="superscript"&gt;6&lt;/style&gt;&lt;/DisplayText&gt;&lt;record&gt;&lt;rec-number&gt;6&lt;/rec-number&gt;&lt;foreign-keys&gt;&lt;key app="EN" db-id="xssz590sx9vzw4ewpzdv0s5sret50aexdtd9" timestamp="1668645260"&gt;6&lt;/key&gt;&lt;/foreign-keys&gt;&lt;ref-type name="Journal Article"&gt;17&lt;/ref-type&gt;&lt;contributors&gt;&lt;authors&gt;&lt;author&gt;Larance, B.&lt;/author&gt;&lt;author&gt;Byrne, M.&lt;/author&gt;&lt;author&gt;Lintzeris, N.&lt;/author&gt;&lt;author&gt;Nielsen, S.&lt;/author&gt;&lt;author&gt;Grebely, J.&lt;/author&gt;&lt;author&gt;Degenhardt, L.&lt;/author&gt;&lt;author&gt;Farrell, M. &lt;/author&gt;&lt;/authors&gt;&lt;/contributors&gt;&lt;titles&gt;&lt;title&gt;Open-label, multicentre, single-arm trial of monthly injections of depot buprenorphine in people with opioid dependence: protocol for the CoLAB study&lt;/title&gt;&lt;secondary-title&gt;BMJ Open &lt;/secondary-title&gt;&lt;/titles&gt;&lt;pages&gt;e034389&lt;/pages&gt;&lt;volume&gt;10&lt;/volume&gt;&lt;number&gt;7&lt;/number&gt;&lt;dates&gt;&lt;year&gt;2020&lt;/year&gt;&lt;/dates&gt;&lt;urls&gt;&lt;/urls&gt;&lt;/record&gt;&lt;/Cite&gt;&lt;/EndNote&gt;</w:instrText>
        </w:r>
        <w:r w:rsidR="002565E6" w:rsidRPr="00EA3458">
          <w:fldChar w:fldCharType="separate"/>
        </w:r>
        <w:r w:rsidR="002565E6" w:rsidRPr="005531C9">
          <w:rPr>
            <w:noProof/>
            <w:vertAlign w:val="superscript"/>
          </w:rPr>
          <w:t>6</w:t>
        </w:r>
        <w:r w:rsidR="002565E6" w:rsidRPr="00EA3458">
          <w:fldChar w:fldCharType="end"/>
        </w:r>
      </w:hyperlink>
      <w:r w:rsidR="00434810" w:rsidRPr="00EA3458">
        <w:t xml:space="preserve"> Study limitations include the absence of appropriate comparator arms, limited long-term follow-up, and lack of cost-effectiveness analyses. Particularly in the COVID era, </w:t>
      </w:r>
      <w:r w:rsidR="002C748D">
        <w:t>LAIB</w:t>
      </w:r>
      <w:r w:rsidR="00434810" w:rsidRPr="00EA3458">
        <w:t xml:space="preserve"> is being increasingly used as an O</w:t>
      </w:r>
      <w:r w:rsidR="006061A2">
        <w:t>D</w:t>
      </w:r>
      <w:r w:rsidR="00434810" w:rsidRPr="00EA3458">
        <w:t>T medication given reduced need for clinic attendance and greater flexibility.</w:t>
      </w:r>
    </w:p>
    <w:p w14:paraId="7A6F9233" w14:textId="5368BA9C" w:rsidR="00434810" w:rsidRPr="00EA3458" w:rsidRDefault="00434810">
      <w:bookmarkStart w:id="278" w:name="_Hlk119420960"/>
      <w:r w:rsidRPr="00EA3458">
        <w:t xml:space="preserve">It is important to note that many people who are opioid dependent would not choose </w:t>
      </w:r>
      <w:r w:rsidR="002C748D">
        <w:t>LAIB</w:t>
      </w:r>
      <w:r w:rsidR="00B723E3">
        <w:t>.</w:t>
      </w:r>
      <w:hyperlink w:anchor="_ENREF_2" w:tooltip="Larance, 2020 #2" w:history="1">
        <w:r w:rsidR="002565E6" w:rsidRPr="00EA3458">
          <w:fldChar w:fldCharType="begin">
            <w:fldData xml:space="preserve">PEVuZE5vdGU+PENpdGU+PEF1dGhvcj5MYXJhbmNlPC9BdXRob3I+PFllYXI+MjAyMDwvWWVhcj48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</w:fldData>
          </w:fldChar>
        </w:r>
        <w:r w:rsidR="002565E6">
          <w:instrText xml:space="preserve"> ADDIN EN.CITE </w:instrText>
        </w:r>
        <w:r w:rsidR="002565E6">
          <w:fldChar w:fldCharType="begin">
            <w:fldData xml:space="preserve">PEVuZE5vdGU+PENpdGU+PEF1dGhvcj5MYXJhbmNlPC9BdXRob3I+PFllYXI+MjAyMDwvWWVhcj48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</w:fldData>
          </w:fldChar>
        </w:r>
        <w:r w:rsidR="002565E6">
          <w:instrText xml:space="preserve"> ADDIN EN.CITE.DATA </w:instrText>
        </w:r>
        <w:r w:rsidR="002565E6">
          <w:fldChar w:fldCharType="end"/>
        </w:r>
        <w:r w:rsidR="002565E6" w:rsidRPr="00EA3458">
          <w:fldChar w:fldCharType="separate"/>
        </w:r>
        <w:r w:rsidR="002565E6" w:rsidRPr="005531C9">
          <w:rPr>
            <w:noProof/>
            <w:vertAlign w:val="superscript"/>
          </w:rPr>
          <w:t>2</w:t>
        </w:r>
        <w:r w:rsidR="002565E6" w:rsidRPr="00EA3458">
          <w:fldChar w:fldCharType="end"/>
        </w:r>
      </w:hyperlink>
      <w:r w:rsidRPr="00EA3458">
        <w:t xml:space="preserve"> Concerns include being unable to control medication doses or stop treatment easily, potential side effects, and reduced choice</w:t>
      </w:r>
      <w:r w:rsidR="00B723E3">
        <w:t>.</w:t>
      </w:r>
      <w:r w:rsidRPr="00EA3458">
        <w:fldChar w:fldCharType="begin"/>
      </w:r>
      <w:r w:rsidR="00646D54">
        <w:instrText xml:space="preserve"> ADDIN EN.CITE &lt;EndNote&gt;&lt;Cite&gt;&lt;Author&gt;Neale&lt;/Author&gt;&lt;Year&gt;2018&lt;/Year&gt;&lt;RecNum&gt;50&lt;/RecNum&gt;&lt;DisplayText&gt;&lt;style face="superscript"&gt;49, 50&lt;/style&gt;&lt;/DisplayText&gt;&lt;record&gt;&lt;rec-number&gt;50&lt;/rec-number&gt;&lt;foreign-keys&gt;&lt;key app="EN" db-id="xssz590sx9vzw4ewpzdv0s5sret50aexdtd9" timestamp="1668645503"&gt;50&lt;/key&gt;&lt;/foreign-keys&gt;&lt;ref-type name="Journal Article"&gt;17&lt;/ref-type&gt;&lt;contributors&gt;&lt;authors&gt;&lt;author&gt;Neale, J.&lt;/author&gt;&lt;author&gt;Tompkins, C.N.E.&lt;/author&gt;&lt;author&gt;McDonald, R.&lt;/author&gt;&lt;author&gt;Strang, J. &lt;/author&gt;&lt;/authors&gt;&lt;/contributors&gt;&lt;titles&gt;&lt;title&gt;Implants and depot injections for treating opioid dependence: Qualitative study of people who use or have used heroin&lt;/title&gt;&lt;secondary-title&gt;Drug Alcohol Depend&lt;/secondary-title&gt;&lt;/titles&gt;&lt;pages&gt;1-7&lt;/pages&gt;&lt;volume&gt;189&lt;/volume&gt;&lt;dates&gt;&lt;year&gt;2018&lt;/year&gt;&lt;/dates&gt;&lt;urls&gt;&lt;/urls&gt;&lt;/record&gt;&lt;/Cite&gt;&lt;Cite&gt;&lt;Author&gt;Tompkins&lt;/Author&gt;&lt;Year&gt;2019&lt;/Year&gt;&lt;RecNum&gt;51&lt;/RecNum&gt;&lt;record&gt;&lt;rec-number&gt;51&lt;/rec-number&gt;&lt;foreign-keys&gt;&lt;key app="EN" db-id="xssz590sx9vzw4ewpzdv0s5sret50aexdtd9" timestamp="1668645508"&gt;51&lt;/key&gt;&lt;/foreign-keys&gt;&lt;ref-type name="Journal Article"&gt;17&lt;/ref-type&gt;&lt;contributors&gt;&lt;authors&gt;&lt;author&gt;Tompkins, C. N. E.&lt;/author&gt;&lt;author&gt;Neale, J.&lt;/author&gt;&lt;author&gt;Strang, J.&lt;/author&gt;&lt;/authors&gt;&lt;/contributors&gt;&lt;titles&gt;&lt;title&gt;Opioid users&amp;apos; willingness to receive prolonged-release buprenorphine depot injections for opioid use disorder&lt;/title&gt;&lt;secondary-title&gt;J Subst Abuse Treat&lt;/secondary-title&gt;&lt;/titles&gt;&lt;pages&gt;64-71&lt;/pages&gt;&lt;volume&gt;104&lt;/volume&gt;&lt;dates&gt;&lt;year&gt;2019&lt;/year&gt;&lt;/dates&gt;&lt;accession-num&gt;31370986&lt;/accession-num&gt;&lt;urls&gt;&lt;related-urls&gt;&lt;url&gt;https://www.journalofsubstanceabusetreatment.com/article/S0740-5472(19)30102-3/pdf&lt;/url&gt;&lt;/related-urls&gt;&lt;/urls&gt;&lt;electronic-resource-num&gt;10.1016/j.jsat.2019.06.007&lt;/electronic-resource-num&gt;&lt;/record&gt;&lt;/Cite&gt;&lt;/EndNote&gt;</w:instrText>
      </w:r>
      <w:r w:rsidRPr="00EA3458">
        <w:fldChar w:fldCharType="separate"/>
      </w:r>
      <w:hyperlink w:anchor="_ENREF_49" w:tooltip="Neale, 2018 #50" w:history="1">
        <w:r w:rsidR="002565E6" w:rsidRPr="00646D54">
          <w:rPr>
            <w:noProof/>
            <w:vertAlign w:val="superscript"/>
          </w:rPr>
          <w:t>49</w:t>
        </w:r>
      </w:hyperlink>
      <w:r w:rsidR="00646D54" w:rsidRPr="00646D54">
        <w:rPr>
          <w:noProof/>
          <w:vertAlign w:val="superscript"/>
        </w:rPr>
        <w:t>,</w:t>
      </w:r>
      <w:hyperlink w:anchor="_ENREF_50" w:tooltip="Tompkins, 2019 #51" w:history="1">
        <w:r w:rsidR="002565E6" w:rsidRPr="00646D54">
          <w:rPr>
            <w:noProof/>
            <w:vertAlign w:val="superscript"/>
          </w:rPr>
          <w:t>50</w:t>
        </w:r>
      </w:hyperlink>
      <w:r w:rsidRPr="00EA3458">
        <w:fldChar w:fldCharType="end"/>
      </w:r>
      <w:r w:rsidRPr="00EA3458">
        <w:t xml:space="preserve"> There are concerns that LAIB may perversely reduce consumer choices if clinicians or </w:t>
      </w:r>
      <w:r w:rsidR="00E47C90">
        <w:t>ODT program policies</w:t>
      </w:r>
      <w:r w:rsidRPr="00EA3458">
        <w:t xml:space="preserve"> insist on this O</w:t>
      </w:r>
      <w:r w:rsidR="004E0719">
        <w:t>D</w:t>
      </w:r>
      <w:r w:rsidRPr="00EA3458">
        <w:t>T medication in place of others (sublingual buprenorphine or methadone).</w:t>
      </w:r>
      <w:bookmarkEnd w:id="278"/>
    </w:p>
    <w:p w14:paraId="25489EC6" w14:textId="6A4626FE" w:rsidR="00434810" w:rsidRPr="00EA3458" w:rsidRDefault="00B200B8">
      <w:r w:rsidRPr="00EA3458">
        <w:t xml:space="preserve">The </w:t>
      </w:r>
      <w:r w:rsidR="00434810" w:rsidRPr="00EA3458">
        <w:t xml:space="preserve">section </w:t>
      </w:r>
      <w:r w:rsidRPr="00EA3458">
        <w:t xml:space="preserve">below </w:t>
      </w:r>
      <w:r w:rsidR="00434810" w:rsidRPr="00EA3458">
        <w:t xml:space="preserve">summarises the changes that have occurred in practice and service delivery </w:t>
      </w:r>
      <w:r w:rsidR="001E5DF0" w:rsidRPr="00EA3458">
        <w:t>because of</w:t>
      </w:r>
      <w:r w:rsidR="00434810" w:rsidRPr="00EA3458">
        <w:t xml:space="preserve"> the introduction of LAIB, and the benefits and drawbacks of LAIB as perceived by consumers, and preferences for this versus other available O</w:t>
      </w:r>
      <w:r w:rsidR="004E0719">
        <w:t>D</w:t>
      </w:r>
      <w:r w:rsidR="00434810" w:rsidRPr="00EA3458">
        <w:t>T</w:t>
      </w:r>
      <w:r w:rsidR="002C748D">
        <w:t xml:space="preserve"> medicines</w:t>
      </w:r>
      <w:r w:rsidR="00434810" w:rsidRPr="00EA3458">
        <w:t>.</w:t>
      </w:r>
      <w:bookmarkStart w:id="279" w:name="_Toc99135837"/>
    </w:p>
    <w:p w14:paraId="6DFFC94D" w14:textId="77777777" w:rsidR="00434810" w:rsidRPr="00EA3458" w:rsidRDefault="00434810">
      <w:pPr>
        <w:pStyle w:val="Heading4"/>
      </w:pPr>
      <w:bookmarkStart w:id="280" w:name="_Toc116025872"/>
      <w:r w:rsidRPr="00EA3458">
        <w:t xml:space="preserve">Uptake of </w:t>
      </w:r>
      <w:bookmarkEnd w:id="279"/>
      <w:bookmarkEnd w:id="280"/>
      <w:r w:rsidRPr="00EA3458">
        <w:t>LAIB</w:t>
      </w:r>
    </w:p>
    <w:p w14:paraId="08DA71BB" w14:textId="4205815C" w:rsidR="00434810" w:rsidRPr="00EA3458" w:rsidRDefault="00434810">
      <w:pPr>
        <w:rPr>
          <w:rFonts w:eastAsia="Calibri" w:cs="Calibri"/>
          <w:i/>
          <w:color w:val="000000" w:themeColor="text1"/>
        </w:rPr>
      </w:pPr>
      <w:r w:rsidRPr="00EA3458">
        <w:t xml:space="preserve">Available data reveals increasing uptake of LAIB since approval of the two products, particularly in correctional facilities. Refer </w:t>
      </w:r>
      <w:r w:rsidR="00C73F48" w:rsidRPr="00EA3458">
        <w:t>TOR 3</w:t>
      </w:r>
      <w:r w:rsidR="00C73F48" w:rsidRPr="00C73F48">
        <w:t xml:space="preserve"> </w:t>
      </w:r>
      <w:r w:rsidRPr="00EA3458">
        <w:t>(</w:t>
      </w:r>
      <w:r w:rsidR="00C73F48" w:rsidRPr="00EA3458">
        <w:t xml:space="preserve">Part </w:t>
      </w:r>
      <w:r w:rsidR="00C73F48">
        <w:t>4</w:t>
      </w:r>
      <w:r w:rsidRPr="00EA3458">
        <w:t xml:space="preserve">) for further detail regarding the utilisation of </w:t>
      </w:r>
      <w:r w:rsidR="00992300">
        <w:t xml:space="preserve">PBS </w:t>
      </w:r>
      <w:r w:rsidRPr="00EA3458">
        <w:t>ODTP products.</w:t>
      </w:r>
    </w:p>
    <w:p w14:paraId="3F49D5FF" w14:textId="436CE22A" w:rsidR="00434810" w:rsidRPr="00EA3458" w:rsidRDefault="00FB2946">
      <w:r>
        <w:t xml:space="preserve">Evidence indicates </w:t>
      </w:r>
      <w:r w:rsidR="00707AAE">
        <w:t>an increase in use</w:t>
      </w:r>
      <w:r w:rsidR="00434810" w:rsidRPr="00EA3458">
        <w:t xml:space="preserve"> of LAIB appears to have been accelerated as a strategy to decrease interaction with </w:t>
      </w:r>
      <w:r w:rsidR="00C6260F" w:rsidRPr="00EA3458">
        <w:t>consumers and</w:t>
      </w:r>
      <w:r w:rsidR="00434810" w:rsidRPr="00EA3458">
        <w:t xml:space="preserve"> help adhere with density limits and social distancing rules during the COVID-19 pandemic</w:t>
      </w:r>
      <w:r>
        <w:t xml:space="preserve"> as well as a possible shift in state and territory government policies regarding the use of LAIB in correctional facilities</w:t>
      </w:r>
      <w:r w:rsidR="00434810" w:rsidRPr="00EA3458">
        <w:t xml:space="preserve">. One such model was a rapid-access clinic in metropolitan Melbourne dedicated to </w:t>
      </w:r>
      <w:r w:rsidR="004D0AEA">
        <w:t>LAIB</w:t>
      </w:r>
      <w:r w:rsidR="00B723E3">
        <w:t>.</w:t>
      </w:r>
      <w:hyperlink w:anchor="_ENREF_53" w:tooltip="Straub, 2021 #54" w:history="1">
        <w:r w:rsidR="002565E6" w:rsidRPr="00EA3458">
          <w:fldChar w:fldCharType="begin"/>
        </w:r>
        <w:r w:rsidR="002565E6">
          <w:instrText xml:space="preserve"> ADDIN EN.CITE &lt;EndNote&gt;&lt;Cite&gt;&lt;Author&gt;Straub&lt;/Author&gt;&lt;Year&gt;2021&lt;/Year&gt;&lt;RecNum&gt;54&lt;/RecNum&gt;&lt;DisplayText&gt;&lt;style face="superscript"&gt;53&lt;/style&gt;&lt;/DisplayText&gt;&lt;record&gt;&lt;rec-number&gt;54&lt;/rec-number&gt;&lt;foreign-keys&gt;&lt;key app="EN" db-id="xssz590sx9vzw4ewpzdv0s5sret50aexdtd9" timestamp="1668645523"&gt;54&lt;/key&gt;&lt;/foreign-keys&gt;&lt;ref-type name="Journal Article"&gt;17&lt;/ref-type&gt;&lt;contributors&gt;&lt;authors&gt;&lt;author&gt;Straub, A.&lt;/author&gt;&lt;author&gt;Pastor, A.&lt;/author&gt;&lt;author&gt;Lloyd-Jones, M.&lt;/author&gt;&lt;author&gt;O&amp;apos;Neill, H.&lt;/author&gt;&lt;author&gt;Bonomo, Y.&lt;/author&gt;&lt;/authors&gt;&lt;/contributors&gt;&lt;titles&gt;&lt;title&gt;The development and implementation of a rapid-access long-acting injectable buprenorphine clinic in metropolitan Melbourne during the COVID-19 pandemic&lt;/title&gt;&lt;secondary-title&gt;Drug Alcohol Rev&lt;/secondary-title&gt;&lt;/titles&gt;&lt;pages&gt;681-682&lt;/pages&gt;&lt;volume&gt;40&lt;/volume&gt;&lt;number&gt;4&lt;/number&gt;&lt;dates&gt;&lt;year&gt;2021&lt;/year&gt;&lt;/dates&gt;&lt;accession-num&gt;32898928&lt;/accession-num&gt;&lt;urls&gt;&lt;related-urls&gt;&lt;url&gt;https://onlinelibrary.wiley.com/doi/10.1111/dar.13161&lt;/url&gt;&lt;/related-urls&gt;&lt;/urls&gt;&lt;electronic-resource-num&gt;10.1111/dar.13161&lt;/electronic-resource-num&gt;&lt;/record&gt;&lt;/Cite&gt;&lt;/EndNote&gt;</w:instrText>
        </w:r>
        <w:r w:rsidR="002565E6" w:rsidRPr="00EA3458">
          <w:fldChar w:fldCharType="separate"/>
        </w:r>
        <w:r w:rsidR="002565E6" w:rsidRPr="00646D54">
          <w:rPr>
            <w:noProof/>
            <w:vertAlign w:val="superscript"/>
          </w:rPr>
          <w:t>53</w:t>
        </w:r>
        <w:r w:rsidR="002565E6" w:rsidRPr="00EA3458">
          <w:fldChar w:fldCharType="end"/>
        </w:r>
      </w:hyperlink>
      <w:r w:rsidR="00434810" w:rsidRPr="00EA3458">
        <w:t xml:space="preserve"> Multiple referral pathways including self-referral, a triage process performed by drug and alcohol nurses, review of available history (such as permits, Safescript dispensing history), and subsequent telehealth specialist consultation to assess suitability, if required, were core components of the model. Whilst pathology was not performed prior to treatment initiation unless clinically indicated, other services provided included vaccination, blood borne virus testing and treatment, and </w:t>
      </w:r>
      <w:r w:rsidR="00B220B8">
        <w:t>THN</w:t>
      </w:r>
      <w:r w:rsidR="00434810" w:rsidRPr="00EA3458">
        <w:t xml:space="preserve">. </w:t>
      </w:r>
      <w:r w:rsidR="00B200B8" w:rsidRPr="00EA3458">
        <w:t xml:space="preserve">At the time of conducting the </w:t>
      </w:r>
      <w:r w:rsidR="00C84CC4">
        <w:t>literature review</w:t>
      </w:r>
      <w:r w:rsidR="00B200B8" w:rsidRPr="00EA3458">
        <w:t xml:space="preserve"> e</w:t>
      </w:r>
      <w:r w:rsidR="00434810" w:rsidRPr="00EA3458">
        <w:t xml:space="preserve">valuation of consumer outcomes and acceptability of the model is pending. </w:t>
      </w:r>
    </w:p>
    <w:p w14:paraId="0EA360EC" w14:textId="6E20BBDC" w:rsidR="00434810" w:rsidRPr="00EA3458" w:rsidRDefault="00434810">
      <w:r w:rsidRPr="00EA3458">
        <w:t xml:space="preserve">Both formulations of </w:t>
      </w:r>
      <w:r w:rsidR="007F2DB3">
        <w:t xml:space="preserve">LAIB </w:t>
      </w:r>
      <w:r w:rsidRPr="00EA3458">
        <w:t>were introduced in all Australian states and territories ahead of many other countries, with only 22% of health providers from high income countries reporting availability in one survey conducted in May 2020</w:t>
      </w:r>
      <w:r w:rsidR="00B723E3">
        <w:t>.</w:t>
      </w:r>
      <w:hyperlink w:anchor="_ENREF_54" w:tooltip="Radfar, 2021 #55" w:history="1">
        <w:r w:rsidR="002565E6" w:rsidRPr="00EA3458">
          <w:fldChar w:fldCharType="begin"/>
        </w:r>
        <w:r w:rsidR="002565E6">
          <w:instrText xml:space="preserve"> ADDIN EN.CITE &lt;EndNote&gt;&lt;Cite&gt;&lt;Author&gt;Radfar&lt;/Author&gt;&lt;Year&gt;2021&lt;/Year&gt;&lt;RecNum&gt;55&lt;/RecNum&gt;&lt;DisplayText&gt;&lt;style face="superscript"&gt;54&lt;/style&gt;&lt;/DisplayText&gt;&lt;record&gt;&lt;rec-number&gt;55&lt;/rec-number&gt;&lt;foreign-keys&gt;&lt;key app="EN" db-id="xssz590sx9vzw4ewpzdv0s5sret50aexdtd9" timestamp="1668645529"&gt;55&lt;/key&gt;&lt;/foreign-keys&gt;&lt;ref-type name="Journal Article"&gt;17&lt;/ref-type&gt;&lt;contributors&gt;&lt;authors&gt;&lt;author&gt;Radfar, S. R.&lt;/author&gt;&lt;author&gt;De Jong, C. A. J.&lt;/author&gt;&lt;author&gt;Farhoudian, A.&lt;/author&gt;&lt;author&gt;Ebrahimi, M.&lt;/author&gt;&lt;author&gt;Rafei, P.&lt;/author&gt;&lt;author&gt;Vahidi, M.&lt;/author&gt;&lt;author&gt;Yunesian, M.&lt;/author&gt;&lt;author&gt;Kouimtsidis, C.&lt;/author&gt;&lt;author&gt;Arunogiri, S.&lt;/author&gt;&lt;author&gt;Massah, O.&lt;/author&gt;&lt;author&gt;Deylamizadeh, A.&lt;/author&gt;&lt;author&gt;Brady, K. T.&lt;/author&gt;&lt;author&gt;Busse, A.&lt;/author&gt;&lt;author&gt;Potenza, M. N.&lt;/author&gt;&lt;author&gt;Ekhtiari, H.&lt;/author&gt;&lt;author&gt;Baldacchino, A. M.&lt;/author&gt;&lt;/authors&gt;&lt;/contributors&gt;&lt;titles&gt;&lt;title&gt;Reorganization of Substance Use Treatment and Harm Reduction Services During the COVID-19 Pandemic: A Global Survey&lt;/title&gt;&lt;secondary-title&gt;Front Psychiatry&lt;/secondary-title&gt;&lt;/titles&gt;&lt;pages&gt;639393&lt;/pages&gt;&lt;volume&gt;12&lt;/volume&gt;&lt;dates&gt;&lt;year&gt;2021&lt;/year&gt;&lt;/dates&gt;&lt;accession-num&gt;34025471&lt;/accession-num&gt;&lt;urls&gt;&lt;related-urls&gt;&lt;url&gt;https://www.ncbi.nlm.nih.gov/pmc/articles/PMC8135096/pdf/fpsyt-12-639393.pdf&lt;/url&gt;&lt;/related-urls&gt;&lt;/urls&gt;&lt;electronic-resource-num&gt;10.3389/fpsyt.2021.639393&lt;/electronic-resource-num&gt;&lt;/record&gt;&lt;/Cite&gt;&lt;/EndNote&gt;</w:instrText>
        </w:r>
        <w:r w:rsidR="002565E6" w:rsidRPr="00EA3458">
          <w:fldChar w:fldCharType="separate"/>
        </w:r>
        <w:r w:rsidR="002565E6" w:rsidRPr="00646D54">
          <w:rPr>
            <w:noProof/>
            <w:vertAlign w:val="superscript"/>
          </w:rPr>
          <w:t>54</w:t>
        </w:r>
        <w:r w:rsidR="002565E6" w:rsidRPr="00EA3458">
          <w:fldChar w:fldCharType="end"/>
        </w:r>
      </w:hyperlink>
      <w:r w:rsidRPr="00EA3458">
        <w:t xml:space="preserve"> </w:t>
      </w:r>
      <w:r w:rsidRPr="00FF27FF">
        <w:t>Appendix</w:t>
      </w:r>
      <w:r w:rsidR="002C6609" w:rsidRPr="00FF27FF">
        <w:t xml:space="preserve"> </w:t>
      </w:r>
      <w:r w:rsidR="00C571F0" w:rsidRPr="00FF27FF">
        <w:t>2</w:t>
      </w:r>
      <w:r w:rsidRPr="00FF27FF">
        <w:t xml:space="preserve"> Table </w:t>
      </w:r>
      <w:r w:rsidR="00C571F0" w:rsidRPr="00FF27FF">
        <w:t>2</w:t>
      </w:r>
      <w:r w:rsidRPr="00FF27FF">
        <w:t>.1</w:t>
      </w:r>
      <w:r w:rsidRPr="00EA3458">
        <w:t xml:space="preserve"> describes the variation in jurisdictional policy regarding who can prescribe and administer </w:t>
      </w:r>
      <w:r w:rsidR="004D0AEA">
        <w:t>LAIB</w:t>
      </w:r>
      <w:r w:rsidRPr="00EA3458">
        <w:t>, and in which settings.</w:t>
      </w:r>
      <w:r w:rsidR="00FF27FF">
        <w:t xml:space="preserve"> In addition, the Pharmaceutical Society of Australia’s (PSA) </w:t>
      </w:r>
      <w:hyperlink r:id="rId18" w:history="1">
        <w:r w:rsidR="00FF27FF">
          <w:rPr>
            <w:rStyle w:val="Hyperlink"/>
          </w:rPr>
          <w:t>S</w:t>
        </w:r>
        <w:r w:rsidR="00FF27FF" w:rsidRPr="00FF27FF">
          <w:rPr>
            <w:rStyle w:val="Hyperlink"/>
          </w:rPr>
          <w:t>ummary of legal authority for pharmacist administration of medicines by injection</w:t>
        </w:r>
      </w:hyperlink>
      <w:r w:rsidR="00FF27FF">
        <w:t xml:space="preserve"> (September 2022) is available from the PSA website at </w:t>
      </w:r>
      <w:hyperlink r:id="rId19" w:history="1">
        <w:r w:rsidR="00FF27FF" w:rsidRPr="006337C0">
          <w:rPr>
            <w:rStyle w:val="Hyperlink"/>
          </w:rPr>
          <w:t>www.psa.org.au</w:t>
        </w:r>
      </w:hyperlink>
      <w:r w:rsidR="00FF27FF">
        <w:t xml:space="preserve">. </w:t>
      </w:r>
    </w:p>
    <w:p w14:paraId="2CC9E393" w14:textId="1606E83E" w:rsidR="00434810" w:rsidRPr="00EA3458" w:rsidRDefault="00434810">
      <w:pPr>
        <w:rPr>
          <w:rFonts w:eastAsia="Calibri" w:cs="Calibri"/>
          <w:color w:val="000000" w:themeColor="text1"/>
        </w:rPr>
      </w:pPr>
      <w:r w:rsidRPr="00EA3458">
        <w:rPr>
          <w:rFonts w:eastAsia="Calibri" w:cs="Calibri"/>
          <w:color w:val="000000" w:themeColor="text1"/>
        </w:rPr>
        <w:lastRenderedPageBreak/>
        <w:t xml:space="preserve">The CoLAB single-arm cohort of </w:t>
      </w:r>
      <w:r w:rsidR="00890963">
        <w:rPr>
          <w:rFonts w:eastAsia="Calibri" w:cs="Calibri"/>
          <w:color w:val="000000" w:themeColor="text1"/>
        </w:rPr>
        <w:t>LAIB</w:t>
      </w:r>
      <w:r w:rsidRPr="00EA3458">
        <w:rPr>
          <w:rFonts w:eastAsia="Calibri" w:cs="Calibri"/>
          <w:color w:val="000000" w:themeColor="text1"/>
        </w:rPr>
        <w:t xml:space="preserve"> (n=100) documented the early experience and issues encountered by clinics during implementation of monthly </w:t>
      </w:r>
      <w:r w:rsidR="00890963">
        <w:rPr>
          <w:rFonts w:eastAsia="Calibri" w:cs="Calibri"/>
          <w:color w:val="000000" w:themeColor="text1"/>
        </w:rPr>
        <w:t>LAIB</w:t>
      </w:r>
      <w:r w:rsidRPr="00EA3458">
        <w:rPr>
          <w:rFonts w:eastAsia="Calibri" w:cs="Calibri"/>
          <w:color w:val="000000" w:themeColor="text1"/>
        </w:rPr>
        <w:t xml:space="preserve"> as a new treatment modality </w:t>
      </w:r>
      <w:r w:rsidRPr="007B6A6D">
        <w:rPr>
          <w:rFonts w:eastAsia="Calibri" w:cs="Calibri"/>
          <w:color w:val="000000" w:themeColor="text1"/>
        </w:rPr>
        <w:t xml:space="preserve">(Table </w:t>
      </w:r>
      <w:r w:rsidR="00253486" w:rsidRPr="007B6A6D">
        <w:rPr>
          <w:rFonts w:eastAsia="Calibri" w:cs="Calibri"/>
          <w:color w:val="000000" w:themeColor="text1"/>
        </w:rPr>
        <w:t>8</w:t>
      </w:r>
      <w:r w:rsidRPr="00EA3458">
        <w:rPr>
          <w:rFonts w:eastAsia="Calibri" w:cs="Calibri"/>
          <w:color w:val="000000" w:themeColor="text1"/>
        </w:rPr>
        <w:t>). Key practical considerations included the need for staff training, procedures for handling of a cold-chain product in compliance with state S8 requirements, and the need for regular contact and follow up with consumers between monthly clinic visits.</w:t>
      </w:r>
    </w:p>
    <w:p w14:paraId="582C4DD3" w14:textId="78D3E253" w:rsidR="00434810" w:rsidRPr="00EA3458" w:rsidRDefault="00434810">
      <w:r w:rsidRPr="00EA3458">
        <w:t xml:space="preserve">More broadly, for many providers the implementation of </w:t>
      </w:r>
      <w:r w:rsidR="00890963">
        <w:t xml:space="preserve">LAIB </w:t>
      </w:r>
      <w:r w:rsidRPr="00EA3458">
        <w:t xml:space="preserve">occurred in the context of the COVID-19 pandemic and was often accelerated as a strategy to decrease frequency of consumer attendance and therefore reduce COVID-19 infection risk for consumers and staff. Challenges reported include development of protocols and procedures to minimise the risk of COVID-19 transmission when administering long-acting injections, and how to provide treatment to consumers who are in quarantine or self-isolation. </w:t>
      </w:r>
      <w:r w:rsidR="00762FA5">
        <w:t>Guidance material to support patients</w:t>
      </w:r>
      <w:r w:rsidRPr="00EA3458">
        <w:t xml:space="preserve"> </w:t>
      </w:r>
      <w:r w:rsidR="00FD1B3B">
        <w:t xml:space="preserve">transferral from </w:t>
      </w:r>
      <w:r w:rsidRPr="00EA3458">
        <w:t xml:space="preserve">methadone treatment to </w:t>
      </w:r>
      <w:r w:rsidR="00890963">
        <w:t>LAIB</w:t>
      </w:r>
      <w:r w:rsidRPr="00EA3458">
        <w:t>, remains poorly documented or evaluated</w:t>
      </w:r>
      <w:r w:rsidR="00B723E3">
        <w:t>.</w:t>
      </w:r>
      <w:hyperlink w:anchor="_ENREF_55" w:tooltip="Arunogiri, 2021 #56" w:history="1">
        <w:r w:rsidR="002565E6" w:rsidRPr="00EA3458">
          <w:fldChar w:fldCharType="begin"/>
        </w:r>
        <w:r w:rsidR="002565E6">
          <w:instrText xml:space="preserve"> ADDIN EN.CITE &lt;EndNote&gt;&lt;Cite&gt;&lt;Author&gt;Arunogiri&lt;/Author&gt;&lt;Year&gt;2021&lt;/Year&gt;&lt;RecNum&gt;56&lt;/RecNum&gt;&lt;DisplayText&gt;&lt;style face="superscript"&gt;55&lt;/style&gt;&lt;/DisplayText&gt;&lt;record&gt;&lt;rec-number&gt;56&lt;/rec-number&gt;&lt;foreign-keys&gt;&lt;key app="EN" db-id="xssz590sx9vzw4ewpzdv0s5sret50aexdtd9" timestamp="1668645535"&gt;56&lt;/key&gt;&lt;/foreign-keys&gt;&lt;ref-type name="Journal Article"&gt;17&lt;/ref-type&gt;&lt;contributors&gt;&lt;authors&gt;&lt;author&gt;Arunogiri, S.&lt;/author&gt;&lt;author&gt;Lintzeris, N.&lt;/author&gt;&lt;/authors&gt;&lt;/contributors&gt;&lt;titles&gt;&lt;title&gt;Depot buprenorphine during COVID-19 in Australia: Opportunities and challenges&lt;/title&gt;&lt;secondary-title&gt;J Subst Abuse Treat&lt;/secondary-title&gt;&lt;/titles&gt;&lt;pages&gt;108221&lt;/pages&gt;&lt;volume&gt;124&lt;/volume&gt;&lt;dates&gt;&lt;year&gt;2021&lt;/year&gt;&lt;/dates&gt;&lt;accession-num&gt;33303254&lt;/accession-num&gt;&lt;urls&gt;&lt;related-urls&gt;&lt;url&gt;https://www.ncbi.nlm.nih.gov/pmc/articles/PMC7711199/pdf/main.pdf&lt;/url&gt;&lt;/related-urls&gt;&lt;/urls&gt;&lt;electronic-resource-num&gt;10.1016/j.jsat.2020.108221&lt;/electronic-resource-num&gt;&lt;/record&gt;&lt;/Cite&gt;&lt;/EndNote&gt;</w:instrText>
        </w:r>
        <w:r w:rsidR="002565E6" w:rsidRPr="00EA3458">
          <w:fldChar w:fldCharType="separate"/>
        </w:r>
        <w:r w:rsidR="002565E6" w:rsidRPr="00646D54">
          <w:rPr>
            <w:noProof/>
            <w:vertAlign w:val="superscript"/>
          </w:rPr>
          <w:t>55</w:t>
        </w:r>
        <w:r w:rsidR="002565E6" w:rsidRPr="00EA3458">
          <w:fldChar w:fldCharType="end"/>
        </w:r>
      </w:hyperlink>
      <w:r w:rsidR="00FD519E">
        <w:t xml:space="preserve"> </w:t>
      </w:r>
      <w:r w:rsidR="00762FA5">
        <w:t>M</w:t>
      </w:r>
      <w:r w:rsidR="00FD1B3B">
        <w:t>ost patients are currently established on sublingual buprenorphine prior to commencing LAIB</w:t>
      </w:r>
      <w:r w:rsidRPr="00EA3458">
        <w:t xml:space="preserve">. </w:t>
      </w:r>
    </w:p>
    <w:p w14:paraId="36B2862C" w14:textId="77777777" w:rsidR="00434810" w:rsidRPr="00EA3458" w:rsidRDefault="00434810">
      <w:pPr>
        <w:rPr>
          <w:rFonts w:eastAsia="Calibri" w:cs="Calibri"/>
          <w:color w:val="000000" w:themeColor="text1"/>
        </w:rPr>
      </w:pPr>
    </w:p>
    <w:p w14:paraId="79D21CC0" w14:textId="77777777" w:rsidR="00434810" w:rsidRPr="00EA3458" w:rsidRDefault="00434810">
      <w:pPr>
        <w:sectPr w:rsidR="00434810" w:rsidRPr="00EA3458" w:rsidSect="00055AA6">
          <w:headerReference w:type="default" r:id="rId20"/>
          <w:pgSz w:w="11906" w:h="16838"/>
          <w:pgMar w:top="1440" w:right="1440" w:bottom="1440" w:left="1440" w:header="708" w:footer="708" w:gutter="0"/>
          <w:cols w:space="708"/>
          <w:docGrid w:linePitch="360"/>
        </w:sectPr>
      </w:pPr>
    </w:p>
    <w:p w14:paraId="0CA5D8A1" w14:textId="2221E302" w:rsidR="00434810" w:rsidRPr="00EA3458" w:rsidRDefault="00434810">
      <w:pPr>
        <w:pStyle w:val="Tables"/>
      </w:pPr>
      <w:bookmarkStart w:id="281" w:name="_Toc132823428"/>
      <w:bookmarkStart w:id="282" w:name="_Toc120183440"/>
      <w:bookmarkStart w:id="283" w:name="_Toc116025677"/>
      <w:r w:rsidRPr="00EA3458">
        <w:lastRenderedPageBreak/>
        <w:t xml:space="preserve">Table </w:t>
      </w:r>
      <w:r w:rsidR="00253486">
        <w:t>8</w:t>
      </w:r>
      <w:r w:rsidRPr="00EA3458">
        <w:t>. Challenges experienced and strategies used at the CoLAB study sites in SA, VIC and NSW during a study examining use of long acting buprenorphine, May 2019 to November 2020 (n=100)</w:t>
      </w:r>
      <w:hyperlink w:anchor="_ENREF_5" w:tooltip="Farrell, 2022 #5" w:history="1">
        <w:r w:rsidR="002565E6" w:rsidRPr="00EA3458">
          <w:fldChar w:fldCharType="begin"/>
        </w:r>
        <w:r w:rsidR="002565E6">
          <w:instrText xml:space="preserve"> ADDIN EN.CITE &lt;EndNote&gt;&lt;Cite&gt;&lt;Author&gt;Farrell&lt;/Author&gt;&lt;Year&gt;2022&lt;/Year&gt;&lt;RecNum&gt;5&lt;/RecNum&gt;&lt;DisplayText&gt;&lt;style face="superscript"&gt;5&lt;/style&gt;&lt;/DisplayText&gt;&lt;record&gt;&lt;rec-number&gt;5&lt;/rec-number&gt;&lt;foreign-keys&gt;&lt;key app="EN" db-id="xssz590sx9vzw4ewpzdv0s5sret50aexdtd9" timestamp="1668645257"&gt;5&lt;/key&gt;&lt;/foreign-keys&gt;&lt;ref-type name="Journal Article"&gt;17&lt;/ref-type&gt;&lt;contributors&gt;&lt;authors&gt;&lt;author&gt;Farrell, M.&lt;/author&gt;&lt;author&gt;Shabjazi, J. &lt;/author&gt;&lt;author&gt;Byrne, M. &lt;/author&gt;&lt;author&gt;Chambers, M. &lt;/author&gt;&lt;author&gt;Grebely, J. &lt;/author&gt;&lt;author&gt;Larance, B. &lt;/author&gt;&lt;author&gt;Ali, R.&lt;/author&gt;&lt;author&gt;Nielsen, S.&lt;/author&gt;&lt;author&gt;Dunlop, A.&lt;/author&gt;&lt;author&gt;Dore, G.&lt;/author&gt;&lt;author&gt;McDonough, M.&lt;/author&gt;&lt;author&gt;Montebello, M.&lt;/author&gt;&lt;author&gt;Nicholas, T.&lt;/author&gt;&lt;author&gt;Weiss, R.&lt;/author&gt;&lt;author&gt;Rodgers, C.&lt;/author&gt;&lt;author&gt;Cook, J. &lt;/author&gt;&lt;author&gt;Degenhardt, L. &lt;/author&gt;&lt;author&gt;CoLAB study team &lt;/author&gt;&lt;/authors&gt;&lt;/contributors&gt;&lt;titles&gt;&lt;title&gt;Outcomes of a single-arm implementation trial of monthly subcutaneous buprenorphine depot injections in people with opioid dependence: Primary findings from the CoLAB study&lt;/title&gt;&lt;secondary-title&gt;International Journal of Drug Policy&lt;/secondary-title&gt;&lt;/titles&gt;&lt;pages&gt;103492&lt;/pages&gt;&lt;volume&gt;100&lt;/volume&gt;&lt;dates&gt;&lt;year&gt;2022&lt;/year&gt;&lt;/dates&gt;&lt;urls&gt;&lt;/urls&gt;&lt;/record&gt;&lt;/Cite&gt;&lt;/EndNote&gt;</w:instrText>
        </w:r>
        <w:r w:rsidR="002565E6" w:rsidRPr="00EA3458">
          <w:fldChar w:fldCharType="separate"/>
        </w:r>
        <w:r w:rsidR="002565E6" w:rsidRPr="005531C9">
          <w:rPr>
            <w:noProof/>
            <w:vertAlign w:val="superscript"/>
          </w:rPr>
          <w:t>5</w:t>
        </w:r>
        <w:bookmarkEnd w:id="281"/>
        <w:r w:rsidR="002565E6" w:rsidRPr="00EA3458">
          <w:fldChar w:fldCharType="end"/>
        </w:r>
      </w:hyperlink>
      <w:bookmarkEnd w:id="282"/>
      <w:bookmarkEnd w:id="283"/>
    </w:p>
    <w:tbl>
      <w:tblPr>
        <w:tblStyle w:val="TableGrid"/>
        <w:tblW w:w="5000" w:type="pct"/>
        <w:tblInd w:w="0" w:type="dxa"/>
        <w:tblLook w:val="04A0" w:firstRow="1" w:lastRow="0" w:firstColumn="1" w:lastColumn="0" w:noHBand="0" w:noVBand="1"/>
      </w:tblPr>
      <w:tblGrid>
        <w:gridCol w:w="2027"/>
        <w:gridCol w:w="5303"/>
        <w:gridCol w:w="8024"/>
      </w:tblGrid>
      <w:tr w:rsidR="00434810" w:rsidRPr="00EA3458" w14:paraId="1397F876" w14:textId="77777777" w:rsidTr="00CE03C3">
        <w:trPr>
          <w:trHeight w:val="170"/>
        </w:trPr>
        <w:tc>
          <w:tcPr>
            <w:tcW w:w="66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hideMark/>
          </w:tcPr>
          <w:p w14:paraId="51745B19" w14:textId="77777777" w:rsidR="00434810" w:rsidRPr="00EA3458" w:rsidRDefault="00434810" w:rsidP="00205455">
            <w:pPr>
              <w:jc w:val="left"/>
              <w:rPr>
                <w:rFonts w:ascii="Calibri" w:eastAsia="Calibri" w:hAnsi="Calibri" w:cs="Calibri"/>
                <w:sz w:val="20"/>
                <w:szCs w:val="20"/>
              </w:rPr>
            </w:pPr>
            <w:r w:rsidRPr="00EA3458">
              <w:rPr>
                <w:rFonts w:ascii="Calibri" w:eastAsia="Calibri" w:hAnsi="Calibri" w:cs="Calibri"/>
                <w:b/>
                <w:bCs/>
                <w:sz w:val="20"/>
                <w:szCs w:val="20"/>
              </w:rPr>
              <w:t>Issue category</w:t>
            </w:r>
          </w:p>
        </w:tc>
        <w:tc>
          <w:tcPr>
            <w:tcW w:w="172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hideMark/>
          </w:tcPr>
          <w:p w14:paraId="77D7BA47" w14:textId="77777777" w:rsidR="00434810" w:rsidRPr="00EA3458" w:rsidRDefault="00434810" w:rsidP="00205455">
            <w:pPr>
              <w:jc w:val="left"/>
              <w:rPr>
                <w:rFonts w:ascii="Calibri" w:eastAsia="Calibri" w:hAnsi="Calibri" w:cs="Calibri"/>
                <w:sz w:val="20"/>
                <w:szCs w:val="20"/>
              </w:rPr>
            </w:pPr>
            <w:r w:rsidRPr="00EA3458">
              <w:rPr>
                <w:rFonts w:ascii="Calibri" w:eastAsia="Calibri" w:hAnsi="Calibri" w:cs="Calibri"/>
                <w:b/>
                <w:bCs/>
                <w:sz w:val="20"/>
                <w:szCs w:val="20"/>
              </w:rPr>
              <w:t>Description</w:t>
            </w:r>
          </w:p>
        </w:tc>
        <w:tc>
          <w:tcPr>
            <w:tcW w:w="261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hideMark/>
          </w:tcPr>
          <w:p w14:paraId="2A121AB9" w14:textId="77777777" w:rsidR="00434810" w:rsidRPr="00EA3458" w:rsidRDefault="00434810" w:rsidP="00205455">
            <w:pPr>
              <w:jc w:val="left"/>
              <w:rPr>
                <w:rFonts w:ascii="Calibri" w:eastAsia="Calibri" w:hAnsi="Calibri" w:cs="Calibri"/>
                <w:sz w:val="20"/>
                <w:szCs w:val="20"/>
              </w:rPr>
            </w:pPr>
            <w:r w:rsidRPr="00EA3458">
              <w:rPr>
                <w:rFonts w:ascii="Calibri" w:eastAsia="Calibri" w:hAnsi="Calibri" w:cs="Calibri"/>
                <w:b/>
                <w:bCs/>
                <w:sz w:val="20"/>
                <w:szCs w:val="20"/>
              </w:rPr>
              <w:t>Strategies</w:t>
            </w:r>
          </w:p>
        </w:tc>
      </w:tr>
      <w:tr w:rsidR="00434810" w:rsidRPr="00EA3458" w14:paraId="269DBBAB" w14:textId="77777777" w:rsidTr="00CE03C3">
        <w:trPr>
          <w:trHeight w:val="170"/>
        </w:trPr>
        <w:tc>
          <w:tcPr>
            <w:tcW w:w="660" w:type="pct"/>
            <w:tcBorders>
              <w:top w:val="single" w:sz="4" w:space="0" w:color="7F7F7F" w:themeColor="text1" w:themeTint="80"/>
              <w:left w:val="single" w:sz="4" w:space="0" w:color="7F7F7F" w:themeColor="text1" w:themeTint="80"/>
              <w:bottom w:val="dotted" w:sz="4" w:space="0" w:color="7F7F7F" w:themeColor="text1" w:themeTint="80"/>
              <w:right w:val="single" w:sz="4" w:space="0" w:color="7F7F7F" w:themeColor="text1" w:themeTint="80"/>
            </w:tcBorders>
            <w:hideMark/>
          </w:tcPr>
          <w:p w14:paraId="482384C2" w14:textId="330DB16C" w:rsidR="00434810" w:rsidRPr="00EA3458" w:rsidRDefault="00441126" w:rsidP="00205455">
            <w:pPr>
              <w:spacing w:after="0"/>
              <w:jc w:val="left"/>
              <w:rPr>
                <w:rFonts w:ascii="Calibri" w:eastAsia="Calibri" w:hAnsi="Calibri" w:cs="Calibri"/>
                <w:sz w:val="20"/>
                <w:szCs w:val="20"/>
              </w:rPr>
            </w:pPr>
            <w:r w:rsidRPr="00EA3458">
              <w:rPr>
                <w:rFonts w:ascii="Calibri" w:eastAsia="Calibri" w:hAnsi="Calibri" w:cs="Calibri"/>
                <w:b/>
                <w:bCs/>
                <w:sz w:val="20"/>
                <w:szCs w:val="20"/>
              </w:rPr>
              <w:t>Consumer</w:t>
            </w:r>
            <w:r w:rsidR="00434810" w:rsidRPr="00EA3458">
              <w:rPr>
                <w:rFonts w:ascii="Calibri" w:eastAsia="Calibri" w:hAnsi="Calibri" w:cs="Calibri"/>
                <w:b/>
                <w:bCs/>
                <w:sz w:val="20"/>
                <w:szCs w:val="20"/>
              </w:rPr>
              <w:t xml:space="preserve"> engagement and retention</w:t>
            </w:r>
          </w:p>
        </w:tc>
        <w:tc>
          <w:tcPr>
            <w:tcW w:w="1727" w:type="pct"/>
            <w:tcBorders>
              <w:top w:val="single" w:sz="4" w:space="0" w:color="7F7F7F" w:themeColor="text1" w:themeTint="80"/>
              <w:left w:val="single" w:sz="4" w:space="0" w:color="7F7F7F" w:themeColor="text1" w:themeTint="80"/>
              <w:bottom w:val="dotted" w:sz="4" w:space="0" w:color="7F7F7F" w:themeColor="text1" w:themeTint="80"/>
              <w:right w:val="single" w:sz="4" w:space="0" w:color="7F7F7F" w:themeColor="text1" w:themeTint="80"/>
            </w:tcBorders>
            <w:hideMark/>
          </w:tcPr>
          <w:p w14:paraId="15A8E1AB" w14:textId="000F1A3D" w:rsidR="00434810" w:rsidRPr="00EA3458" w:rsidRDefault="00434810" w:rsidP="007E3DC8">
            <w:pPr>
              <w:pStyle w:val="ListParagraph"/>
              <w:numPr>
                <w:ilvl w:val="0"/>
                <w:numId w:val="3"/>
              </w:numPr>
              <w:spacing w:after="0" w:line="240" w:lineRule="auto"/>
              <w:jc w:val="left"/>
              <w:rPr>
                <w:rFonts w:eastAsiaTheme="minorEastAsia"/>
                <w:sz w:val="20"/>
                <w:szCs w:val="20"/>
              </w:rPr>
            </w:pPr>
            <w:r w:rsidRPr="00EA3458">
              <w:rPr>
                <w:rFonts w:ascii="Calibri" w:eastAsia="Calibri" w:hAnsi="Calibri" w:cs="Calibri"/>
                <w:sz w:val="20"/>
                <w:szCs w:val="20"/>
              </w:rPr>
              <w:t xml:space="preserve">Uptake not an issue, for this small sample size (assisted by increasing </w:t>
            </w:r>
            <w:r w:rsidR="00441126" w:rsidRPr="00EA3458">
              <w:rPr>
                <w:rFonts w:ascii="Calibri" w:eastAsia="Calibri" w:hAnsi="Calibri" w:cs="Calibri"/>
                <w:sz w:val="20"/>
                <w:szCs w:val="20"/>
              </w:rPr>
              <w:t>consumer</w:t>
            </w:r>
            <w:r w:rsidRPr="00EA3458">
              <w:rPr>
                <w:rFonts w:ascii="Calibri" w:eastAsia="Calibri" w:hAnsi="Calibri" w:cs="Calibri"/>
                <w:sz w:val="20"/>
                <w:szCs w:val="20"/>
              </w:rPr>
              <w:t xml:space="preserve"> awareness, pre-PBS listing)</w:t>
            </w:r>
          </w:p>
        </w:tc>
        <w:tc>
          <w:tcPr>
            <w:tcW w:w="2613" w:type="pct"/>
            <w:tcBorders>
              <w:top w:val="single" w:sz="4" w:space="0" w:color="7F7F7F" w:themeColor="text1" w:themeTint="80"/>
              <w:left w:val="single" w:sz="4" w:space="0" w:color="7F7F7F" w:themeColor="text1" w:themeTint="80"/>
              <w:bottom w:val="dotted" w:sz="4" w:space="0" w:color="7F7F7F" w:themeColor="text1" w:themeTint="80"/>
              <w:right w:val="single" w:sz="4" w:space="0" w:color="7F7F7F" w:themeColor="text1" w:themeTint="80"/>
            </w:tcBorders>
            <w:hideMark/>
          </w:tcPr>
          <w:p w14:paraId="0AE612C6" w14:textId="77777777" w:rsidR="00434810" w:rsidRPr="00EA3458" w:rsidRDefault="00434810" w:rsidP="007E3DC8">
            <w:pPr>
              <w:pStyle w:val="ListParagraph"/>
              <w:numPr>
                <w:ilvl w:val="0"/>
                <w:numId w:val="3"/>
              </w:numPr>
              <w:spacing w:after="0" w:line="240" w:lineRule="auto"/>
              <w:jc w:val="left"/>
              <w:rPr>
                <w:rFonts w:eastAsiaTheme="minorEastAsia"/>
                <w:sz w:val="20"/>
                <w:szCs w:val="20"/>
              </w:rPr>
            </w:pPr>
            <w:r w:rsidRPr="00EA3458">
              <w:rPr>
                <w:rFonts w:ascii="Calibri" w:eastAsia="Calibri" w:hAnsi="Calibri" w:cs="Calibri"/>
                <w:sz w:val="20"/>
                <w:szCs w:val="20"/>
              </w:rPr>
              <w:t xml:space="preserve">Advertising and clinic flyers/posters used in some clinics </w:t>
            </w:r>
          </w:p>
          <w:p w14:paraId="376AEB81" w14:textId="496A741C" w:rsidR="00434810" w:rsidRPr="00EA3458" w:rsidRDefault="00434810" w:rsidP="007E3DC8">
            <w:pPr>
              <w:pStyle w:val="ListParagraph"/>
              <w:numPr>
                <w:ilvl w:val="0"/>
                <w:numId w:val="3"/>
              </w:numPr>
              <w:spacing w:after="0" w:line="240" w:lineRule="auto"/>
              <w:jc w:val="left"/>
              <w:rPr>
                <w:rFonts w:eastAsiaTheme="minorEastAsia"/>
                <w:sz w:val="20"/>
                <w:szCs w:val="20"/>
              </w:rPr>
            </w:pPr>
            <w:r w:rsidRPr="00EA3458">
              <w:rPr>
                <w:rFonts w:ascii="Calibri" w:eastAsia="Calibri" w:hAnsi="Calibri" w:cs="Calibri"/>
                <w:sz w:val="20"/>
                <w:szCs w:val="20"/>
              </w:rPr>
              <w:t xml:space="preserve">Clinic check-up calls to </w:t>
            </w:r>
            <w:r w:rsidR="00441126" w:rsidRPr="00EA3458">
              <w:rPr>
                <w:rFonts w:ascii="Calibri" w:eastAsia="Calibri" w:hAnsi="Calibri" w:cs="Calibri"/>
                <w:sz w:val="20"/>
                <w:szCs w:val="20"/>
              </w:rPr>
              <w:t>consumer</w:t>
            </w:r>
            <w:r w:rsidRPr="00EA3458">
              <w:rPr>
                <w:rFonts w:ascii="Calibri" w:eastAsia="Calibri" w:hAnsi="Calibri" w:cs="Calibri"/>
                <w:sz w:val="20"/>
                <w:szCs w:val="20"/>
              </w:rPr>
              <w:t>s several days before next injection due to gauge dose (especially dose 3 involving switch from 300mg to 100mg Sublocade</w:t>
            </w:r>
            <w:r w:rsidRPr="00EA3458">
              <w:rPr>
                <w:vertAlign w:val="superscript"/>
              </w:rPr>
              <w:t>®</w:t>
            </w:r>
            <w:r w:rsidRPr="00EA3458">
              <w:rPr>
                <w:rFonts w:ascii="Calibri" w:eastAsia="Calibri" w:hAnsi="Calibri" w:cs="Calibri"/>
                <w:sz w:val="20"/>
                <w:szCs w:val="20"/>
              </w:rPr>
              <w:t>)</w:t>
            </w:r>
          </w:p>
          <w:p w14:paraId="1BD988D6" w14:textId="77777777" w:rsidR="00434810" w:rsidRPr="00EA3458" w:rsidRDefault="00434810" w:rsidP="007E3DC8">
            <w:pPr>
              <w:pStyle w:val="ListParagraph"/>
              <w:numPr>
                <w:ilvl w:val="0"/>
                <w:numId w:val="3"/>
              </w:numPr>
              <w:spacing w:after="0" w:line="240" w:lineRule="auto"/>
              <w:jc w:val="left"/>
              <w:rPr>
                <w:rFonts w:eastAsiaTheme="minorEastAsia"/>
                <w:sz w:val="20"/>
                <w:szCs w:val="20"/>
              </w:rPr>
            </w:pPr>
            <w:r w:rsidRPr="00EA3458">
              <w:rPr>
                <w:rFonts w:ascii="Calibri" w:eastAsia="Calibri" w:hAnsi="Calibri" w:cs="Calibri"/>
                <w:sz w:val="20"/>
                <w:szCs w:val="20"/>
              </w:rPr>
              <w:t>Text reminders</w:t>
            </w:r>
          </w:p>
          <w:p w14:paraId="03632C79" w14:textId="77777777" w:rsidR="00434810" w:rsidRPr="00EA3458" w:rsidRDefault="00434810" w:rsidP="007E3DC8">
            <w:pPr>
              <w:pStyle w:val="ListParagraph"/>
              <w:numPr>
                <w:ilvl w:val="0"/>
                <w:numId w:val="3"/>
              </w:numPr>
              <w:spacing w:after="0" w:line="240" w:lineRule="auto"/>
              <w:jc w:val="left"/>
              <w:rPr>
                <w:rFonts w:eastAsiaTheme="minorEastAsia"/>
                <w:sz w:val="20"/>
                <w:szCs w:val="20"/>
              </w:rPr>
            </w:pPr>
            <w:r w:rsidRPr="00EA3458">
              <w:rPr>
                <w:rFonts w:ascii="Calibri" w:eastAsia="Calibri" w:hAnsi="Calibri" w:cs="Calibri"/>
                <w:sz w:val="20"/>
                <w:szCs w:val="20"/>
              </w:rPr>
              <w:t xml:space="preserve">Financial incentives (research interview reimbursement of $50 per month) </w:t>
            </w:r>
          </w:p>
          <w:p w14:paraId="0EADD050" w14:textId="77777777" w:rsidR="00434810" w:rsidRPr="00EA3458" w:rsidRDefault="00434810" w:rsidP="007E3DC8">
            <w:pPr>
              <w:pStyle w:val="ListParagraph"/>
              <w:numPr>
                <w:ilvl w:val="0"/>
                <w:numId w:val="3"/>
              </w:numPr>
              <w:spacing w:after="0" w:line="240" w:lineRule="auto"/>
              <w:jc w:val="left"/>
              <w:rPr>
                <w:rFonts w:eastAsiaTheme="minorEastAsia"/>
                <w:sz w:val="20"/>
                <w:szCs w:val="20"/>
              </w:rPr>
            </w:pPr>
            <w:r w:rsidRPr="00EA3458">
              <w:rPr>
                <w:rFonts w:ascii="Calibri" w:eastAsia="Calibri" w:hAnsi="Calibri" w:cs="Calibri"/>
                <w:sz w:val="20"/>
                <w:szCs w:val="20"/>
              </w:rPr>
              <w:t>Word of mouth (some sites experienced in long-acting buprenorphine through previous trial)</w:t>
            </w:r>
          </w:p>
          <w:p w14:paraId="3D1D42F0" w14:textId="77777777" w:rsidR="00434810" w:rsidRPr="00EA3458" w:rsidRDefault="00434810" w:rsidP="007E3DC8">
            <w:pPr>
              <w:pStyle w:val="ListParagraph"/>
              <w:numPr>
                <w:ilvl w:val="0"/>
                <w:numId w:val="3"/>
              </w:numPr>
              <w:spacing w:after="0" w:line="240" w:lineRule="auto"/>
              <w:jc w:val="left"/>
              <w:rPr>
                <w:rFonts w:eastAsiaTheme="minorEastAsia"/>
                <w:sz w:val="20"/>
                <w:szCs w:val="20"/>
              </w:rPr>
            </w:pPr>
            <w:r w:rsidRPr="00EA3458">
              <w:rPr>
                <w:rFonts w:ascii="Calibri" w:eastAsia="Calibri" w:hAnsi="Calibri" w:cs="Calibri"/>
                <w:sz w:val="20"/>
                <w:szCs w:val="20"/>
              </w:rPr>
              <w:t xml:space="preserve">Trial participants advocating BUP-XR among their peers </w:t>
            </w:r>
          </w:p>
        </w:tc>
      </w:tr>
      <w:tr w:rsidR="00434810" w:rsidRPr="00EA3458" w14:paraId="137D1629" w14:textId="77777777" w:rsidTr="00CE03C3">
        <w:trPr>
          <w:trHeight w:val="170"/>
        </w:trPr>
        <w:tc>
          <w:tcPr>
            <w:tcW w:w="660" w:type="pct"/>
            <w:tcBorders>
              <w:top w:val="dotted" w:sz="4" w:space="0" w:color="7F7F7F" w:themeColor="text1" w:themeTint="80"/>
              <w:left w:val="single" w:sz="4" w:space="0" w:color="7F7F7F" w:themeColor="text1" w:themeTint="80"/>
              <w:bottom w:val="dotted" w:sz="4" w:space="0" w:color="7F7F7F" w:themeColor="text1" w:themeTint="80"/>
              <w:right w:val="single" w:sz="4" w:space="0" w:color="7F7F7F" w:themeColor="text1" w:themeTint="80"/>
            </w:tcBorders>
            <w:hideMark/>
          </w:tcPr>
          <w:p w14:paraId="0C3557BB" w14:textId="77777777" w:rsidR="00434810" w:rsidRPr="00EA3458" w:rsidRDefault="00434810" w:rsidP="00205455">
            <w:pPr>
              <w:spacing w:after="0"/>
              <w:jc w:val="left"/>
              <w:rPr>
                <w:rFonts w:ascii="Calibri" w:eastAsia="Calibri" w:hAnsi="Calibri" w:cs="Calibri"/>
                <w:sz w:val="20"/>
                <w:szCs w:val="20"/>
              </w:rPr>
            </w:pPr>
            <w:r w:rsidRPr="00EA3458">
              <w:rPr>
                <w:rFonts w:ascii="Calibri" w:eastAsia="Calibri" w:hAnsi="Calibri" w:cs="Calibri"/>
                <w:b/>
                <w:bCs/>
                <w:sz w:val="20"/>
                <w:szCs w:val="20"/>
              </w:rPr>
              <w:t>Prescription</w:t>
            </w:r>
          </w:p>
        </w:tc>
        <w:tc>
          <w:tcPr>
            <w:tcW w:w="1727" w:type="pct"/>
            <w:tcBorders>
              <w:top w:val="dotted" w:sz="4" w:space="0" w:color="7F7F7F" w:themeColor="text1" w:themeTint="80"/>
              <w:left w:val="single" w:sz="4" w:space="0" w:color="7F7F7F" w:themeColor="text1" w:themeTint="80"/>
              <w:bottom w:val="dotted" w:sz="4" w:space="0" w:color="7F7F7F" w:themeColor="text1" w:themeTint="80"/>
              <w:right w:val="single" w:sz="4" w:space="0" w:color="7F7F7F" w:themeColor="text1" w:themeTint="80"/>
            </w:tcBorders>
            <w:hideMark/>
          </w:tcPr>
          <w:p w14:paraId="757354C8" w14:textId="64572BAF" w:rsidR="00434810" w:rsidRPr="00EA3458" w:rsidRDefault="00434810" w:rsidP="007E3DC8">
            <w:pPr>
              <w:pStyle w:val="ListParagraph"/>
              <w:numPr>
                <w:ilvl w:val="0"/>
                <w:numId w:val="3"/>
              </w:numPr>
              <w:spacing w:after="0" w:line="240" w:lineRule="auto"/>
              <w:jc w:val="left"/>
              <w:rPr>
                <w:rFonts w:eastAsiaTheme="minorEastAsia"/>
                <w:sz w:val="20"/>
                <w:szCs w:val="20"/>
              </w:rPr>
            </w:pPr>
            <w:r w:rsidRPr="00EA3458">
              <w:rPr>
                <w:rFonts w:ascii="Calibri" w:eastAsia="Calibri" w:hAnsi="Calibri" w:cs="Calibri"/>
                <w:sz w:val="20"/>
                <w:szCs w:val="20"/>
              </w:rPr>
              <w:t>Diversity of practitioners (specialist vs General Practitioner vs Nu</w:t>
            </w:r>
            <w:r w:rsidR="00135831">
              <w:rPr>
                <w:rFonts w:ascii="Calibri" w:eastAsia="Calibri" w:hAnsi="Calibri" w:cs="Calibri"/>
                <w:sz w:val="20"/>
                <w:szCs w:val="20"/>
              </w:rPr>
              <w:t>r</w:t>
            </w:r>
            <w:r w:rsidRPr="00EA3458">
              <w:rPr>
                <w:rFonts w:ascii="Calibri" w:eastAsia="Calibri" w:hAnsi="Calibri" w:cs="Calibri"/>
                <w:sz w:val="20"/>
                <w:szCs w:val="20"/>
              </w:rPr>
              <w:t>se Practi</w:t>
            </w:r>
            <w:r w:rsidR="00135831">
              <w:rPr>
                <w:rFonts w:ascii="Calibri" w:eastAsia="Calibri" w:hAnsi="Calibri" w:cs="Calibri"/>
                <w:sz w:val="20"/>
                <w:szCs w:val="20"/>
              </w:rPr>
              <w:t>ti</w:t>
            </w:r>
            <w:r w:rsidRPr="00EA3458">
              <w:rPr>
                <w:rFonts w:ascii="Calibri" w:eastAsia="Calibri" w:hAnsi="Calibri" w:cs="Calibri"/>
                <w:sz w:val="20"/>
                <w:szCs w:val="20"/>
              </w:rPr>
              <w:t>oner)</w:t>
            </w:r>
          </w:p>
          <w:p w14:paraId="6488712B" w14:textId="69095436" w:rsidR="00434810" w:rsidRPr="00EA3458" w:rsidRDefault="00135831" w:rsidP="007E3DC8">
            <w:pPr>
              <w:pStyle w:val="ListParagraph"/>
              <w:numPr>
                <w:ilvl w:val="0"/>
                <w:numId w:val="3"/>
              </w:numPr>
              <w:spacing w:after="0" w:line="240" w:lineRule="auto"/>
              <w:jc w:val="left"/>
              <w:rPr>
                <w:rFonts w:eastAsiaTheme="minorEastAsia"/>
                <w:sz w:val="20"/>
                <w:szCs w:val="20"/>
              </w:rPr>
            </w:pPr>
            <w:r>
              <w:rPr>
                <w:rFonts w:ascii="Calibri" w:eastAsia="Calibri" w:hAnsi="Calibri" w:cs="Calibri"/>
                <w:sz w:val="20"/>
                <w:szCs w:val="20"/>
              </w:rPr>
              <w:t>local</w:t>
            </w:r>
            <w:r w:rsidR="00434810" w:rsidRPr="00EA3458">
              <w:rPr>
                <w:rFonts w:ascii="Calibri" w:eastAsia="Calibri" w:hAnsi="Calibri" w:cs="Calibri"/>
                <w:sz w:val="20"/>
                <w:szCs w:val="20"/>
              </w:rPr>
              <w:t xml:space="preserve"> authorisation to prescribe</w:t>
            </w:r>
          </w:p>
          <w:p w14:paraId="616A69D7" w14:textId="419E64FC" w:rsidR="00434810" w:rsidRPr="00EA3458" w:rsidRDefault="00441126" w:rsidP="007E3DC8">
            <w:pPr>
              <w:pStyle w:val="ListParagraph"/>
              <w:numPr>
                <w:ilvl w:val="0"/>
                <w:numId w:val="3"/>
              </w:numPr>
              <w:spacing w:after="0" w:line="240" w:lineRule="auto"/>
              <w:jc w:val="left"/>
              <w:rPr>
                <w:rFonts w:eastAsiaTheme="minorEastAsia"/>
                <w:sz w:val="20"/>
                <w:szCs w:val="20"/>
              </w:rPr>
            </w:pPr>
            <w:r w:rsidRPr="00EA3458">
              <w:rPr>
                <w:rFonts w:ascii="Calibri" w:eastAsia="Calibri" w:hAnsi="Calibri" w:cs="Calibri"/>
                <w:sz w:val="20"/>
                <w:szCs w:val="20"/>
              </w:rPr>
              <w:t>Consumer</w:t>
            </w:r>
            <w:r w:rsidR="00434810" w:rsidRPr="00EA3458">
              <w:rPr>
                <w:rFonts w:ascii="Calibri" w:eastAsia="Calibri" w:hAnsi="Calibri" w:cs="Calibri"/>
                <w:sz w:val="20"/>
                <w:szCs w:val="20"/>
              </w:rPr>
              <w:t xml:space="preserve"> permits</w:t>
            </w:r>
          </w:p>
        </w:tc>
        <w:tc>
          <w:tcPr>
            <w:tcW w:w="2613" w:type="pct"/>
            <w:tcBorders>
              <w:top w:val="dotted" w:sz="4" w:space="0" w:color="7F7F7F" w:themeColor="text1" w:themeTint="80"/>
              <w:left w:val="single" w:sz="4" w:space="0" w:color="7F7F7F" w:themeColor="text1" w:themeTint="80"/>
              <w:bottom w:val="dotted" w:sz="4" w:space="0" w:color="7F7F7F" w:themeColor="text1" w:themeTint="80"/>
              <w:right w:val="single" w:sz="4" w:space="0" w:color="7F7F7F" w:themeColor="text1" w:themeTint="80"/>
            </w:tcBorders>
            <w:hideMark/>
          </w:tcPr>
          <w:p w14:paraId="4A6B5A89" w14:textId="739E90A5" w:rsidR="00434810" w:rsidRPr="00EA3458" w:rsidRDefault="00434810" w:rsidP="007E3DC8">
            <w:pPr>
              <w:pStyle w:val="ListParagraph"/>
              <w:numPr>
                <w:ilvl w:val="0"/>
                <w:numId w:val="3"/>
              </w:numPr>
              <w:spacing w:after="0" w:line="240" w:lineRule="auto"/>
              <w:jc w:val="left"/>
              <w:rPr>
                <w:rFonts w:eastAsiaTheme="minorEastAsia"/>
                <w:sz w:val="20"/>
                <w:szCs w:val="20"/>
              </w:rPr>
            </w:pPr>
            <w:r w:rsidRPr="00EA3458">
              <w:rPr>
                <w:rFonts w:ascii="Calibri" w:eastAsia="Calibri" w:hAnsi="Calibri" w:cs="Calibri"/>
                <w:sz w:val="20"/>
                <w:szCs w:val="20"/>
              </w:rPr>
              <w:t>N</w:t>
            </w:r>
            <w:r w:rsidR="00B723E3">
              <w:rPr>
                <w:rFonts w:ascii="Calibri" w:eastAsia="Calibri" w:hAnsi="Calibri" w:cs="Calibri"/>
                <w:sz w:val="20"/>
                <w:szCs w:val="20"/>
              </w:rPr>
              <w:t>urse Practitioners</w:t>
            </w:r>
            <w:r w:rsidRPr="00EA3458">
              <w:rPr>
                <w:rFonts w:ascii="Calibri" w:eastAsia="Calibri" w:hAnsi="Calibri" w:cs="Calibri"/>
                <w:sz w:val="20"/>
                <w:szCs w:val="20"/>
              </w:rPr>
              <w:t xml:space="preserve"> (with specialist oversight), opportunity for workforce development</w:t>
            </w:r>
          </w:p>
        </w:tc>
      </w:tr>
      <w:tr w:rsidR="00434810" w:rsidRPr="00EA3458" w14:paraId="0BC637BC" w14:textId="77777777" w:rsidTr="00CE03C3">
        <w:trPr>
          <w:trHeight w:val="170"/>
        </w:trPr>
        <w:tc>
          <w:tcPr>
            <w:tcW w:w="660" w:type="pct"/>
            <w:tcBorders>
              <w:top w:val="dotted" w:sz="4" w:space="0" w:color="7F7F7F" w:themeColor="text1" w:themeTint="80"/>
              <w:left w:val="single" w:sz="4" w:space="0" w:color="7F7F7F" w:themeColor="text1" w:themeTint="80"/>
              <w:bottom w:val="dotted" w:sz="4" w:space="0" w:color="7F7F7F" w:themeColor="text1" w:themeTint="80"/>
              <w:right w:val="single" w:sz="4" w:space="0" w:color="7F7F7F" w:themeColor="text1" w:themeTint="80"/>
            </w:tcBorders>
            <w:hideMark/>
          </w:tcPr>
          <w:p w14:paraId="40C7D4F2" w14:textId="77777777" w:rsidR="00434810" w:rsidRPr="00EA3458" w:rsidRDefault="00434810" w:rsidP="00205455">
            <w:pPr>
              <w:spacing w:after="0"/>
              <w:jc w:val="left"/>
              <w:rPr>
                <w:rFonts w:ascii="Calibri" w:eastAsia="Calibri" w:hAnsi="Calibri" w:cs="Calibri"/>
                <w:sz w:val="20"/>
                <w:szCs w:val="20"/>
              </w:rPr>
            </w:pPr>
            <w:r w:rsidRPr="00EA3458">
              <w:rPr>
                <w:rFonts w:ascii="Calibri" w:eastAsia="Calibri" w:hAnsi="Calibri" w:cs="Calibri"/>
                <w:b/>
                <w:bCs/>
                <w:sz w:val="20"/>
                <w:szCs w:val="20"/>
              </w:rPr>
              <w:t>Clinic schedule management</w:t>
            </w:r>
          </w:p>
        </w:tc>
        <w:tc>
          <w:tcPr>
            <w:tcW w:w="1727" w:type="pct"/>
            <w:tcBorders>
              <w:top w:val="dotted" w:sz="4" w:space="0" w:color="7F7F7F" w:themeColor="text1" w:themeTint="80"/>
              <w:left w:val="single" w:sz="4" w:space="0" w:color="7F7F7F" w:themeColor="text1" w:themeTint="80"/>
              <w:bottom w:val="dotted" w:sz="4" w:space="0" w:color="7F7F7F" w:themeColor="text1" w:themeTint="80"/>
              <w:right w:val="single" w:sz="4" w:space="0" w:color="7F7F7F" w:themeColor="text1" w:themeTint="80"/>
            </w:tcBorders>
            <w:hideMark/>
          </w:tcPr>
          <w:p w14:paraId="4D412EA4" w14:textId="77777777" w:rsidR="00434810" w:rsidRPr="00EA3458" w:rsidRDefault="00434810" w:rsidP="007E3DC8">
            <w:pPr>
              <w:pStyle w:val="ListParagraph"/>
              <w:numPr>
                <w:ilvl w:val="0"/>
                <w:numId w:val="3"/>
              </w:numPr>
              <w:spacing w:after="0" w:line="240" w:lineRule="auto"/>
              <w:jc w:val="left"/>
              <w:rPr>
                <w:rFonts w:eastAsiaTheme="minorEastAsia"/>
                <w:sz w:val="20"/>
                <w:szCs w:val="20"/>
              </w:rPr>
            </w:pPr>
            <w:r w:rsidRPr="00EA3458">
              <w:rPr>
                <w:rFonts w:ascii="Calibri" w:eastAsia="Calibri" w:hAnsi="Calibri" w:cs="Calibri"/>
                <w:sz w:val="20"/>
                <w:szCs w:val="20"/>
              </w:rPr>
              <w:t>Appointment booking and management for initial and subsequent visits</w:t>
            </w:r>
          </w:p>
          <w:p w14:paraId="58A7248A" w14:textId="77777777" w:rsidR="00434810" w:rsidRPr="00EA3458" w:rsidRDefault="00434810" w:rsidP="007E3DC8">
            <w:pPr>
              <w:pStyle w:val="ListParagraph"/>
              <w:numPr>
                <w:ilvl w:val="0"/>
                <w:numId w:val="3"/>
              </w:numPr>
              <w:spacing w:after="0" w:line="240" w:lineRule="auto"/>
              <w:jc w:val="left"/>
              <w:rPr>
                <w:rFonts w:eastAsiaTheme="minorEastAsia"/>
                <w:sz w:val="20"/>
                <w:szCs w:val="20"/>
              </w:rPr>
            </w:pPr>
            <w:r w:rsidRPr="00EA3458">
              <w:rPr>
                <w:rFonts w:ascii="Calibri" w:eastAsia="Calibri" w:hAnsi="Calibri" w:cs="Calibri"/>
                <w:sz w:val="20"/>
                <w:szCs w:val="20"/>
              </w:rPr>
              <w:t>Staff allocation and clinic structure</w:t>
            </w:r>
          </w:p>
          <w:p w14:paraId="1F31AF9B" w14:textId="6FAF2B4B" w:rsidR="00434810" w:rsidRPr="00EA3458" w:rsidRDefault="00434810" w:rsidP="007E3DC8">
            <w:pPr>
              <w:pStyle w:val="ListParagraph"/>
              <w:numPr>
                <w:ilvl w:val="0"/>
                <w:numId w:val="3"/>
              </w:numPr>
              <w:spacing w:after="0" w:line="240" w:lineRule="auto"/>
              <w:jc w:val="left"/>
              <w:rPr>
                <w:rFonts w:eastAsiaTheme="minorEastAsia"/>
                <w:sz w:val="20"/>
                <w:szCs w:val="20"/>
              </w:rPr>
            </w:pPr>
            <w:r w:rsidRPr="00EA3458">
              <w:rPr>
                <w:rFonts w:ascii="Calibri" w:eastAsia="Calibri" w:hAnsi="Calibri" w:cs="Calibri"/>
                <w:sz w:val="20"/>
                <w:szCs w:val="20"/>
              </w:rPr>
              <w:t xml:space="preserve">The need to operate parallel clinics for </w:t>
            </w:r>
            <w:r w:rsidR="001E5DF0" w:rsidRPr="00EA3458">
              <w:rPr>
                <w:rFonts w:ascii="Calibri" w:eastAsia="Calibri" w:hAnsi="Calibri" w:cs="Calibri"/>
                <w:sz w:val="20"/>
                <w:szCs w:val="20"/>
              </w:rPr>
              <w:t>long acting</w:t>
            </w:r>
            <w:r w:rsidRPr="00EA3458">
              <w:rPr>
                <w:rFonts w:ascii="Calibri" w:eastAsia="Calibri" w:hAnsi="Calibri" w:cs="Calibri"/>
                <w:sz w:val="20"/>
                <w:szCs w:val="20"/>
              </w:rPr>
              <w:t xml:space="preserve"> and sublingual </w:t>
            </w:r>
            <w:r w:rsidR="00441126" w:rsidRPr="00EA3458">
              <w:rPr>
                <w:rFonts w:ascii="Calibri" w:eastAsia="Calibri" w:hAnsi="Calibri" w:cs="Calibri"/>
                <w:sz w:val="20"/>
                <w:szCs w:val="20"/>
              </w:rPr>
              <w:t>consumer</w:t>
            </w:r>
            <w:r w:rsidRPr="00EA3458">
              <w:rPr>
                <w:rFonts w:ascii="Calibri" w:eastAsia="Calibri" w:hAnsi="Calibri" w:cs="Calibri"/>
                <w:sz w:val="20"/>
                <w:szCs w:val="20"/>
              </w:rPr>
              <w:t>s</w:t>
            </w:r>
          </w:p>
        </w:tc>
        <w:tc>
          <w:tcPr>
            <w:tcW w:w="2613" w:type="pct"/>
            <w:tcBorders>
              <w:top w:val="dotted" w:sz="4" w:space="0" w:color="7F7F7F" w:themeColor="text1" w:themeTint="80"/>
              <w:left w:val="single" w:sz="4" w:space="0" w:color="7F7F7F" w:themeColor="text1" w:themeTint="80"/>
              <w:bottom w:val="dotted" w:sz="4" w:space="0" w:color="7F7F7F" w:themeColor="text1" w:themeTint="80"/>
              <w:right w:val="single" w:sz="4" w:space="0" w:color="7F7F7F" w:themeColor="text1" w:themeTint="80"/>
            </w:tcBorders>
            <w:hideMark/>
          </w:tcPr>
          <w:p w14:paraId="502A8F3F" w14:textId="77777777" w:rsidR="00434810" w:rsidRPr="00EA3458" w:rsidRDefault="00434810" w:rsidP="007E3DC8">
            <w:pPr>
              <w:pStyle w:val="ListParagraph"/>
              <w:numPr>
                <w:ilvl w:val="0"/>
                <w:numId w:val="3"/>
              </w:numPr>
              <w:spacing w:after="0" w:line="240" w:lineRule="auto"/>
              <w:jc w:val="left"/>
              <w:rPr>
                <w:rFonts w:eastAsiaTheme="minorEastAsia"/>
                <w:sz w:val="20"/>
                <w:szCs w:val="20"/>
              </w:rPr>
            </w:pPr>
            <w:r w:rsidRPr="00EA3458">
              <w:rPr>
                <w:rFonts w:ascii="Calibri" w:eastAsia="Calibri" w:hAnsi="Calibri" w:cs="Calibri"/>
                <w:sz w:val="20"/>
                <w:szCs w:val="20"/>
              </w:rPr>
              <w:t xml:space="preserve">Dedicated clinics vs integrated or ad hoc, flexible clinics </w:t>
            </w:r>
          </w:p>
        </w:tc>
      </w:tr>
      <w:tr w:rsidR="00434810" w:rsidRPr="00EA3458" w14:paraId="33CEF1FC" w14:textId="77777777" w:rsidTr="00CE03C3">
        <w:trPr>
          <w:trHeight w:val="170"/>
        </w:trPr>
        <w:tc>
          <w:tcPr>
            <w:tcW w:w="660" w:type="pct"/>
            <w:tcBorders>
              <w:top w:val="dotted" w:sz="4" w:space="0" w:color="7F7F7F" w:themeColor="text1" w:themeTint="80"/>
              <w:left w:val="single" w:sz="4" w:space="0" w:color="7F7F7F" w:themeColor="text1" w:themeTint="80"/>
              <w:bottom w:val="dotted" w:sz="4" w:space="0" w:color="7F7F7F" w:themeColor="text1" w:themeTint="80"/>
              <w:right w:val="single" w:sz="4" w:space="0" w:color="7F7F7F" w:themeColor="text1" w:themeTint="80"/>
            </w:tcBorders>
            <w:hideMark/>
          </w:tcPr>
          <w:p w14:paraId="4E54E496" w14:textId="77777777" w:rsidR="00434810" w:rsidRPr="00EA3458" w:rsidRDefault="00434810" w:rsidP="00205455">
            <w:pPr>
              <w:spacing w:after="0"/>
              <w:jc w:val="left"/>
              <w:rPr>
                <w:rFonts w:ascii="Calibri" w:eastAsia="Calibri" w:hAnsi="Calibri" w:cs="Calibri"/>
                <w:sz w:val="20"/>
                <w:szCs w:val="20"/>
              </w:rPr>
            </w:pPr>
            <w:r w:rsidRPr="00EA3458">
              <w:rPr>
                <w:rFonts w:ascii="Calibri" w:eastAsia="Calibri" w:hAnsi="Calibri" w:cs="Calibri"/>
                <w:b/>
                <w:bCs/>
                <w:sz w:val="20"/>
                <w:szCs w:val="20"/>
              </w:rPr>
              <w:t>Staff resourcing</w:t>
            </w:r>
          </w:p>
        </w:tc>
        <w:tc>
          <w:tcPr>
            <w:tcW w:w="1727" w:type="pct"/>
            <w:tcBorders>
              <w:top w:val="dotted" w:sz="4" w:space="0" w:color="7F7F7F" w:themeColor="text1" w:themeTint="80"/>
              <w:left w:val="single" w:sz="4" w:space="0" w:color="7F7F7F" w:themeColor="text1" w:themeTint="80"/>
              <w:bottom w:val="dotted" w:sz="4" w:space="0" w:color="7F7F7F" w:themeColor="text1" w:themeTint="80"/>
              <w:right w:val="single" w:sz="4" w:space="0" w:color="7F7F7F" w:themeColor="text1" w:themeTint="80"/>
            </w:tcBorders>
            <w:hideMark/>
          </w:tcPr>
          <w:p w14:paraId="29D23EA9" w14:textId="77777777" w:rsidR="00434810" w:rsidRPr="00EA3458" w:rsidRDefault="00434810" w:rsidP="007E3DC8">
            <w:pPr>
              <w:pStyle w:val="ListParagraph"/>
              <w:numPr>
                <w:ilvl w:val="0"/>
                <w:numId w:val="3"/>
              </w:numPr>
              <w:spacing w:after="0" w:line="240" w:lineRule="auto"/>
              <w:jc w:val="left"/>
              <w:rPr>
                <w:rFonts w:eastAsiaTheme="minorEastAsia"/>
                <w:sz w:val="20"/>
                <w:szCs w:val="20"/>
              </w:rPr>
            </w:pPr>
            <w:r w:rsidRPr="00EA3458">
              <w:rPr>
                <w:rFonts w:ascii="Calibri" w:eastAsia="Calibri" w:hAnsi="Calibri" w:cs="Calibri"/>
                <w:sz w:val="20"/>
                <w:szCs w:val="20"/>
              </w:rPr>
              <w:t>Study drug management (for more frequent deliveries)</w:t>
            </w:r>
          </w:p>
          <w:p w14:paraId="01BAB004" w14:textId="77777777" w:rsidR="00434810" w:rsidRPr="00EA3458" w:rsidRDefault="00434810" w:rsidP="007E3DC8">
            <w:pPr>
              <w:pStyle w:val="ListParagraph"/>
              <w:numPr>
                <w:ilvl w:val="0"/>
                <w:numId w:val="3"/>
              </w:numPr>
              <w:spacing w:after="0" w:line="240" w:lineRule="auto"/>
              <w:jc w:val="left"/>
              <w:rPr>
                <w:rFonts w:eastAsiaTheme="minorEastAsia"/>
                <w:sz w:val="20"/>
                <w:szCs w:val="20"/>
              </w:rPr>
            </w:pPr>
            <w:r w:rsidRPr="00EA3458">
              <w:rPr>
                <w:rFonts w:ascii="Calibri" w:eastAsia="Calibri" w:hAnsi="Calibri" w:cs="Calibri"/>
                <w:sz w:val="20"/>
                <w:szCs w:val="20"/>
              </w:rPr>
              <w:t>Utilisation of freed up resources</w:t>
            </w:r>
          </w:p>
        </w:tc>
        <w:tc>
          <w:tcPr>
            <w:tcW w:w="2613" w:type="pct"/>
            <w:tcBorders>
              <w:top w:val="dotted" w:sz="4" w:space="0" w:color="7F7F7F" w:themeColor="text1" w:themeTint="80"/>
              <w:left w:val="single" w:sz="4" w:space="0" w:color="7F7F7F" w:themeColor="text1" w:themeTint="80"/>
              <w:bottom w:val="dotted" w:sz="4" w:space="0" w:color="7F7F7F" w:themeColor="text1" w:themeTint="80"/>
              <w:right w:val="single" w:sz="4" w:space="0" w:color="7F7F7F" w:themeColor="text1" w:themeTint="80"/>
            </w:tcBorders>
            <w:hideMark/>
          </w:tcPr>
          <w:p w14:paraId="71FF3C07" w14:textId="77777777" w:rsidR="00434810" w:rsidRPr="00EA3458" w:rsidRDefault="00434810" w:rsidP="007E3DC8">
            <w:pPr>
              <w:pStyle w:val="ListParagraph"/>
              <w:numPr>
                <w:ilvl w:val="0"/>
                <w:numId w:val="3"/>
              </w:numPr>
              <w:spacing w:after="0" w:line="240" w:lineRule="auto"/>
              <w:jc w:val="left"/>
              <w:rPr>
                <w:rFonts w:eastAsiaTheme="minorEastAsia"/>
                <w:sz w:val="20"/>
                <w:szCs w:val="20"/>
              </w:rPr>
            </w:pPr>
            <w:r w:rsidRPr="00EA3458">
              <w:rPr>
                <w:rFonts w:ascii="Calibri" w:eastAsia="Calibri" w:hAnsi="Calibri" w:cs="Calibri"/>
                <w:sz w:val="20"/>
                <w:szCs w:val="20"/>
              </w:rPr>
              <w:t xml:space="preserve">Distribution of tasks among teams </w:t>
            </w:r>
          </w:p>
          <w:p w14:paraId="67AEC9AF" w14:textId="77777777" w:rsidR="00434810" w:rsidRPr="00EA3458" w:rsidRDefault="00434810" w:rsidP="007E3DC8">
            <w:pPr>
              <w:pStyle w:val="ListParagraph"/>
              <w:numPr>
                <w:ilvl w:val="0"/>
                <w:numId w:val="3"/>
              </w:numPr>
              <w:spacing w:after="0" w:line="240" w:lineRule="auto"/>
              <w:jc w:val="left"/>
              <w:rPr>
                <w:rFonts w:eastAsiaTheme="minorEastAsia"/>
                <w:sz w:val="20"/>
                <w:szCs w:val="20"/>
              </w:rPr>
            </w:pPr>
            <w:r w:rsidRPr="00EA3458">
              <w:rPr>
                <w:rFonts w:ascii="Calibri" w:eastAsia="Calibri" w:hAnsi="Calibri" w:cs="Calibri"/>
                <w:sz w:val="20"/>
                <w:szCs w:val="20"/>
              </w:rPr>
              <w:t xml:space="preserve">Allocation of dedicated tasks to certain personnel </w:t>
            </w:r>
          </w:p>
          <w:p w14:paraId="377C3A22" w14:textId="77777777" w:rsidR="00434810" w:rsidRPr="00EA3458" w:rsidRDefault="00434810" w:rsidP="00205455">
            <w:pPr>
              <w:spacing w:after="0"/>
              <w:jc w:val="left"/>
              <w:rPr>
                <w:rFonts w:ascii="Calibri" w:eastAsia="Calibri" w:hAnsi="Calibri" w:cs="Calibri"/>
                <w:sz w:val="20"/>
                <w:szCs w:val="20"/>
              </w:rPr>
            </w:pPr>
            <w:r w:rsidRPr="00EA3458">
              <w:rPr>
                <w:rFonts w:ascii="Calibri" w:eastAsia="Calibri" w:hAnsi="Calibri" w:cs="Calibri"/>
                <w:sz w:val="20"/>
                <w:szCs w:val="20"/>
              </w:rPr>
              <w:t xml:space="preserve"> </w:t>
            </w:r>
          </w:p>
        </w:tc>
      </w:tr>
      <w:tr w:rsidR="00434810" w:rsidRPr="00EA3458" w14:paraId="737534DB" w14:textId="77777777" w:rsidTr="00CE03C3">
        <w:trPr>
          <w:trHeight w:val="170"/>
        </w:trPr>
        <w:tc>
          <w:tcPr>
            <w:tcW w:w="660" w:type="pct"/>
            <w:tcBorders>
              <w:top w:val="dotted" w:sz="4" w:space="0" w:color="7F7F7F" w:themeColor="text1" w:themeTint="80"/>
              <w:left w:val="single" w:sz="4" w:space="0" w:color="7F7F7F" w:themeColor="text1" w:themeTint="80"/>
              <w:bottom w:val="dotted" w:sz="4" w:space="0" w:color="7F7F7F" w:themeColor="text1" w:themeTint="80"/>
              <w:right w:val="single" w:sz="4" w:space="0" w:color="7F7F7F" w:themeColor="text1" w:themeTint="80"/>
            </w:tcBorders>
            <w:hideMark/>
          </w:tcPr>
          <w:p w14:paraId="25261CE7" w14:textId="23E71D41" w:rsidR="00434810" w:rsidRPr="00EA3458" w:rsidRDefault="00434810" w:rsidP="00205455">
            <w:pPr>
              <w:spacing w:after="0"/>
              <w:jc w:val="left"/>
              <w:rPr>
                <w:rFonts w:ascii="Calibri" w:eastAsia="Calibri" w:hAnsi="Calibri" w:cs="Calibri"/>
                <w:sz w:val="20"/>
                <w:szCs w:val="20"/>
              </w:rPr>
            </w:pPr>
            <w:r w:rsidRPr="00EA3458">
              <w:rPr>
                <w:rFonts w:ascii="Calibri" w:eastAsia="Calibri" w:hAnsi="Calibri" w:cs="Calibri"/>
                <w:b/>
                <w:bCs/>
                <w:sz w:val="20"/>
                <w:szCs w:val="20"/>
              </w:rPr>
              <w:t xml:space="preserve">Drug supply chain, </w:t>
            </w:r>
            <w:r w:rsidR="001E5DF0" w:rsidRPr="00EA3458">
              <w:rPr>
                <w:rFonts w:ascii="Calibri" w:eastAsia="Calibri" w:hAnsi="Calibri" w:cs="Calibri"/>
                <w:b/>
                <w:bCs/>
                <w:sz w:val="20"/>
                <w:szCs w:val="20"/>
              </w:rPr>
              <w:t>storage,</w:t>
            </w:r>
            <w:r w:rsidRPr="00EA3458">
              <w:rPr>
                <w:rFonts w:ascii="Calibri" w:eastAsia="Calibri" w:hAnsi="Calibri" w:cs="Calibri"/>
                <w:b/>
                <w:bCs/>
                <w:sz w:val="20"/>
                <w:szCs w:val="20"/>
              </w:rPr>
              <w:t xml:space="preserve"> and management</w:t>
            </w:r>
          </w:p>
        </w:tc>
        <w:tc>
          <w:tcPr>
            <w:tcW w:w="1727" w:type="pct"/>
            <w:tcBorders>
              <w:top w:val="dotted" w:sz="4" w:space="0" w:color="7F7F7F" w:themeColor="text1" w:themeTint="80"/>
              <w:left w:val="single" w:sz="4" w:space="0" w:color="7F7F7F" w:themeColor="text1" w:themeTint="80"/>
              <w:bottom w:val="dotted" w:sz="4" w:space="0" w:color="7F7F7F" w:themeColor="text1" w:themeTint="80"/>
              <w:right w:val="single" w:sz="4" w:space="0" w:color="7F7F7F" w:themeColor="text1" w:themeTint="80"/>
            </w:tcBorders>
            <w:hideMark/>
          </w:tcPr>
          <w:p w14:paraId="422F80EA" w14:textId="77777777" w:rsidR="00434810" w:rsidRPr="00EA3458" w:rsidRDefault="00434810" w:rsidP="007E3DC8">
            <w:pPr>
              <w:pStyle w:val="ListParagraph"/>
              <w:numPr>
                <w:ilvl w:val="0"/>
                <w:numId w:val="3"/>
              </w:numPr>
              <w:spacing w:after="0" w:line="240" w:lineRule="auto"/>
              <w:jc w:val="left"/>
              <w:rPr>
                <w:rFonts w:eastAsiaTheme="minorEastAsia"/>
                <w:sz w:val="20"/>
                <w:szCs w:val="20"/>
              </w:rPr>
            </w:pPr>
            <w:r w:rsidRPr="00EA3458">
              <w:rPr>
                <w:rFonts w:ascii="Calibri" w:eastAsia="Calibri" w:hAnsi="Calibri" w:cs="Calibri"/>
                <w:sz w:val="20"/>
                <w:szCs w:val="20"/>
              </w:rPr>
              <w:t>Delivery schedule</w:t>
            </w:r>
          </w:p>
          <w:p w14:paraId="33717749" w14:textId="77777777" w:rsidR="00434810" w:rsidRPr="00EA3458" w:rsidRDefault="00434810" w:rsidP="007E3DC8">
            <w:pPr>
              <w:pStyle w:val="ListParagraph"/>
              <w:numPr>
                <w:ilvl w:val="0"/>
                <w:numId w:val="3"/>
              </w:numPr>
              <w:spacing w:after="0" w:line="240" w:lineRule="auto"/>
              <w:jc w:val="left"/>
              <w:rPr>
                <w:rFonts w:eastAsiaTheme="minorEastAsia"/>
                <w:sz w:val="20"/>
                <w:szCs w:val="20"/>
              </w:rPr>
            </w:pPr>
            <w:r w:rsidRPr="00EA3458">
              <w:rPr>
                <w:rFonts w:ascii="Calibri" w:eastAsia="Calibri" w:hAnsi="Calibri" w:cs="Calibri"/>
                <w:sz w:val="20"/>
                <w:szCs w:val="20"/>
              </w:rPr>
              <w:t>Drug storage location, S8 compliance</w:t>
            </w:r>
          </w:p>
          <w:p w14:paraId="22FA030A" w14:textId="77777777" w:rsidR="00434810" w:rsidRPr="00EA3458" w:rsidRDefault="00434810" w:rsidP="007E3DC8">
            <w:pPr>
              <w:pStyle w:val="ListParagraph"/>
              <w:numPr>
                <w:ilvl w:val="0"/>
                <w:numId w:val="3"/>
              </w:numPr>
              <w:spacing w:after="0" w:line="240" w:lineRule="auto"/>
              <w:jc w:val="left"/>
              <w:rPr>
                <w:rFonts w:eastAsiaTheme="minorEastAsia"/>
                <w:sz w:val="20"/>
                <w:szCs w:val="20"/>
              </w:rPr>
            </w:pPr>
            <w:r w:rsidRPr="00EA3458">
              <w:rPr>
                <w:rFonts w:ascii="Calibri" w:eastAsia="Calibri" w:hAnsi="Calibri" w:cs="Calibri"/>
                <w:sz w:val="20"/>
                <w:szCs w:val="20"/>
              </w:rPr>
              <w:t>Waste management and destruction</w:t>
            </w:r>
          </w:p>
          <w:p w14:paraId="6C53501A" w14:textId="77777777" w:rsidR="00434810" w:rsidRPr="00EA3458" w:rsidRDefault="00434810" w:rsidP="007E3DC8">
            <w:pPr>
              <w:pStyle w:val="ListParagraph"/>
              <w:numPr>
                <w:ilvl w:val="0"/>
                <w:numId w:val="3"/>
              </w:numPr>
              <w:spacing w:after="0" w:line="240" w:lineRule="auto"/>
              <w:jc w:val="left"/>
              <w:rPr>
                <w:rFonts w:eastAsiaTheme="minorEastAsia"/>
                <w:sz w:val="20"/>
                <w:szCs w:val="20"/>
              </w:rPr>
            </w:pPr>
            <w:r w:rsidRPr="00EA3458">
              <w:rPr>
                <w:rFonts w:ascii="Calibri" w:eastAsia="Calibri" w:hAnsi="Calibri" w:cs="Calibri"/>
                <w:sz w:val="20"/>
                <w:szCs w:val="20"/>
              </w:rPr>
              <w:t>Accountability</w:t>
            </w:r>
          </w:p>
        </w:tc>
        <w:tc>
          <w:tcPr>
            <w:tcW w:w="2613" w:type="pct"/>
            <w:tcBorders>
              <w:top w:val="dotted" w:sz="4" w:space="0" w:color="7F7F7F" w:themeColor="text1" w:themeTint="80"/>
              <w:left w:val="single" w:sz="4" w:space="0" w:color="7F7F7F" w:themeColor="text1" w:themeTint="80"/>
              <w:bottom w:val="dotted" w:sz="4" w:space="0" w:color="7F7F7F" w:themeColor="text1" w:themeTint="80"/>
              <w:right w:val="single" w:sz="4" w:space="0" w:color="7F7F7F" w:themeColor="text1" w:themeTint="80"/>
            </w:tcBorders>
            <w:hideMark/>
          </w:tcPr>
          <w:p w14:paraId="5334DB7F" w14:textId="77777777" w:rsidR="00434810" w:rsidRPr="00EA3458" w:rsidRDefault="00434810" w:rsidP="007E3DC8">
            <w:pPr>
              <w:pStyle w:val="ListParagraph"/>
              <w:numPr>
                <w:ilvl w:val="0"/>
                <w:numId w:val="3"/>
              </w:numPr>
              <w:spacing w:after="0" w:line="240" w:lineRule="auto"/>
              <w:jc w:val="left"/>
              <w:rPr>
                <w:rFonts w:eastAsiaTheme="minorEastAsia"/>
                <w:sz w:val="20"/>
                <w:szCs w:val="20"/>
              </w:rPr>
            </w:pPr>
            <w:r w:rsidRPr="00EA3458">
              <w:rPr>
                <w:rFonts w:ascii="Calibri" w:eastAsia="Calibri" w:hAnsi="Calibri" w:cs="Calibri"/>
                <w:sz w:val="20"/>
                <w:szCs w:val="20"/>
              </w:rPr>
              <w:t>Community pharmacy, hospital pharmacy, on-site clinic storage models</w:t>
            </w:r>
          </w:p>
          <w:p w14:paraId="2DD58043" w14:textId="77777777" w:rsidR="00434810" w:rsidRPr="00EA3458" w:rsidRDefault="00434810" w:rsidP="007E3DC8">
            <w:pPr>
              <w:pStyle w:val="ListParagraph"/>
              <w:numPr>
                <w:ilvl w:val="0"/>
                <w:numId w:val="3"/>
              </w:numPr>
              <w:spacing w:after="0" w:line="240" w:lineRule="auto"/>
              <w:jc w:val="left"/>
              <w:rPr>
                <w:rFonts w:eastAsiaTheme="minorEastAsia"/>
                <w:sz w:val="20"/>
                <w:szCs w:val="20"/>
              </w:rPr>
            </w:pPr>
            <w:r w:rsidRPr="00EA3458">
              <w:rPr>
                <w:rFonts w:ascii="Calibri" w:eastAsia="Calibri" w:hAnsi="Calibri" w:cs="Calibri"/>
                <w:sz w:val="20"/>
                <w:szCs w:val="20"/>
              </w:rPr>
              <w:t>Coordination between distributor, storage location and clinic site (including intra-service movements)</w:t>
            </w:r>
          </w:p>
          <w:p w14:paraId="72A65E1B" w14:textId="77777777" w:rsidR="00434810" w:rsidRPr="00EA3458" w:rsidRDefault="00434810" w:rsidP="007E3DC8">
            <w:pPr>
              <w:pStyle w:val="ListParagraph"/>
              <w:numPr>
                <w:ilvl w:val="0"/>
                <w:numId w:val="3"/>
              </w:numPr>
              <w:spacing w:after="0" w:line="240" w:lineRule="auto"/>
              <w:jc w:val="left"/>
              <w:rPr>
                <w:rFonts w:eastAsiaTheme="minorEastAsia"/>
                <w:sz w:val="20"/>
                <w:szCs w:val="20"/>
              </w:rPr>
            </w:pPr>
            <w:r w:rsidRPr="00EA3458">
              <w:rPr>
                <w:rFonts w:ascii="Calibri" w:eastAsia="Calibri" w:hAnsi="Calibri" w:cs="Calibri"/>
                <w:sz w:val="20"/>
                <w:szCs w:val="20"/>
              </w:rPr>
              <w:t xml:space="preserve">Fridge vs safe, and impact on clinic schedule, recruitment, retention, product wastage </w:t>
            </w:r>
          </w:p>
        </w:tc>
      </w:tr>
      <w:tr w:rsidR="00434810" w:rsidRPr="00EA3458" w14:paraId="1E792B86" w14:textId="77777777" w:rsidTr="00CE03C3">
        <w:trPr>
          <w:trHeight w:val="170"/>
        </w:trPr>
        <w:tc>
          <w:tcPr>
            <w:tcW w:w="660" w:type="pct"/>
            <w:tcBorders>
              <w:top w:val="dotted" w:sz="4" w:space="0" w:color="7F7F7F" w:themeColor="text1" w:themeTint="80"/>
              <w:left w:val="single" w:sz="4" w:space="0" w:color="7F7F7F" w:themeColor="text1" w:themeTint="80"/>
              <w:bottom w:val="dotted" w:sz="4" w:space="0" w:color="7F7F7F" w:themeColor="text1" w:themeTint="80"/>
              <w:right w:val="single" w:sz="4" w:space="0" w:color="7F7F7F" w:themeColor="text1" w:themeTint="80"/>
            </w:tcBorders>
            <w:hideMark/>
          </w:tcPr>
          <w:p w14:paraId="7279A9EB" w14:textId="4C673E1C" w:rsidR="00434810" w:rsidRPr="00EA3458" w:rsidRDefault="00434810" w:rsidP="00205455">
            <w:pPr>
              <w:spacing w:after="0"/>
              <w:jc w:val="left"/>
              <w:rPr>
                <w:rFonts w:ascii="Calibri" w:eastAsia="Calibri" w:hAnsi="Calibri" w:cs="Calibri"/>
                <w:sz w:val="20"/>
                <w:szCs w:val="20"/>
              </w:rPr>
            </w:pPr>
            <w:r w:rsidRPr="00EA3458">
              <w:rPr>
                <w:rFonts w:ascii="Calibri" w:eastAsia="Calibri" w:hAnsi="Calibri" w:cs="Calibri"/>
                <w:b/>
                <w:bCs/>
                <w:sz w:val="20"/>
                <w:szCs w:val="20"/>
              </w:rPr>
              <w:t xml:space="preserve">Managing </w:t>
            </w:r>
            <w:r w:rsidR="00441126" w:rsidRPr="00EA3458">
              <w:rPr>
                <w:rFonts w:ascii="Calibri" w:eastAsia="Calibri" w:hAnsi="Calibri" w:cs="Calibri"/>
                <w:b/>
                <w:bCs/>
                <w:sz w:val="20"/>
                <w:szCs w:val="20"/>
              </w:rPr>
              <w:t>consumer</w:t>
            </w:r>
            <w:r w:rsidRPr="00EA3458">
              <w:rPr>
                <w:rFonts w:ascii="Calibri" w:eastAsia="Calibri" w:hAnsi="Calibri" w:cs="Calibri"/>
                <w:b/>
                <w:bCs/>
                <w:sz w:val="20"/>
                <w:szCs w:val="20"/>
              </w:rPr>
              <w:t xml:space="preserve"> expectations and concerns:</w:t>
            </w:r>
          </w:p>
          <w:p w14:paraId="4078A005" w14:textId="77777777" w:rsidR="00434810" w:rsidRPr="00EA3458" w:rsidRDefault="00434810" w:rsidP="00205455">
            <w:pPr>
              <w:spacing w:after="0"/>
              <w:jc w:val="left"/>
              <w:rPr>
                <w:rFonts w:ascii="Calibri" w:eastAsia="Calibri" w:hAnsi="Calibri" w:cs="Calibri"/>
                <w:sz w:val="20"/>
                <w:szCs w:val="20"/>
              </w:rPr>
            </w:pPr>
            <w:r w:rsidRPr="00EA3458">
              <w:rPr>
                <w:rFonts w:ascii="Calibri" w:eastAsia="Calibri" w:hAnsi="Calibri" w:cs="Calibri"/>
                <w:b/>
                <w:bCs/>
                <w:sz w:val="20"/>
                <w:szCs w:val="20"/>
              </w:rPr>
              <w:t xml:space="preserve"> </w:t>
            </w:r>
          </w:p>
        </w:tc>
        <w:tc>
          <w:tcPr>
            <w:tcW w:w="1727" w:type="pct"/>
            <w:tcBorders>
              <w:top w:val="dotted" w:sz="4" w:space="0" w:color="7F7F7F" w:themeColor="text1" w:themeTint="80"/>
              <w:left w:val="single" w:sz="4" w:space="0" w:color="7F7F7F" w:themeColor="text1" w:themeTint="80"/>
              <w:bottom w:val="dotted" w:sz="4" w:space="0" w:color="7F7F7F" w:themeColor="text1" w:themeTint="80"/>
              <w:right w:val="single" w:sz="4" w:space="0" w:color="7F7F7F" w:themeColor="text1" w:themeTint="80"/>
            </w:tcBorders>
            <w:hideMark/>
          </w:tcPr>
          <w:p w14:paraId="6E9FBF33" w14:textId="77777777" w:rsidR="00434810" w:rsidRPr="00EA3458" w:rsidRDefault="00434810" w:rsidP="007E3DC8">
            <w:pPr>
              <w:pStyle w:val="ListParagraph"/>
              <w:numPr>
                <w:ilvl w:val="0"/>
                <w:numId w:val="3"/>
              </w:numPr>
              <w:spacing w:after="0" w:line="240" w:lineRule="auto"/>
              <w:jc w:val="left"/>
              <w:rPr>
                <w:rFonts w:eastAsiaTheme="minorEastAsia"/>
                <w:sz w:val="20"/>
                <w:szCs w:val="20"/>
              </w:rPr>
            </w:pPr>
            <w:r w:rsidRPr="00EA3458">
              <w:rPr>
                <w:rFonts w:ascii="Calibri" w:eastAsia="Calibri" w:hAnsi="Calibri" w:cs="Calibri"/>
                <w:sz w:val="20"/>
                <w:szCs w:val="20"/>
              </w:rPr>
              <w:t>Lump</w:t>
            </w:r>
          </w:p>
          <w:p w14:paraId="0176EA23" w14:textId="77777777" w:rsidR="00434810" w:rsidRPr="00EA3458" w:rsidRDefault="00434810" w:rsidP="007E3DC8">
            <w:pPr>
              <w:pStyle w:val="ListParagraph"/>
              <w:numPr>
                <w:ilvl w:val="0"/>
                <w:numId w:val="3"/>
              </w:numPr>
              <w:spacing w:after="0" w:line="240" w:lineRule="auto"/>
              <w:jc w:val="left"/>
              <w:rPr>
                <w:rFonts w:eastAsiaTheme="minorEastAsia"/>
                <w:sz w:val="20"/>
                <w:szCs w:val="20"/>
              </w:rPr>
            </w:pPr>
            <w:r w:rsidRPr="00EA3458">
              <w:rPr>
                <w:rFonts w:ascii="Calibri" w:eastAsia="Calibri" w:hAnsi="Calibri" w:cs="Calibri"/>
                <w:sz w:val="20"/>
                <w:szCs w:val="20"/>
              </w:rPr>
              <w:t xml:space="preserve">Pain </w:t>
            </w:r>
          </w:p>
          <w:p w14:paraId="4A00F5B0" w14:textId="77777777" w:rsidR="00434810" w:rsidRPr="00EA3458" w:rsidRDefault="00434810" w:rsidP="007E3DC8">
            <w:pPr>
              <w:pStyle w:val="ListParagraph"/>
              <w:numPr>
                <w:ilvl w:val="0"/>
                <w:numId w:val="3"/>
              </w:numPr>
              <w:spacing w:after="0" w:line="240" w:lineRule="auto"/>
              <w:jc w:val="left"/>
              <w:rPr>
                <w:rFonts w:eastAsiaTheme="minorEastAsia"/>
                <w:sz w:val="20"/>
                <w:szCs w:val="20"/>
              </w:rPr>
            </w:pPr>
            <w:r w:rsidRPr="00EA3458">
              <w:rPr>
                <w:rFonts w:ascii="Calibri" w:eastAsia="Calibri" w:hAnsi="Calibri" w:cs="Calibri"/>
                <w:sz w:val="20"/>
                <w:szCs w:val="20"/>
              </w:rPr>
              <w:t>Withdrawal</w:t>
            </w:r>
          </w:p>
        </w:tc>
        <w:tc>
          <w:tcPr>
            <w:tcW w:w="2613" w:type="pct"/>
            <w:tcBorders>
              <w:top w:val="dotted" w:sz="4" w:space="0" w:color="7F7F7F" w:themeColor="text1" w:themeTint="80"/>
              <w:left w:val="single" w:sz="4" w:space="0" w:color="7F7F7F" w:themeColor="text1" w:themeTint="80"/>
              <w:bottom w:val="dotted" w:sz="4" w:space="0" w:color="7F7F7F" w:themeColor="text1" w:themeTint="80"/>
              <w:right w:val="single" w:sz="4" w:space="0" w:color="7F7F7F" w:themeColor="text1" w:themeTint="80"/>
            </w:tcBorders>
            <w:hideMark/>
          </w:tcPr>
          <w:p w14:paraId="21DE4AE4" w14:textId="77777777" w:rsidR="00434810" w:rsidRPr="00EA3458" w:rsidRDefault="00434810" w:rsidP="007E3DC8">
            <w:pPr>
              <w:pStyle w:val="ListParagraph"/>
              <w:numPr>
                <w:ilvl w:val="0"/>
                <w:numId w:val="3"/>
              </w:numPr>
              <w:spacing w:after="0" w:line="240" w:lineRule="auto"/>
              <w:jc w:val="left"/>
              <w:rPr>
                <w:rFonts w:eastAsiaTheme="minorEastAsia"/>
                <w:sz w:val="20"/>
                <w:szCs w:val="20"/>
              </w:rPr>
            </w:pPr>
            <w:r w:rsidRPr="00EA3458">
              <w:rPr>
                <w:rFonts w:ascii="Calibri" w:eastAsia="Calibri" w:hAnsi="Calibri" w:cs="Calibri"/>
                <w:sz w:val="20"/>
                <w:szCs w:val="20"/>
              </w:rPr>
              <w:t>Speed of injection</w:t>
            </w:r>
          </w:p>
          <w:p w14:paraId="67EBC59F" w14:textId="77777777" w:rsidR="00434810" w:rsidRPr="00EA3458" w:rsidRDefault="00434810" w:rsidP="007E3DC8">
            <w:pPr>
              <w:pStyle w:val="ListParagraph"/>
              <w:numPr>
                <w:ilvl w:val="0"/>
                <w:numId w:val="3"/>
              </w:numPr>
              <w:spacing w:after="0" w:line="240" w:lineRule="auto"/>
              <w:jc w:val="left"/>
              <w:rPr>
                <w:rFonts w:eastAsiaTheme="minorEastAsia"/>
                <w:sz w:val="20"/>
                <w:szCs w:val="20"/>
              </w:rPr>
            </w:pPr>
            <w:r w:rsidRPr="00EA3458">
              <w:rPr>
                <w:rFonts w:ascii="Calibri" w:eastAsia="Calibri" w:hAnsi="Calibri" w:cs="Calibri"/>
                <w:sz w:val="20"/>
                <w:szCs w:val="20"/>
              </w:rPr>
              <w:t xml:space="preserve">Application of ice pack at the injection site </w:t>
            </w:r>
          </w:p>
          <w:p w14:paraId="5B0958D3" w14:textId="77777777" w:rsidR="00434810" w:rsidRPr="00EA3458" w:rsidRDefault="00434810" w:rsidP="007E3DC8">
            <w:pPr>
              <w:pStyle w:val="ListParagraph"/>
              <w:numPr>
                <w:ilvl w:val="0"/>
                <w:numId w:val="3"/>
              </w:numPr>
              <w:spacing w:after="0" w:line="240" w:lineRule="auto"/>
              <w:jc w:val="left"/>
              <w:rPr>
                <w:rFonts w:eastAsiaTheme="minorEastAsia"/>
                <w:sz w:val="20"/>
                <w:szCs w:val="20"/>
              </w:rPr>
            </w:pPr>
            <w:r w:rsidRPr="00EA3458">
              <w:rPr>
                <w:rFonts w:ascii="Calibri" w:eastAsia="Calibri" w:hAnsi="Calibri" w:cs="Calibri"/>
                <w:sz w:val="20"/>
                <w:szCs w:val="20"/>
              </w:rPr>
              <w:t>Counselling</w:t>
            </w:r>
          </w:p>
          <w:p w14:paraId="10A17E5B" w14:textId="77777777" w:rsidR="00434810" w:rsidRPr="00EA3458" w:rsidRDefault="00434810" w:rsidP="007E3DC8">
            <w:pPr>
              <w:pStyle w:val="ListParagraph"/>
              <w:numPr>
                <w:ilvl w:val="0"/>
                <w:numId w:val="3"/>
              </w:numPr>
              <w:spacing w:after="0" w:line="240" w:lineRule="auto"/>
              <w:jc w:val="left"/>
              <w:rPr>
                <w:rFonts w:eastAsiaTheme="minorEastAsia"/>
                <w:sz w:val="20"/>
                <w:szCs w:val="20"/>
              </w:rPr>
            </w:pPr>
            <w:r w:rsidRPr="00EA3458">
              <w:rPr>
                <w:rFonts w:ascii="Calibri" w:eastAsia="Calibri" w:hAnsi="Calibri" w:cs="Calibri"/>
                <w:sz w:val="20"/>
                <w:szCs w:val="20"/>
              </w:rPr>
              <w:t xml:space="preserve">Sublingual top-up </w:t>
            </w:r>
          </w:p>
        </w:tc>
      </w:tr>
      <w:tr w:rsidR="00434810" w:rsidRPr="00EA3458" w14:paraId="34394084" w14:textId="77777777" w:rsidTr="00CE03C3">
        <w:trPr>
          <w:trHeight w:val="170"/>
        </w:trPr>
        <w:tc>
          <w:tcPr>
            <w:tcW w:w="660" w:type="pct"/>
            <w:tcBorders>
              <w:top w:val="dotted" w:sz="4" w:space="0" w:color="7F7F7F" w:themeColor="text1" w:themeTint="80"/>
              <w:left w:val="single" w:sz="4" w:space="0" w:color="7F7F7F" w:themeColor="text1" w:themeTint="80"/>
              <w:bottom w:val="dotted" w:sz="4" w:space="0" w:color="7F7F7F" w:themeColor="text1" w:themeTint="80"/>
              <w:right w:val="single" w:sz="4" w:space="0" w:color="7F7F7F" w:themeColor="text1" w:themeTint="80"/>
            </w:tcBorders>
            <w:hideMark/>
          </w:tcPr>
          <w:p w14:paraId="29876B94" w14:textId="77777777" w:rsidR="00434810" w:rsidRPr="00EA3458" w:rsidRDefault="00434810" w:rsidP="00205455">
            <w:pPr>
              <w:spacing w:after="0"/>
              <w:jc w:val="left"/>
              <w:rPr>
                <w:rFonts w:ascii="Calibri" w:eastAsia="Calibri" w:hAnsi="Calibri" w:cs="Calibri"/>
                <w:sz w:val="20"/>
                <w:szCs w:val="20"/>
              </w:rPr>
            </w:pPr>
            <w:r w:rsidRPr="00EA3458">
              <w:rPr>
                <w:rFonts w:ascii="Calibri" w:eastAsia="Calibri" w:hAnsi="Calibri" w:cs="Calibri"/>
                <w:b/>
                <w:bCs/>
                <w:sz w:val="20"/>
                <w:szCs w:val="20"/>
              </w:rPr>
              <w:t>Staff training requirements</w:t>
            </w:r>
          </w:p>
        </w:tc>
        <w:tc>
          <w:tcPr>
            <w:tcW w:w="1727" w:type="pct"/>
            <w:tcBorders>
              <w:top w:val="dotted" w:sz="4" w:space="0" w:color="7F7F7F" w:themeColor="text1" w:themeTint="80"/>
              <w:left w:val="single" w:sz="4" w:space="0" w:color="7F7F7F" w:themeColor="text1" w:themeTint="80"/>
              <w:bottom w:val="dotted" w:sz="4" w:space="0" w:color="7F7F7F" w:themeColor="text1" w:themeTint="80"/>
              <w:right w:val="single" w:sz="4" w:space="0" w:color="7F7F7F" w:themeColor="text1" w:themeTint="80"/>
            </w:tcBorders>
            <w:hideMark/>
          </w:tcPr>
          <w:p w14:paraId="4B36D393" w14:textId="77777777" w:rsidR="00434810" w:rsidRPr="00EA3458" w:rsidRDefault="00434810" w:rsidP="007E3DC8">
            <w:pPr>
              <w:pStyle w:val="ListParagraph"/>
              <w:numPr>
                <w:ilvl w:val="0"/>
                <w:numId w:val="3"/>
              </w:numPr>
              <w:spacing w:after="0" w:line="240" w:lineRule="auto"/>
              <w:jc w:val="left"/>
              <w:rPr>
                <w:rFonts w:eastAsiaTheme="minorEastAsia"/>
                <w:sz w:val="20"/>
                <w:szCs w:val="20"/>
              </w:rPr>
            </w:pPr>
            <w:r w:rsidRPr="00EA3458">
              <w:rPr>
                <w:rFonts w:ascii="Calibri" w:eastAsia="Calibri" w:hAnsi="Calibri" w:cs="Calibri"/>
                <w:sz w:val="20"/>
                <w:szCs w:val="20"/>
              </w:rPr>
              <w:t>Treatment administration, range of qualifications (General Practitioners, specialists, Nurse Practitioners)</w:t>
            </w:r>
          </w:p>
        </w:tc>
        <w:tc>
          <w:tcPr>
            <w:tcW w:w="2613" w:type="pct"/>
            <w:tcBorders>
              <w:top w:val="dotted" w:sz="4" w:space="0" w:color="7F7F7F" w:themeColor="text1" w:themeTint="80"/>
              <w:left w:val="single" w:sz="4" w:space="0" w:color="7F7F7F" w:themeColor="text1" w:themeTint="80"/>
              <w:bottom w:val="dotted" w:sz="4" w:space="0" w:color="7F7F7F" w:themeColor="text1" w:themeTint="80"/>
              <w:right w:val="single" w:sz="4" w:space="0" w:color="7F7F7F" w:themeColor="text1" w:themeTint="80"/>
            </w:tcBorders>
            <w:hideMark/>
          </w:tcPr>
          <w:p w14:paraId="115F7AD5" w14:textId="25F089B1" w:rsidR="00434810" w:rsidRPr="00EA3458" w:rsidRDefault="00434810" w:rsidP="007E3DC8">
            <w:pPr>
              <w:pStyle w:val="ListParagraph"/>
              <w:numPr>
                <w:ilvl w:val="0"/>
                <w:numId w:val="3"/>
              </w:numPr>
              <w:spacing w:after="0" w:line="240" w:lineRule="auto"/>
              <w:jc w:val="left"/>
              <w:rPr>
                <w:rFonts w:eastAsiaTheme="minorEastAsia"/>
                <w:sz w:val="20"/>
                <w:szCs w:val="20"/>
              </w:rPr>
            </w:pPr>
            <w:r w:rsidRPr="00EA3458">
              <w:rPr>
                <w:rFonts w:ascii="Calibri" w:eastAsia="Calibri" w:hAnsi="Calibri" w:cs="Calibri"/>
                <w:sz w:val="20"/>
                <w:szCs w:val="20"/>
              </w:rPr>
              <w:t xml:space="preserve">Study-specific training (including company product information) </w:t>
            </w:r>
          </w:p>
          <w:p w14:paraId="16F7FB59" w14:textId="77777777" w:rsidR="00434810" w:rsidRPr="00EA3458" w:rsidRDefault="00434810" w:rsidP="007E3DC8">
            <w:pPr>
              <w:pStyle w:val="ListParagraph"/>
              <w:numPr>
                <w:ilvl w:val="0"/>
                <w:numId w:val="3"/>
              </w:numPr>
              <w:spacing w:after="0" w:line="240" w:lineRule="auto"/>
              <w:jc w:val="left"/>
              <w:rPr>
                <w:rFonts w:eastAsiaTheme="minorEastAsia"/>
                <w:sz w:val="20"/>
                <w:szCs w:val="20"/>
              </w:rPr>
            </w:pPr>
            <w:r w:rsidRPr="00EA3458">
              <w:rPr>
                <w:rFonts w:ascii="Calibri" w:eastAsia="Calibri" w:hAnsi="Calibri" w:cs="Calibri"/>
                <w:sz w:val="20"/>
                <w:szCs w:val="20"/>
              </w:rPr>
              <w:t xml:space="preserve">Regular follow up and contact </w:t>
            </w:r>
          </w:p>
          <w:p w14:paraId="42724120" w14:textId="77777777" w:rsidR="00434810" w:rsidRPr="00EA3458" w:rsidRDefault="00434810" w:rsidP="007E3DC8">
            <w:pPr>
              <w:pStyle w:val="ListParagraph"/>
              <w:numPr>
                <w:ilvl w:val="0"/>
                <w:numId w:val="3"/>
              </w:numPr>
              <w:spacing w:after="0" w:line="240" w:lineRule="auto"/>
              <w:jc w:val="left"/>
              <w:rPr>
                <w:rFonts w:eastAsiaTheme="minorEastAsia"/>
                <w:sz w:val="20"/>
                <w:szCs w:val="20"/>
              </w:rPr>
            </w:pPr>
            <w:r w:rsidRPr="00EA3458">
              <w:rPr>
                <w:rFonts w:ascii="Calibri" w:eastAsia="Calibri" w:hAnsi="Calibri" w:cs="Calibri"/>
                <w:sz w:val="20"/>
                <w:szCs w:val="20"/>
              </w:rPr>
              <w:t xml:space="preserve">Monthly newsletters and monthly conference calls </w:t>
            </w:r>
          </w:p>
        </w:tc>
      </w:tr>
      <w:tr w:rsidR="00434810" w:rsidRPr="00EA3458" w14:paraId="2722B1DA" w14:textId="77777777" w:rsidTr="00CE03C3">
        <w:trPr>
          <w:trHeight w:val="170"/>
        </w:trPr>
        <w:tc>
          <w:tcPr>
            <w:tcW w:w="660" w:type="pct"/>
            <w:tcBorders>
              <w:top w:val="dotted"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14:paraId="136CE445" w14:textId="77777777" w:rsidR="00434810" w:rsidRPr="00EA3458" w:rsidRDefault="00434810" w:rsidP="00205455">
            <w:pPr>
              <w:spacing w:after="0"/>
              <w:jc w:val="left"/>
              <w:rPr>
                <w:rFonts w:ascii="Calibri" w:eastAsia="Calibri" w:hAnsi="Calibri" w:cs="Calibri"/>
                <w:sz w:val="20"/>
                <w:szCs w:val="20"/>
              </w:rPr>
            </w:pPr>
            <w:r w:rsidRPr="00EA3458">
              <w:rPr>
                <w:rFonts w:ascii="Calibri" w:eastAsia="Calibri" w:hAnsi="Calibri" w:cs="Calibri"/>
                <w:b/>
                <w:bCs/>
                <w:sz w:val="20"/>
                <w:szCs w:val="20"/>
              </w:rPr>
              <w:t xml:space="preserve">Managing adverse events </w:t>
            </w:r>
          </w:p>
        </w:tc>
        <w:tc>
          <w:tcPr>
            <w:tcW w:w="1727" w:type="pct"/>
            <w:tcBorders>
              <w:top w:val="dotted"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14:paraId="537DD626" w14:textId="6F6F13AC" w:rsidR="00434810" w:rsidRPr="00EA3458" w:rsidRDefault="00434810" w:rsidP="007E3DC8">
            <w:pPr>
              <w:pStyle w:val="ListParagraph"/>
              <w:numPr>
                <w:ilvl w:val="0"/>
                <w:numId w:val="3"/>
              </w:numPr>
              <w:spacing w:after="0" w:line="240" w:lineRule="auto"/>
              <w:jc w:val="left"/>
              <w:rPr>
                <w:rFonts w:eastAsiaTheme="minorEastAsia"/>
                <w:sz w:val="20"/>
                <w:szCs w:val="20"/>
              </w:rPr>
            </w:pPr>
            <w:r w:rsidRPr="00EA3458">
              <w:rPr>
                <w:rFonts w:ascii="Calibri" w:eastAsia="Calibri" w:hAnsi="Calibri" w:cs="Calibri"/>
                <w:sz w:val="20"/>
                <w:szCs w:val="20"/>
              </w:rPr>
              <w:t xml:space="preserve">Loss of frequent contact with </w:t>
            </w:r>
            <w:r w:rsidR="00441126" w:rsidRPr="00EA3458">
              <w:rPr>
                <w:rFonts w:ascii="Calibri" w:eastAsia="Calibri" w:hAnsi="Calibri" w:cs="Calibri"/>
                <w:sz w:val="20"/>
                <w:szCs w:val="20"/>
              </w:rPr>
              <w:t>consumer</w:t>
            </w:r>
            <w:r w:rsidRPr="00EA3458">
              <w:rPr>
                <w:rFonts w:ascii="Calibri" w:eastAsia="Calibri" w:hAnsi="Calibri" w:cs="Calibri"/>
                <w:sz w:val="20"/>
                <w:szCs w:val="20"/>
              </w:rPr>
              <w:t>s</w:t>
            </w:r>
          </w:p>
          <w:p w14:paraId="1D8D5AA8" w14:textId="77777777" w:rsidR="00434810" w:rsidRPr="00EA3458" w:rsidRDefault="00434810" w:rsidP="007E3DC8">
            <w:pPr>
              <w:pStyle w:val="ListParagraph"/>
              <w:numPr>
                <w:ilvl w:val="0"/>
                <w:numId w:val="3"/>
              </w:numPr>
              <w:spacing w:after="0" w:line="240" w:lineRule="auto"/>
              <w:jc w:val="left"/>
              <w:rPr>
                <w:rFonts w:eastAsiaTheme="minorEastAsia"/>
                <w:sz w:val="20"/>
                <w:szCs w:val="20"/>
              </w:rPr>
            </w:pPr>
            <w:r w:rsidRPr="00EA3458">
              <w:rPr>
                <w:rFonts w:ascii="Calibri" w:eastAsia="Calibri" w:hAnsi="Calibri" w:cs="Calibri"/>
                <w:sz w:val="20"/>
                <w:szCs w:val="20"/>
              </w:rPr>
              <w:t>Resources involved in managing AEs</w:t>
            </w:r>
          </w:p>
        </w:tc>
        <w:tc>
          <w:tcPr>
            <w:tcW w:w="2613" w:type="pct"/>
            <w:tcBorders>
              <w:top w:val="dotted"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14:paraId="52DB9341" w14:textId="77777777" w:rsidR="00434810" w:rsidRPr="00EA3458" w:rsidRDefault="00434810" w:rsidP="007E3DC8">
            <w:pPr>
              <w:pStyle w:val="ListParagraph"/>
              <w:numPr>
                <w:ilvl w:val="0"/>
                <w:numId w:val="3"/>
              </w:numPr>
              <w:spacing w:after="0" w:line="240" w:lineRule="auto"/>
              <w:jc w:val="left"/>
              <w:rPr>
                <w:rFonts w:eastAsiaTheme="minorEastAsia"/>
                <w:sz w:val="20"/>
                <w:szCs w:val="20"/>
              </w:rPr>
            </w:pPr>
            <w:r w:rsidRPr="00EA3458">
              <w:rPr>
                <w:rFonts w:ascii="Calibri" w:eastAsia="Calibri" w:hAnsi="Calibri" w:cs="Calibri"/>
                <w:sz w:val="20"/>
                <w:szCs w:val="20"/>
              </w:rPr>
              <w:t>Follow up contact between visits</w:t>
            </w:r>
          </w:p>
          <w:p w14:paraId="4CAD159B" w14:textId="66458607" w:rsidR="00434810" w:rsidRPr="00EA3458" w:rsidRDefault="00441126" w:rsidP="007E3DC8">
            <w:pPr>
              <w:pStyle w:val="ListParagraph"/>
              <w:numPr>
                <w:ilvl w:val="0"/>
                <w:numId w:val="3"/>
              </w:numPr>
              <w:spacing w:after="0" w:line="240" w:lineRule="auto"/>
              <w:jc w:val="left"/>
              <w:rPr>
                <w:rFonts w:eastAsiaTheme="minorEastAsia"/>
                <w:sz w:val="20"/>
                <w:szCs w:val="20"/>
              </w:rPr>
            </w:pPr>
            <w:r w:rsidRPr="00EA3458">
              <w:rPr>
                <w:rFonts w:ascii="Calibri" w:eastAsia="Calibri" w:hAnsi="Calibri" w:cs="Calibri"/>
                <w:sz w:val="20"/>
                <w:szCs w:val="20"/>
              </w:rPr>
              <w:t>Consumer</w:t>
            </w:r>
            <w:r w:rsidR="00434810" w:rsidRPr="00EA3458">
              <w:rPr>
                <w:rFonts w:ascii="Calibri" w:eastAsia="Calibri" w:hAnsi="Calibri" w:cs="Calibri"/>
                <w:sz w:val="20"/>
                <w:szCs w:val="20"/>
              </w:rPr>
              <w:t xml:space="preserve"> card</w:t>
            </w:r>
          </w:p>
        </w:tc>
      </w:tr>
    </w:tbl>
    <w:p w14:paraId="790DCA2A" w14:textId="77777777" w:rsidR="00434810" w:rsidRPr="00EA3458" w:rsidRDefault="00434810" w:rsidP="00DA0E77">
      <w:pPr>
        <w:spacing w:line="276" w:lineRule="auto"/>
        <w:rPr>
          <w:rFonts w:eastAsia="Calibri" w:cs="Calibri"/>
          <w:color w:val="000000" w:themeColor="text1"/>
        </w:rPr>
        <w:sectPr w:rsidR="00434810" w:rsidRPr="00EA3458">
          <w:pgSz w:w="16838" w:h="11906" w:orient="landscape"/>
          <w:pgMar w:top="737" w:right="737" w:bottom="737" w:left="737" w:header="709" w:footer="113" w:gutter="0"/>
          <w:cols w:space="720"/>
        </w:sectPr>
      </w:pPr>
    </w:p>
    <w:p w14:paraId="2111A286" w14:textId="77777777" w:rsidR="00434810" w:rsidRPr="00EA3458" w:rsidRDefault="00434810" w:rsidP="00DA0E77">
      <w:pPr>
        <w:pStyle w:val="Heading4"/>
        <w:rPr>
          <w:rFonts w:eastAsia="Calibri"/>
        </w:rPr>
      </w:pPr>
      <w:bookmarkStart w:id="284" w:name="_Toc99135839"/>
      <w:bookmarkStart w:id="285" w:name="_Toc116025875"/>
      <w:r w:rsidRPr="00EA3458">
        <w:rPr>
          <w:rFonts w:eastAsia="Calibri"/>
        </w:rPr>
        <w:lastRenderedPageBreak/>
        <w:t>Consumer treatment preferences</w:t>
      </w:r>
    </w:p>
    <w:p w14:paraId="3C94AC7F" w14:textId="6DA74514" w:rsidR="00434810" w:rsidRPr="00EA3458" w:rsidRDefault="00434810" w:rsidP="00B54030">
      <w:pPr>
        <w:spacing w:line="276" w:lineRule="auto"/>
        <w:rPr>
          <w:rFonts w:eastAsia="Calibri" w:cs="Calibri"/>
          <w:color w:val="000000" w:themeColor="text1"/>
        </w:rPr>
      </w:pPr>
      <w:bookmarkStart w:id="286" w:name="_Hlk118800393"/>
      <w:r w:rsidRPr="00EA3458">
        <w:rPr>
          <w:rFonts w:eastAsia="Calibri" w:cs="Calibri"/>
          <w:color w:val="000000" w:themeColor="text1"/>
        </w:rPr>
        <w:t xml:space="preserve">In a survey of 400 people with opioid dependence, conducted prior to access to </w:t>
      </w:r>
      <w:r w:rsidR="00890963">
        <w:rPr>
          <w:rFonts w:eastAsia="Calibri" w:cs="Calibri"/>
          <w:color w:val="000000" w:themeColor="text1"/>
        </w:rPr>
        <w:t>LAIB</w:t>
      </w:r>
      <w:r w:rsidRPr="00EA3458">
        <w:rPr>
          <w:rFonts w:eastAsia="Calibri" w:cs="Calibri"/>
          <w:color w:val="000000" w:themeColor="text1"/>
        </w:rPr>
        <w:t xml:space="preserve"> in Australia, 68% of people thought that </w:t>
      </w:r>
      <w:r w:rsidR="00890963">
        <w:rPr>
          <w:rFonts w:eastAsia="Calibri" w:cs="Calibri"/>
          <w:color w:val="000000" w:themeColor="text1"/>
        </w:rPr>
        <w:t>LAIB</w:t>
      </w:r>
      <w:r w:rsidRPr="00EA3458">
        <w:rPr>
          <w:rFonts w:eastAsia="Calibri" w:cs="Calibri"/>
          <w:color w:val="000000" w:themeColor="text1"/>
        </w:rPr>
        <w:t xml:space="preserve"> (hypothetically) would be a good treatment option for them</w:t>
      </w:r>
      <w:r w:rsidR="002823CC">
        <w:rPr>
          <w:rFonts w:eastAsia="Calibri" w:cs="Calibri"/>
          <w:color w:val="000000" w:themeColor="text1"/>
        </w:rPr>
        <w:t>.</w:t>
      </w:r>
      <w:hyperlink w:anchor="_ENREF_2" w:tooltip="Larance, 2020 #2" w:history="1">
        <w:r w:rsidR="002565E6" w:rsidRPr="00EA3458">
          <w:rPr>
            <w:rFonts w:eastAsia="Calibri" w:cs="Calibri"/>
            <w:color w:val="000000" w:themeColor="text1"/>
          </w:rPr>
          <w:fldChar w:fldCharType="begin">
            <w:fldData xml:space="preserve">PEVuZE5vdGU+PENpdGU+PEF1dGhvcj5MYXJhbmNlPC9BdXRob3I+PFllYXI+MjAyMDwvWWVhcj48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</w:fldData>
          </w:fldChar>
        </w:r>
        <w:r w:rsidR="002565E6">
          <w:rPr>
            <w:rFonts w:eastAsia="Calibri" w:cs="Calibri"/>
            <w:color w:val="000000" w:themeColor="text1"/>
          </w:rPr>
          <w:instrText xml:space="preserve"> ADDIN EN.CITE </w:instrText>
        </w:r>
        <w:r w:rsidR="002565E6">
          <w:rPr>
            <w:rFonts w:eastAsia="Calibri" w:cs="Calibri"/>
            <w:color w:val="000000" w:themeColor="text1"/>
          </w:rPr>
          <w:fldChar w:fldCharType="begin">
            <w:fldData xml:space="preserve">PEVuZE5vdGU+PENpdGU+PEF1dGhvcj5MYXJhbmNlPC9BdXRob3I+PFllYXI+MjAyMDwvWWVhcj48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</w:fldData>
          </w:fldChar>
        </w:r>
        <w:r w:rsidR="002565E6">
          <w:rPr>
            <w:rFonts w:eastAsia="Calibri" w:cs="Calibri"/>
            <w:color w:val="000000" w:themeColor="text1"/>
          </w:rPr>
          <w:instrText xml:space="preserve"> ADDIN EN.CITE.DATA </w:instrText>
        </w:r>
        <w:r w:rsidR="002565E6">
          <w:rPr>
            <w:rFonts w:eastAsia="Calibri" w:cs="Calibri"/>
            <w:color w:val="000000" w:themeColor="text1"/>
          </w:rPr>
        </w:r>
        <w:r w:rsidR="002565E6">
          <w:rPr>
            <w:rFonts w:eastAsia="Calibri" w:cs="Calibri"/>
            <w:color w:val="000000" w:themeColor="text1"/>
          </w:rPr>
          <w:fldChar w:fldCharType="end"/>
        </w:r>
        <w:r w:rsidR="002565E6" w:rsidRPr="00EA3458">
          <w:rPr>
            <w:rFonts w:eastAsia="Calibri" w:cs="Calibri"/>
            <w:color w:val="000000" w:themeColor="text1"/>
          </w:rPr>
        </w:r>
        <w:r w:rsidR="002565E6" w:rsidRPr="00EA3458">
          <w:rPr>
            <w:rFonts w:eastAsia="Calibri" w:cs="Calibri"/>
            <w:color w:val="000000" w:themeColor="text1"/>
          </w:rPr>
          <w:fldChar w:fldCharType="separate"/>
        </w:r>
        <w:r w:rsidR="002565E6" w:rsidRPr="005531C9">
          <w:rPr>
            <w:rFonts w:eastAsia="Calibri" w:cs="Calibri"/>
            <w:noProof/>
            <w:color w:val="000000" w:themeColor="text1"/>
            <w:vertAlign w:val="superscript"/>
          </w:rPr>
          <w:t>2</w:t>
        </w:r>
        <w:r w:rsidR="002565E6" w:rsidRPr="00EA3458">
          <w:rPr>
            <w:rFonts w:eastAsia="Calibri" w:cs="Calibri"/>
            <w:color w:val="000000" w:themeColor="text1"/>
          </w:rPr>
          <w:fldChar w:fldCharType="end"/>
        </w:r>
      </w:hyperlink>
      <w:r w:rsidRPr="00EA3458">
        <w:rPr>
          <w:rFonts w:eastAsia="Calibri" w:cs="Calibri"/>
          <w:color w:val="000000" w:themeColor="text1"/>
        </w:rPr>
        <w:t xml:space="preserve"> Those who thought this were more likely to be younger, women, have less than 10 years of education, and report past month heroin and methamphetamine use. Fifty-four percent reported no preference for weekly versus monthly injections, whilst 7% preferred weekly and 39% preferred monthly. Of people currently receiving O</w:t>
      </w:r>
      <w:r w:rsidR="004E0719">
        <w:rPr>
          <w:rFonts w:eastAsia="Calibri" w:cs="Calibri"/>
          <w:color w:val="000000" w:themeColor="text1"/>
        </w:rPr>
        <w:t>D</w:t>
      </w:r>
      <w:r w:rsidRPr="00EA3458">
        <w:rPr>
          <w:rFonts w:eastAsia="Calibri" w:cs="Calibri"/>
          <w:color w:val="000000" w:themeColor="text1"/>
        </w:rPr>
        <w:t>T</w:t>
      </w:r>
      <w:r w:rsidR="004E0719">
        <w:rPr>
          <w:rFonts w:eastAsia="Calibri" w:cs="Calibri"/>
          <w:color w:val="000000" w:themeColor="text1"/>
        </w:rPr>
        <w:t xml:space="preserve"> medicines</w:t>
      </w:r>
      <w:r w:rsidRPr="00EA3458">
        <w:rPr>
          <w:rFonts w:eastAsia="Calibri" w:cs="Calibri"/>
          <w:color w:val="000000" w:themeColor="text1"/>
        </w:rPr>
        <w:t xml:space="preserve">, those with shorter treatment episodes, fewer unsupervised doses, and longer travel distance were more likely to perceive that </w:t>
      </w:r>
      <w:r w:rsidR="00890963">
        <w:rPr>
          <w:rFonts w:eastAsia="Calibri" w:cs="Calibri"/>
          <w:color w:val="000000" w:themeColor="text1"/>
        </w:rPr>
        <w:t>LAIB</w:t>
      </w:r>
      <w:r w:rsidRPr="00EA3458">
        <w:rPr>
          <w:rFonts w:eastAsia="Calibri" w:cs="Calibri"/>
          <w:color w:val="000000" w:themeColor="text1"/>
        </w:rPr>
        <w:t xml:space="preserve"> would be a good option for them. This is consistent with other surveys and qualitative research demonstrating positive perceptions and potential benefits of </w:t>
      </w:r>
      <w:r w:rsidR="004D0AEA">
        <w:rPr>
          <w:rFonts w:eastAsia="Calibri" w:cs="Calibri"/>
          <w:color w:val="000000" w:themeColor="text1"/>
        </w:rPr>
        <w:t>LAIB</w:t>
      </w:r>
      <w:r w:rsidR="002823CC">
        <w:rPr>
          <w:rFonts w:eastAsia="Calibri" w:cs="Calibri"/>
          <w:color w:val="000000" w:themeColor="text1"/>
        </w:rPr>
        <w:t>.</w:t>
      </w:r>
      <w:hyperlink w:anchor="_ENREF_48" w:tooltip="Gilman, 2018 #49" w:history="1">
        <w:r w:rsidR="002565E6" w:rsidRPr="00EA3458">
          <w:rPr>
            <w:rFonts w:eastAsia="Calibri" w:cs="Calibri"/>
            <w:color w:val="000000" w:themeColor="text1"/>
          </w:rPr>
          <w:fldChar w:fldCharType="begin">
            <w:fldData xml:space="preserve">PEVuZE5vdGU+PENpdGU+PEF1dGhvcj5HaWxtYW48L0F1dGhvcj48WWVhcj4yMDE4PC9ZZWFyPjxS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</w:fldData>
          </w:fldChar>
        </w:r>
        <w:r w:rsidR="002565E6">
          <w:rPr>
            <w:rFonts w:eastAsia="Calibri" w:cs="Calibri"/>
            <w:color w:val="000000" w:themeColor="text1"/>
          </w:rPr>
          <w:instrText xml:space="preserve"> ADDIN EN.CITE </w:instrText>
        </w:r>
        <w:r w:rsidR="002565E6">
          <w:rPr>
            <w:rFonts w:eastAsia="Calibri" w:cs="Calibri"/>
            <w:color w:val="000000" w:themeColor="text1"/>
          </w:rPr>
          <w:fldChar w:fldCharType="begin">
            <w:fldData xml:space="preserve">PEVuZE5vdGU+PENpdGU+PEF1dGhvcj5HaWxtYW48L0F1dGhvcj48WWVhcj4yMDE4PC9ZZWFyPjxS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</w:fldData>
          </w:fldChar>
        </w:r>
        <w:r w:rsidR="002565E6">
          <w:rPr>
            <w:rFonts w:eastAsia="Calibri" w:cs="Calibri"/>
            <w:color w:val="000000" w:themeColor="text1"/>
          </w:rPr>
          <w:instrText xml:space="preserve"> ADDIN EN.CITE.DATA </w:instrText>
        </w:r>
        <w:r w:rsidR="002565E6">
          <w:rPr>
            <w:rFonts w:eastAsia="Calibri" w:cs="Calibri"/>
            <w:color w:val="000000" w:themeColor="text1"/>
          </w:rPr>
        </w:r>
        <w:r w:rsidR="002565E6">
          <w:rPr>
            <w:rFonts w:eastAsia="Calibri" w:cs="Calibri"/>
            <w:color w:val="000000" w:themeColor="text1"/>
          </w:rPr>
          <w:fldChar w:fldCharType="end"/>
        </w:r>
        <w:r w:rsidR="002565E6" w:rsidRPr="00EA3458">
          <w:rPr>
            <w:rFonts w:eastAsia="Calibri" w:cs="Calibri"/>
            <w:color w:val="000000" w:themeColor="text1"/>
          </w:rPr>
        </w:r>
        <w:r w:rsidR="002565E6" w:rsidRPr="00EA3458">
          <w:rPr>
            <w:rFonts w:eastAsia="Calibri" w:cs="Calibri"/>
            <w:color w:val="000000" w:themeColor="text1"/>
          </w:rPr>
          <w:fldChar w:fldCharType="separate"/>
        </w:r>
        <w:r w:rsidR="002565E6" w:rsidRPr="00646D54">
          <w:rPr>
            <w:rFonts w:eastAsia="Calibri" w:cs="Calibri"/>
            <w:noProof/>
            <w:color w:val="000000" w:themeColor="text1"/>
            <w:vertAlign w:val="superscript"/>
          </w:rPr>
          <w:t>48-50</w:t>
        </w:r>
        <w:r w:rsidR="002565E6" w:rsidRPr="00EA3458">
          <w:rPr>
            <w:rFonts w:eastAsia="Calibri" w:cs="Calibri"/>
            <w:color w:val="000000" w:themeColor="text1"/>
          </w:rPr>
          <w:fldChar w:fldCharType="end"/>
        </w:r>
      </w:hyperlink>
      <w:r w:rsidRPr="00EA3458">
        <w:rPr>
          <w:rFonts w:eastAsia="Calibri" w:cs="Calibri"/>
          <w:color w:val="000000" w:themeColor="text1"/>
        </w:rPr>
        <w:t xml:space="preserve"> However, people have also noted important concerns about </w:t>
      </w:r>
      <w:r w:rsidR="00890963">
        <w:rPr>
          <w:rFonts w:eastAsia="Calibri" w:cs="Calibri"/>
          <w:color w:val="000000" w:themeColor="text1"/>
        </w:rPr>
        <w:t>LAIB</w:t>
      </w:r>
      <w:r w:rsidRPr="00EA3458">
        <w:rPr>
          <w:rFonts w:eastAsia="Calibri" w:cs="Calibri"/>
          <w:color w:val="000000" w:themeColor="text1"/>
        </w:rPr>
        <w:t>, including reduced choice and control</w:t>
      </w:r>
      <w:r w:rsidR="002823CC">
        <w:rPr>
          <w:rFonts w:eastAsia="Calibri" w:cs="Calibri"/>
          <w:color w:val="000000" w:themeColor="text1"/>
        </w:rPr>
        <w:t>.</w:t>
      </w:r>
      <w:r w:rsidRPr="00EA3458">
        <w:rPr>
          <w:rFonts w:eastAsia="Calibri" w:cs="Calibri"/>
          <w:color w:val="000000" w:themeColor="text1"/>
        </w:rPr>
        <w:fldChar w:fldCharType="begin"/>
      </w:r>
      <w:r w:rsidR="00646D54">
        <w:rPr>
          <w:rFonts w:eastAsia="Calibri" w:cs="Calibri"/>
          <w:color w:val="000000" w:themeColor="text1"/>
        </w:rPr>
        <w:instrText xml:space="preserve"> ADDIN EN.CITE &lt;EndNote&gt;&lt;Cite&gt;&lt;Author&gt;Neale&lt;/Author&gt;&lt;Year&gt;2018&lt;/Year&gt;&lt;RecNum&gt;50&lt;/RecNum&gt;&lt;DisplayText&gt;&lt;style face="superscript"&gt;49, 50&lt;/style&gt;&lt;/DisplayText&gt;&lt;record&gt;&lt;rec-number&gt;50&lt;/rec-number&gt;&lt;foreign-keys&gt;&lt;key app="EN" db-id="xssz590sx9vzw4ewpzdv0s5sret50aexdtd9" timestamp="1668645503"&gt;50&lt;/key&gt;&lt;/foreign-keys&gt;&lt;ref-type name="Journal Article"&gt;17&lt;/ref-type&gt;&lt;contributors&gt;&lt;authors&gt;&lt;author&gt;Neale, J.&lt;/author&gt;&lt;author&gt;Tompkins, C.N.E.&lt;/author&gt;&lt;author&gt;McDonald, R.&lt;/author&gt;&lt;author&gt;Strang, J. &lt;/author&gt;&lt;/authors&gt;&lt;/contributors&gt;&lt;titles&gt;&lt;title&gt;Implants and depot injections for treating opioid dependence: Qualitative study of people who use or have used heroin&lt;/title&gt;&lt;secondary-title&gt;Drug Alcohol Depend&lt;/secondary-title&gt;&lt;/titles&gt;&lt;pages&gt;1-7&lt;/pages&gt;&lt;volume&gt;189&lt;/volume&gt;&lt;dates&gt;&lt;year&gt;2018&lt;/year&gt;&lt;/dates&gt;&lt;urls&gt;&lt;/urls&gt;&lt;/record&gt;&lt;/Cite&gt;&lt;Cite&gt;&lt;Author&gt;Tompkins&lt;/Author&gt;&lt;Year&gt;2019&lt;/Year&gt;&lt;RecNum&gt;51&lt;/RecNum&gt;&lt;record&gt;&lt;rec-number&gt;51&lt;/rec-number&gt;&lt;foreign-keys&gt;&lt;key app="EN" db-id="xssz590sx9vzw4ewpzdv0s5sret50aexdtd9" timestamp="1668645508"&gt;51&lt;/key&gt;&lt;/foreign-keys&gt;&lt;ref-type name="Journal Article"&gt;17&lt;/ref-type&gt;&lt;contributors&gt;&lt;authors&gt;&lt;author&gt;Tompkins, C. N. E.&lt;/author&gt;&lt;author&gt;Neale, J.&lt;/author&gt;&lt;author&gt;Strang, J.&lt;/author&gt;&lt;/authors&gt;&lt;/contributors&gt;&lt;titles&gt;&lt;title&gt;Opioid users&amp;apos; willingness to receive prolonged-release buprenorphine depot injections for opioid use disorder&lt;/title&gt;&lt;secondary-title&gt;J Subst Abuse Treat&lt;/secondary-title&gt;&lt;/titles&gt;&lt;pages&gt;64-71&lt;/pages&gt;&lt;volume&gt;104&lt;/volume&gt;&lt;dates&gt;&lt;year&gt;2019&lt;/year&gt;&lt;/dates&gt;&lt;accession-num&gt;31370986&lt;/accession-num&gt;&lt;urls&gt;&lt;related-urls&gt;&lt;url&gt;https://www.journalofsubstanceabusetreatment.com/article/S0740-5472(19)30102-3/pdf&lt;/url&gt;&lt;/related-urls&gt;&lt;/urls&gt;&lt;electronic-resource-num&gt;10.1016/j.jsat.2019.06.007&lt;/electronic-resource-num&gt;&lt;/record&gt;&lt;/Cite&gt;&lt;/EndNote&gt;</w:instrText>
      </w:r>
      <w:r w:rsidRPr="00EA3458">
        <w:rPr>
          <w:rFonts w:eastAsia="Calibri" w:cs="Calibri"/>
          <w:color w:val="000000" w:themeColor="text1"/>
        </w:rPr>
        <w:fldChar w:fldCharType="separate"/>
      </w:r>
      <w:hyperlink w:anchor="_ENREF_49" w:tooltip="Neale, 2018 #50" w:history="1">
        <w:r w:rsidR="002565E6" w:rsidRPr="00646D54">
          <w:rPr>
            <w:rFonts w:eastAsia="Calibri" w:cs="Calibri"/>
            <w:noProof/>
            <w:color w:val="000000" w:themeColor="text1"/>
            <w:vertAlign w:val="superscript"/>
          </w:rPr>
          <w:t>49</w:t>
        </w:r>
      </w:hyperlink>
      <w:r w:rsidR="00646D54" w:rsidRPr="00646D54">
        <w:rPr>
          <w:rFonts w:eastAsia="Calibri" w:cs="Calibri"/>
          <w:noProof/>
          <w:color w:val="000000" w:themeColor="text1"/>
          <w:vertAlign w:val="superscript"/>
        </w:rPr>
        <w:t>,</w:t>
      </w:r>
      <w:hyperlink w:anchor="_ENREF_50" w:tooltip="Tompkins, 2019 #51" w:history="1">
        <w:r w:rsidR="002565E6" w:rsidRPr="00646D54">
          <w:rPr>
            <w:rFonts w:eastAsia="Calibri" w:cs="Calibri"/>
            <w:noProof/>
            <w:color w:val="000000" w:themeColor="text1"/>
            <w:vertAlign w:val="superscript"/>
          </w:rPr>
          <w:t>50</w:t>
        </w:r>
      </w:hyperlink>
      <w:r w:rsidRPr="00EA3458">
        <w:rPr>
          <w:rFonts w:eastAsia="Calibri" w:cs="Calibri"/>
          <w:color w:val="000000" w:themeColor="text1"/>
        </w:rPr>
        <w:fldChar w:fldCharType="end"/>
      </w:r>
    </w:p>
    <w:p w14:paraId="2EAA585C" w14:textId="26AB7F98" w:rsidR="00434810" w:rsidRPr="00EA3458" w:rsidRDefault="00434810" w:rsidP="00DA0E77">
      <w:r w:rsidRPr="00EA3458">
        <w:rPr>
          <w:rFonts w:eastAsia="Calibri" w:cs="Calibri"/>
          <w:color w:val="000000" w:themeColor="text1"/>
        </w:rPr>
        <w:t xml:space="preserve">Two recent studies, PREFER and ETHOS Engage, examined </w:t>
      </w:r>
      <w:r w:rsidR="00441126" w:rsidRPr="00EA3458">
        <w:rPr>
          <w:rFonts w:eastAsia="Calibri" w:cs="Calibri"/>
          <w:color w:val="000000" w:themeColor="text1"/>
        </w:rPr>
        <w:t>consumer</w:t>
      </w:r>
      <w:r w:rsidRPr="00EA3458">
        <w:rPr>
          <w:rFonts w:eastAsia="Calibri" w:cs="Calibri"/>
          <w:color w:val="000000" w:themeColor="text1"/>
        </w:rPr>
        <w:t xml:space="preserve"> preferences </w:t>
      </w:r>
      <w:r w:rsidR="00890963">
        <w:rPr>
          <w:rFonts w:eastAsia="Calibri" w:cs="Calibri"/>
          <w:color w:val="000000" w:themeColor="text1"/>
        </w:rPr>
        <w:t>for LAIB</w:t>
      </w:r>
      <w:r w:rsidRPr="00EA3458">
        <w:rPr>
          <w:rFonts w:eastAsia="Calibri" w:cs="Calibri"/>
          <w:color w:val="000000" w:themeColor="text1"/>
        </w:rPr>
        <w:t xml:space="preserve"> versus the sublingual formulation or methadone (Figure </w:t>
      </w:r>
      <w:r w:rsidR="0084071B" w:rsidRPr="00EA3458">
        <w:rPr>
          <w:rFonts w:eastAsia="Calibri" w:cs="Calibri"/>
          <w:color w:val="000000" w:themeColor="text1"/>
        </w:rPr>
        <w:t>1)</w:t>
      </w:r>
      <w:r w:rsidRPr="00EA3458">
        <w:rPr>
          <w:rFonts w:eastAsia="Calibri" w:cs="Calibri"/>
          <w:color w:val="000000" w:themeColor="text1"/>
        </w:rPr>
        <w:t>. The ETHOS Engage study</w:t>
      </w:r>
      <w:r w:rsidRPr="00EA3458" w:rsidDel="00A42AEF">
        <w:rPr>
          <w:rFonts w:eastAsia="Calibri" w:cs="Calibri"/>
          <w:color w:val="000000" w:themeColor="text1"/>
        </w:rPr>
        <w:t xml:space="preserve"> </w:t>
      </w:r>
      <w:r w:rsidRPr="00EA3458">
        <w:rPr>
          <w:rFonts w:eastAsia="Calibri" w:cs="Calibri"/>
          <w:color w:val="000000" w:themeColor="text1"/>
        </w:rPr>
        <w:t>assessed people who reported prescribed or non-prescribed opioid use in the preceding six months or had received O</w:t>
      </w:r>
      <w:r w:rsidR="004E0719">
        <w:rPr>
          <w:rFonts w:eastAsia="Calibri" w:cs="Calibri"/>
          <w:color w:val="000000" w:themeColor="text1"/>
        </w:rPr>
        <w:t>D</w:t>
      </w:r>
      <w:r w:rsidRPr="00EA3458">
        <w:rPr>
          <w:rFonts w:eastAsia="Calibri" w:cs="Calibri"/>
          <w:color w:val="000000" w:themeColor="text1"/>
        </w:rPr>
        <w:t>T</w:t>
      </w:r>
      <w:r w:rsidR="004E0719">
        <w:rPr>
          <w:rFonts w:eastAsia="Calibri" w:cs="Calibri"/>
          <w:color w:val="000000" w:themeColor="text1"/>
        </w:rPr>
        <w:t xml:space="preserve"> medicines</w:t>
      </w:r>
      <w:r w:rsidRPr="00EA3458">
        <w:rPr>
          <w:rFonts w:eastAsia="Calibri" w:cs="Calibri"/>
          <w:color w:val="000000" w:themeColor="text1"/>
        </w:rPr>
        <w:t xml:space="preserve"> in the preceding six-month period. Almost half of respondents reported a preference for methadone (47%), whilst 13% preferred </w:t>
      </w:r>
      <w:r w:rsidR="004D0AEA">
        <w:rPr>
          <w:rFonts w:eastAsia="Calibri" w:cs="Calibri"/>
          <w:color w:val="000000" w:themeColor="text1"/>
        </w:rPr>
        <w:t>LAIB</w:t>
      </w:r>
      <w:r w:rsidRPr="00EA3458">
        <w:rPr>
          <w:rFonts w:eastAsia="Calibri" w:cs="Calibri"/>
          <w:color w:val="000000" w:themeColor="text1"/>
        </w:rPr>
        <w:t xml:space="preserve">. This is consistent with the PREFER survey (53% preferred methadone), although more people stated a preference for </w:t>
      </w:r>
      <w:r w:rsidR="00890963">
        <w:rPr>
          <w:rFonts w:eastAsia="Calibri" w:cs="Calibri"/>
          <w:color w:val="000000" w:themeColor="text1"/>
        </w:rPr>
        <w:t xml:space="preserve">LAIB </w:t>
      </w:r>
      <w:r w:rsidRPr="00EA3458">
        <w:rPr>
          <w:rFonts w:eastAsia="Calibri" w:cs="Calibri"/>
          <w:color w:val="000000" w:themeColor="text1"/>
        </w:rPr>
        <w:t>(19%).</w:t>
      </w:r>
      <w:bookmarkEnd w:id="286"/>
    </w:p>
    <w:p w14:paraId="580C7B31" w14:textId="77F1EBEA" w:rsidR="00434810" w:rsidRPr="00EA3458" w:rsidRDefault="00434810" w:rsidP="00DA0E77">
      <w:pPr>
        <w:pStyle w:val="FIgures"/>
      </w:pPr>
      <w:bookmarkStart w:id="287" w:name="_Toc116025684"/>
      <w:bookmarkStart w:id="288" w:name="_Toc132823441"/>
      <w:r w:rsidRPr="00EA3458">
        <w:lastRenderedPageBreak/>
        <w:t xml:space="preserve">Figure </w:t>
      </w:r>
      <w:r w:rsidR="0084071B" w:rsidRPr="00EA3458">
        <w:t>1</w:t>
      </w:r>
      <w:r w:rsidRPr="00EA3458">
        <w:t xml:space="preserve">. </w:t>
      </w:r>
      <w:r w:rsidR="00441126" w:rsidRPr="00EA3458">
        <w:t>Consumer</w:t>
      </w:r>
      <w:r w:rsidRPr="00EA3458">
        <w:t xml:space="preserve"> preferences for O</w:t>
      </w:r>
      <w:r w:rsidR="004E0719">
        <w:t>D</w:t>
      </w:r>
      <w:r w:rsidRPr="00EA3458">
        <w:t>T medications in the ETHOS (top) and PREFER* (bottom) studies</w:t>
      </w:r>
      <w:bookmarkEnd w:id="287"/>
      <w:bookmarkEnd w:id="288"/>
      <w:r w:rsidRPr="00EA3458">
        <w:t xml:space="preserve"> </w:t>
      </w:r>
    </w:p>
    <w:p w14:paraId="71DEE25C" w14:textId="7708B4CB" w:rsidR="00434810" w:rsidRPr="00EA3458" w:rsidRDefault="007733A0" w:rsidP="00B54030">
      <w:pPr>
        <w:spacing w:line="276" w:lineRule="auto"/>
        <w:rPr>
          <w:sz w:val="20"/>
          <w:szCs w:val="20"/>
        </w:rPr>
      </w:pPr>
      <w:r>
        <w:rPr>
          <w:noProof/>
        </w:rPr>
        <w:drawing>
          <wp:inline distT="0" distB="0" distL="0" distR="0" wp14:anchorId="5AEAE16C" wp14:editId="02077BFC">
            <wp:extent cx="5724525" cy="3562350"/>
            <wp:effectExtent l="0" t="0" r="9525" b="0"/>
            <wp:docPr id="1" name="Picture 1" descr="Pie chart&#10;&#10;ODT medicine preferences for PREFER (N=400)&#10;&#10;53% Methadone (n=216)&#10;19% Long acting (injected under the skin) Buprenorphine (n=78)&#10;17% Buprenorphine OR Buprenorphine/Naloxone (n=68)&#10;8% None of them (n=34)&#10;3% No preference (n=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ie chart&#10;&#10;ODT medicine preferences for PREFER (N=400)&#10;&#10;53% Methadone (n=216)&#10;19% Long acting (injected under the skin) Buprenorphine (n=78)&#10;17% Buprenorphine OR Buprenorphine/Naloxone (n=68)&#10;8% None of them (n=34)&#10;3% No preference (n=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24525" cy="3562350"/>
                    </a:xfrm>
                    <a:prstGeom prst="rect">
                      <a:avLst/>
                    </a:prstGeom>
                    <a:noFill/>
                    <a:ln>
                      <a:noFill/>
                    </a:ln>
                  </pic:spPr>
                </pic:pic>
              </a:graphicData>
            </a:graphic>
          </wp:inline>
        </w:drawing>
      </w:r>
      <w:r w:rsidR="00434810" w:rsidRPr="00EA3458">
        <w:t xml:space="preserve"> </w:t>
      </w:r>
      <w:r w:rsidR="00434810" w:rsidRPr="00EA3458">
        <w:br/>
      </w:r>
      <w:r>
        <w:rPr>
          <w:noProof/>
          <w:sz w:val="20"/>
          <w:szCs w:val="20"/>
        </w:rPr>
        <w:drawing>
          <wp:inline distT="0" distB="0" distL="0" distR="0" wp14:anchorId="3DEC4E8C" wp14:editId="40DCBDA2">
            <wp:extent cx="5734050" cy="3362325"/>
            <wp:effectExtent l="0" t="0" r="0" b="9525"/>
            <wp:docPr id="4" name="Picture 4" descr="Pie chart&#10;&#10;ODT medicine preferences for ETHOS Engage (n=624)&#10;&#10;47% Methadone (n=293)&#10;22% Buprenorphine OR Buprenorphine/Naloxone (n=138)&#10;13% Long acting (injected under the skin) Buprenorphine (n=78)&#10;11% None of them (n=71)&#10;4% No preference (n=24)&#10;3% Buprenorphine (any formulation) (n=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ie chart&#10;&#10;ODT medicine preferences for ETHOS Engage (n=624)&#10;&#10;47% Methadone (n=293)&#10;22% Buprenorphine OR Buprenorphine/Naloxone (n=138)&#10;13% Long acting (injected under the skin) Buprenorphine (n=78)&#10;11% None of them (n=71)&#10;4% No preference (n=24)&#10;3% Buprenorphine (any formulation) (n=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4050" cy="3362325"/>
                    </a:xfrm>
                    <a:prstGeom prst="rect">
                      <a:avLst/>
                    </a:prstGeom>
                    <a:noFill/>
                    <a:ln>
                      <a:noFill/>
                    </a:ln>
                  </pic:spPr>
                </pic:pic>
              </a:graphicData>
            </a:graphic>
          </wp:inline>
        </w:drawing>
      </w:r>
    </w:p>
    <w:p w14:paraId="0E9EE247" w14:textId="77777777" w:rsidR="00434810" w:rsidRPr="00EA3458" w:rsidRDefault="00434810">
      <w:pPr>
        <w:spacing w:line="276" w:lineRule="auto"/>
        <w:rPr>
          <w:sz w:val="20"/>
          <w:szCs w:val="20"/>
        </w:rPr>
      </w:pPr>
      <w:r w:rsidRPr="00EA3458">
        <w:rPr>
          <w:sz w:val="20"/>
          <w:szCs w:val="20"/>
        </w:rPr>
        <w:t xml:space="preserve">*Question on any formulation of buprenorphine was added after the PREFER study was completed. </w:t>
      </w:r>
    </w:p>
    <w:p w14:paraId="25F4BB91" w14:textId="77777777" w:rsidR="009352F3" w:rsidRDefault="009352F3">
      <w:pPr>
        <w:spacing w:after="160" w:line="259" w:lineRule="auto"/>
        <w:jc w:val="left"/>
        <w:rPr>
          <w:rFonts w:asciiTheme="majorHAnsi" w:eastAsiaTheme="majorEastAsia" w:hAnsiTheme="majorHAnsi" w:cstheme="majorBidi"/>
          <w:i/>
          <w:iCs/>
          <w:color w:val="2F5496" w:themeColor="accent1" w:themeShade="BF"/>
        </w:rPr>
      </w:pPr>
      <w:r>
        <w:br w:type="page"/>
      </w:r>
    </w:p>
    <w:p w14:paraId="005B8534" w14:textId="7BEBF3CB" w:rsidR="00434810" w:rsidRPr="00EA3458" w:rsidRDefault="00434810" w:rsidP="00DA0E77">
      <w:pPr>
        <w:pStyle w:val="Heading4"/>
      </w:pPr>
      <w:r w:rsidRPr="00EA3458">
        <w:lastRenderedPageBreak/>
        <w:t>Consumer treatment satisfaction</w:t>
      </w:r>
    </w:p>
    <w:p w14:paraId="5211D356" w14:textId="4511FAF7" w:rsidR="00434810" w:rsidRPr="00EA3458" w:rsidRDefault="00434810" w:rsidP="00B54030">
      <w:pPr>
        <w:spacing w:after="160" w:line="276" w:lineRule="auto"/>
        <w:rPr>
          <w:rFonts w:eastAsia="Calibri" w:cs="Calibri"/>
          <w:color w:val="000000" w:themeColor="text1"/>
        </w:rPr>
      </w:pPr>
      <w:r w:rsidRPr="00EA3458">
        <w:rPr>
          <w:rFonts w:eastAsia="Calibri" w:cs="Calibri"/>
          <w:color w:val="000000" w:themeColor="text1"/>
        </w:rPr>
        <w:t>Studies generally reported high</w:t>
      </w:r>
      <w:r w:rsidRPr="00EA3458" w:rsidDel="00880D83">
        <w:rPr>
          <w:rFonts w:eastAsia="Calibri" w:cs="Calibri"/>
          <w:color w:val="000000" w:themeColor="text1"/>
        </w:rPr>
        <w:t xml:space="preserve"> </w:t>
      </w:r>
      <w:r w:rsidR="00441126" w:rsidRPr="00EA3458">
        <w:rPr>
          <w:rFonts w:eastAsia="Calibri" w:cs="Calibri"/>
          <w:color w:val="000000" w:themeColor="text1"/>
        </w:rPr>
        <w:t>consumer</w:t>
      </w:r>
      <w:r w:rsidRPr="00EA3458">
        <w:rPr>
          <w:rFonts w:eastAsia="Calibri" w:cs="Calibri"/>
          <w:color w:val="000000" w:themeColor="text1"/>
        </w:rPr>
        <w:t xml:space="preserve"> satisfaction with </w:t>
      </w:r>
      <w:r w:rsidR="00890963">
        <w:rPr>
          <w:rFonts w:eastAsia="Calibri" w:cs="Calibri"/>
          <w:color w:val="000000" w:themeColor="text1"/>
        </w:rPr>
        <w:t>LAIB</w:t>
      </w:r>
      <w:r w:rsidRPr="00EA3458">
        <w:rPr>
          <w:rFonts w:eastAsia="Calibri" w:cs="Calibri"/>
          <w:color w:val="000000" w:themeColor="text1"/>
        </w:rPr>
        <w:t xml:space="preserve"> in the Australian context. In an open-label, randomised, clinical trial of 119 participants, the mean Treatment Satisfaction Questionnaire for Medication (TSQM) global score was significantly higher in the group receiving </w:t>
      </w:r>
      <w:r w:rsidR="00890963">
        <w:rPr>
          <w:rFonts w:eastAsia="Calibri" w:cs="Calibri"/>
          <w:color w:val="000000" w:themeColor="text1"/>
        </w:rPr>
        <w:t xml:space="preserve">LAIB </w:t>
      </w:r>
      <w:r w:rsidRPr="00EA3458">
        <w:rPr>
          <w:rFonts w:eastAsia="Calibri" w:cs="Calibri"/>
          <w:color w:val="000000" w:themeColor="text1"/>
        </w:rPr>
        <w:t>(Buvidal</w:t>
      </w:r>
      <w:r w:rsidRPr="00EA3458">
        <w:rPr>
          <w:rFonts w:eastAsia="Segoe UI" w:cstheme="minorHAnsi"/>
          <w:color w:val="000000" w:themeColor="text1"/>
          <w:vertAlign w:val="superscript"/>
        </w:rPr>
        <w:t>®</w:t>
      </w:r>
      <w:r w:rsidRPr="00EA3458">
        <w:rPr>
          <w:rFonts w:eastAsia="Calibri" w:cs="Calibri"/>
          <w:color w:val="000000" w:themeColor="text1"/>
        </w:rPr>
        <w:t>) than in the group receiving sublingual buprenorphine at week 24 (mean score 82.5 vs 74.3)</w:t>
      </w:r>
      <w:r w:rsidR="002823CC">
        <w:rPr>
          <w:rFonts w:eastAsia="Calibri" w:cs="Calibri"/>
          <w:color w:val="000000" w:themeColor="text1"/>
        </w:rPr>
        <w:t>.</w:t>
      </w:r>
      <w:hyperlink w:anchor="_ENREF_56" w:tooltip="Lintzeris, 2021 #57" w:history="1">
        <w:r w:rsidR="002565E6" w:rsidRPr="00EA3458">
          <w:rPr>
            <w:rFonts w:eastAsia="Calibri" w:cs="Calibri"/>
            <w:color w:val="000000" w:themeColor="text1"/>
          </w:rPr>
          <w:fldChar w:fldCharType="begin"/>
        </w:r>
        <w:r w:rsidR="002565E6">
          <w:rPr>
            <w:rFonts w:eastAsia="Calibri" w:cs="Calibri"/>
            <w:color w:val="000000" w:themeColor="text1"/>
          </w:rPr>
          <w:instrText xml:space="preserve"> ADDIN EN.CITE &lt;EndNote&gt;&lt;Cite&gt;&lt;Author&gt;Lintzeris&lt;/Author&gt;&lt;Year&gt;2021&lt;/Year&gt;&lt;RecNum&gt;57&lt;/RecNum&gt;&lt;DisplayText&gt;&lt;style face="superscript"&gt;56&lt;/style&gt;&lt;/DisplayText&gt;&lt;record&gt;&lt;rec-number&gt;57&lt;/rec-number&gt;&lt;foreign-keys&gt;&lt;key app="EN" db-id="xssz590sx9vzw4ewpzdv0s5sret50aexdtd9" timestamp="1668645541"&gt;57&lt;/key&gt;&lt;/foreign-keys&gt;&lt;ref-type name="Journal Article"&gt;17&lt;/ref-type&gt;&lt;contributors&gt;&lt;authors&gt;&lt;author&gt;Lintzeris, N.&lt;/author&gt;&lt;author&gt;Dunlop, A. &lt;/author&gt;&lt;author&gt;Haber, P.&lt;/author&gt;&lt;author&gt;Lubman, D.&lt;/author&gt;&lt;author&gt;Graham, R.&lt;/author&gt;&lt;author&gt;Hutchinson, S.&lt;/author&gt;&lt;author&gt;Arunogiri, S.&lt;/author&gt;&lt;author&gt;Hayes, V.&lt;/author&gt;&lt;author&gt;Hjelmstrom, P. &lt;/author&gt;&lt;author&gt;Svedberg, A. &lt;/author&gt;&lt;author&gt;Peterson, S. &lt;/author&gt;&lt;author&gt;Tiberg, F. &lt;/author&gt;&lt;/authors&gt;&lt;/contributors&gt;&lt;titles&gt;&lt;title&gt;Patient-Reported Outcomes of Treatment of Opioid Dependence With Weekly and Monthly Subcutaneous Depot vs Daily Sublingual Buprenorphine&lt;/title&gt;&lt;secondary-title&gt;JAMA Network Open &lt;/secondary-title&gt;&lt;/titles&gt;&lt;pages&gt;e219041&lt;/pages&gt;&lt;volume&gt;4&lt;/volume&gt;&lt;number&gt;5&lt;/number&gt;&lt;dates&gt;&lt;year&gt;2021&lt;/year&gt;&lt;/dates&gt;&lt;urls&gt;&lt;/urls&gt;&lt;/record&gt;&lt;/Cite&gt;&lt;/EndNote&gt;</w:instrText>
        </w:r>
        <w:r w:rsidR="002565E6" w:rsidRPr="00EA3458">
          <w:rPr>
            <w:rFonts w:eastAsia="Calibri" w:cs="Calibri"/>
            <w:color w:val="000000" w:themeColor="text1"/>
          </w:rPr>
          <w:fldChar w:fldCharType="separate"/>
        </w:r>
        <w:r w:rsidR="002565E6" w:rsidRPr="00646D54">
          <w:rPr>
            <w:rFonts w:eastAsia="Calibri" w:cs="Calibri"/>
            <w:noProof/>
            <w:color w:val="000000" w:themeColor="text1"/>
            <w:vertAlign w:val="superscript"/>
          </w:rPr>
          <w:t>56</w:t>
        </w:r>
        <w:r w:rsidR="002565E6" w:rsidRPr="00EA3458">
          <w:rPr>
            <w:rFonts w:eastAsia="Calibri" w:cs="Calibri"/>
            <w:color w:val="000000" w:themeColor="text1"/>
          </w:rPr>
          <w:fldChar w:fldCharType="end"/>
        </w:r>
      </w:hyperlink>
      <w:r w:rsidRPr="00EA3458">
        <w:rPr>
          <w:rFonts w:eastAsia="Calibri" w:cs="Calibri"/>
          <w:color w:val="000000" w:themeColor="text1"/>
        </w:rPr>
        <w:t xml:space="preserve"> </w:t>
      </w:r>
    </w:p>
    <w:p w14:paraId="10E573F8" w14:textId="67C35C78" w:rsidR="00434810" w:rsidRPr="00EA3458" w:rsidRDefault="00434810" w:rsidP="00DA0E77">
      <w:r w:rsidRPr="00EA3458">
        <w:rPr>
          <w:rFonts w:eastAsia="Calibri" w:cs="Calibri"/>
          <w:color w:val="000000" w:themeColor="text1"/>
        </w:rPr>
        <w:t xml:space="preserve">This is consistent with the CoLAB single arm cohort of </w:t>
      </w:r>
      <w:r w:rsidR="00890963">
        <w:rPr>
          <w:rFonts w:eastAsia="Calibri" w:cs="Calibri"/>
          <w:color w:val="000000" w:themeColor="text1"/>
        </w:rPr>
        <w:t xml:space="preserve">LAIB </w:t>
      </w:r>
      <w:r w:rsidRPr="00EA3458">
        <w:rPr>
          <w:rFonts w:eastAsia="Calibri" w:cs="Calibri"/>
          <w:color w:val="000000" w:themeColor="text1"/>
        </w:rPr>
        <w:t>(Sublocade</w:t>
      </w:r>
      <w:r w:rsidRPr="00EA3458">
        <w:rPr>
          <w:rFonts w:eastAsia="Segoe UI" w:cstheme="minorHAnsi"/>
          <w:color w:val="000000" w:themeColor="text1"/>
          <w:vertAlign w:val="superscript"/>
        </w:rPr>
        <w:t>®</w:t>
      </w:r>
      <w:r w:rsidRPr="00EA3458">
        <w:rPr>
          <w:rFonts w:eastAsia="Calibri" w:cs="Calibri"/>
          <w:color w:val="000000" w:themeColor="text1"/>
        </w:rPr>
        <w:t xml:space="preserve">, n=100) which observed high rates of treatment satisfaction and an increase of 15% in mean treatment satisfaction (measured by the TSQM) at week 12, after 3 months of </w:t>
      </w:r>
      <w:r w:rsidR="00890963">
        <w:rPr>
          <w:rFonts w:eastAsia="Calibri" w:cs="Calibri"/>
          <w:color w:val="000000" w:themeColor="text1"/>
        </w:rPr>
        <w:t xml:space="preserve">LAIB </w:t>
      </w:r>
      <w:r w:rsidRPr="00EA3458">
        <w:rPr>
          <w:rFonts w:eastAsia="Calibri" w:cs="Calibri"/>
          <w:color w:val="000000" w:themeColor="text1"/>
        </w:rPr>
        <w:t>compared with baseline treatment satisfaction scores (following sublingual buprenorphine treatment but prior to the first long-acting injection)</w:t>
      </w:r>
      <w:r w:rsidR="002823CC">
        <w:rPr>
          <w:rFonts w:eastAsia="Calibri" w:cs="Calibri"/>
          <w:color w:val="000000" w:themeColor="text1"/>
        </w:rPr>
        <w:t>.</w:t>
      </w:r>
      <w:hyperlink w:anchor="_ENREF_5" w:tooltip="Farrell, 2022 #5" w:history="1">
        <w:r w:rsidR="002565E6" w:rsidRPr="00EA3458">
          <w:rPr>
            <w:rFonts w:eastAsia="Calibri" w:cs="Calibri"/>
            <w:color w:val="000000" w:themeColor="text1"/>
          </w:rPr>
          <w:fldChar w:fldCharType="begin"/>
        </w:r>
        <w:r w:rsidR="002565E6">
          <w:rPr>
            <w:rFonts w:eastAsia="Calibri" w:cs="Calibri"/>
            <w:color w:val="000000" w:themeColor="text1"/>
          </w:rPr>
          <w:instrText xml:space="preserve"> ADDIN EN.CITE &lt;EndNote&gt;&lt;Cite&gt;&lt;Author&gt;Farrell&lt;/Author&gt;&lt;Year&gt;2022&lt;/Year&gt;&lt;RecNum&gt;5&lt;/RecNum&gt;&lt;DisplayText&gt;&lt;style face="superscript"&gt;5&lt;/style&gt;&lt;/DisplayText&gt;&lt;record&gt;&lt;rec-number&gt;5&lt;/rec-number&gt;&lt;foreign-keys&gt;&lt;key app="EN" db-id="xssz590sx9vzw4ewpzdv0s5sret50aexdtd9" timestamp="1668645257"&gt;5&lt;/key&gt;&lt;/foreign-keys&gt;&lt;ref-type name="Journal Article"&gt;17&lt;/ref-type&gt;&lt;contributors&gt;&lt;authors&gt;&lt;author&gt;Farrell, M.&lt;/author&gt;&lt;author&gt;Shabjazi, J. &lt;/author&gt;&lt;author&gt;Byrne, M. &lt;/author&gt;&lt;author&gt;Chambers, M. &lt;/author&gt;&lt;author&gt;Grebely, J. &lt;/author&gt;&lt;author&gt;Larance, B. &lt;/author&gt;&lt;author&gt;Ali, R.&lt;/author&gt;&lt;author&gt;Nielsen, S.&lt;/author&gt;&lt;author&gt;Dunlop, A.&lt;/author&gt;&lt;author&gt;Dore, G.&lt;/author&gt;&lt;author&gt;McDonough, M.&lt;/author&gt;&lt;author&gt;Montebello, M.&lt;/author&gt;&lt;author&gt;Nicholas, T.&lt;/author&gt;&lt;author&gt;Weiss, R.&lt;/author&gt;&lt;author&gt;Rodgers, C.&lt;/author&gt;&lt;author&gt;Cook, J. &lt;/author&gt;&lt;author&gt;Degenhardt, L. &lt;/author&gt;&lt;author&gt;CoLAB study team &lt;/author&gt;&lt;/authors&gt;&lt;/contributors&gt;&lt;titles&gt;&lt;title&gt;Outcomes of a single-arm implementation trial of monthly subcutaneous buprenorphine depot injections in people with opioid dependence: Primary findings from the CoLAB study&lt;/title&gt;&lt;secondary-title&gt;International Journal of Drug Policy&lt;/secondary-title&gt;&lt;/titles&gt;&lt;pages&gt;103492&lt;/pages&gt;&lt;volume&gt;100&lt;/volume&gt;&lt;dates&gt;&lt;year&gt;2022&lt;/year&gt;&lt;/dates&gt;&lt;urls&gt;&lt;/urls&gt;&lt;/record&gt;&lt;/Cite&gt;&lt;/EndNote&gt;</w:instrText>
        </w:r>
        <w:r w:rsidR="002565E6" w:rsidRPr="00EA3458">
          <w:rPr>
            <w:rFonts w:eastAsia="Calibri" w:cs="Calibri"/>
            <w:color w:val="000000" w:themeColor="text1"/>
          </w:rPr>
          <w:fldChar w:fldCharType="separate"/>
        </w:r>
        <w:r w:rsidR="002565E6" w:rsidRPr="005531C9">
          <w:rPr>
            <w:rFonts w:eastAsia="Calibri" w:cs="Calibri"/>
            <w:noProof/>
            <w:color w:val="000000" w:themeColor="text1"/>
            <w:vertAlign w:val="superscript"/>
          </w:rPr>
          <w:t>5</w:t>
        </w:r>
        <w:r w:rsidR="002565E6" w:rsidRPr="00EA3458">
          <w:rPr>
            <w:rFonts w:eastAsia="Calibri" w:cs="Calibri"/>
            <w:color w:val="000000" w:themeColor="text1"/>
          </w:rPr>
          <w:fldChar w:fldCharType="end"/>
        </w:r>
      </w:hyperlink>
      <w:r w:rsidRPr="00EA3458">
        <w:rPr>
          <w:rFonts w:eastAsia="Calibri" w:cs="Calibri"/>
          <w:color w:val="000000" w:themeColor="text1"/>
        </w:rPr>
        <w:t xml:space="preserve"> Similarly, among a small sample (n=15) of people receiving either weekly or monthly long-acting in an England and Wales study, 81% reported overall satisfaction</w:t>
      </w:r>
      <w:r w:rsidR="002823CC">
        <w:rPr>
          <w:rFonts w:eastAsia="Calibri" w:cs="Calibri"/>
          <w:color w:val="000000" w:themeColor="text1"/>
        </w:rPr>
        <w:t>,</w:t>
      </w:r>
      <w:hyperlink w:anchor="_ENREF_57" w:tooltip="Parsons, 2020 #58" w:history="1">
        <w:r w:rsidR="002565E6" w:rsidRPr="00EA3458">
          <w:rPr>
            <w:rFonts w:eastAsia="Calibri" w:cs="Calibri"/>
            <w:color w:val="000000" w:themeColor="text1"/>
          </w:rPr>
          <w:fldChar w:fldCharType="begin"/>
        </w:r>
        <w:r w:rsidR="002565E6">
          <w:rPr>
            <w:rFonts w:eastAsia="Calibri" w:cs="Calibri"/>
            <w:color w:val="000000" w:themeColor="text1"/>
          </w:rPr>
          <w:instrText xml:space="preserve"> ADDIN EN.CITE &lt;EndNote&gt;&lt;Cite&gt;&lt;Author&gt;Parsons&lt;/Author&gt;&lt;Year&gt;2020&lt;/Year&gt;&lt;RecNum&gt;58&lt;/RecNum&gt;&lt;DisplayText&gt;&lt;style face="superscript"&gt;57&lt;/style&gt;&lt;/DisplayText&gt;&lt;record&gt;&lt;rec-number&gt;58&lt;/rec-number&gt;&lt;foreign-keys&gt;&lt;key app="EN" db-id="xssz590sx9vzw4ewpzdv0s5sret50aexdtd9" timestamp="1668645550"&gt;58&lt;/key&gt;&lt;/foreign-keys&gt;&lt;ref-type name="Journal Article"&gt;17&lt;/ref-type&gt;&lt;contributors&gt;&lt;authors&gt;&lt;author&gt;Parsons, G.&lt;/author&gt;&lt;author&gt;Ragbir, C.&lt;/author&gt;&lt;author&gt;D&amp;apos;Agnone, O.&lt;/author&gt;&lt;author&gt;Gibbs, A.&lt;/author&gt;&lt;author&gt;Littlewood, R.&lt;/author&gt;&lt;author&gt;Hard, B.&lt;/author&gt;&lt;/authors&gt;&lt;/contributors&gt;&lt;titles&gt;&lt;title&gt;Patient-Reported Outcomes, Experiences and Satisfaction with Weekly and Monthly Injectable Prolonged-Release Buprenorphine&lt;/title&gt;&lt;secondary-title&gt;Subst Abuse Rehabil&lt;/secondary-title&gt;&lt;/titles&gt;&lt;pages&gt;41-47&lt;/pages&gt;&lt;volume&gt;11&lt;/volume&gt;&lt;dates&gt;&lt;year&gt;2020&lt;/year&gt;&lt;/dates&gt;&lt;accession-num&gt;33173372&lt;/accession-num&gt;&lt;urls&gt;&lt;related-urls&gt;&lt;url&gt;https://www.dovepress.com/getfile.php?fileID=63244&lt;/url&gt;&lt;/related-urls&gt;&lt;/urls&gt;&lt;electronic-resource-num&gt;10.2147/sar.S266838&lt;/electronic-resource-num&gt;&lt;/record&gt;&lt;/Cite&gt;&lt;/EndNote&gt;</w:instrText>
        </w:r>
        <w:r w:rsidR="002565E6" w:rsidRPr="00EA3458">
          <w:rPr>
            <w:rFonts w:eastAsia="Calibri" w:cs="Calibri"/>
            <w:color w:val="000000" w:themeColor="text1"/>
          </w:rPr>
          <w:fldChar w:fldCharType="separate"/>
        </w:r>
        <w:r w:rsidR="002565E6" w:rsidRPr="00646D54">
          <w:rPr>
            <w:rFonts w:eastAsia="Calibri" w:cs="Calibri"/>
            <w:noProof/>
            <w:color w:val="000000" w:themeColor="text1"/>
            <w:vertAlign w:val="superscript"/>
          </w:rPr>
          <w:t>57</w:t>
        </w:r>
        <w:r w:rsidR="002565E6" w:rsidRPr="00EA3458">
          <w:rPr>
            <w:rFonts w:eastAsia="Calibri" w:cs="Calibri"/>
            <w:color w:val="000000" w:themeColor="text1"/>
          </w:rPr>
          <w:fldChar w:fldCharType="end"/>
        </w:r>
      </w:hyperlink>
      <w:r w:rsidRPr="00EA3458">
        <w:rPr>
          <w:rFonts w:eastAsia="Calibri" w:cs="Calibri"/>
          <w:color w:val="000000" w:themeColor="text1"/>
        </w:rPr>
        <w:t xml:space="preserve"> 81% convenient and 77% treatment effectiveness.</w:t>
      </w:r>
    </w:p>
    <w:p w14:paraId="4D9EBE45" w14:textId="7369F2D1" w:rsidR="00434810" w:rsidRPr="00EA3458" w:rsidRDefault="00434810" w:rsidP="00F22F00">
      <w:pPr>
        <w:pStyle w:val="Heading4"/>
      </w:pPr>
      <w:r w:rsidRPr="00EA3458">
        <w:t xml:space="preserve">Qualitative studies of the benefits of </w:t>
      </w:r>
      <w:r w:rsidR="004D0AEA">
        <w:t>LAIB</w:t>
      </w:r>
      <w:bookmarkEnd w:id="284"/>
      <w:bookmarkEnd w:id="285"/>
    </w:p>
    <w:p w14:paraId="1033D66E" w14:textId="656295C3" w:rsidR="00F3151C" w:rsidRDefault="00434810" w:rsidP="00B54030">
      <w:pPr>
        <w:spacing w:after="160" w:line="276" w:lineRule="auto"/>
        <w:rPr>
          <w:rFonts w:eastAsia="Calibri" w:cs="Calibri"/>
          <w:color w:val="000000" w:themeColor="text1"/>
        </w:rPr>
      </w:pPr>
      <w:r w:rsidRPr="00EA3458">
        <w:rPr>
          <w:rFonts w:eastAsia="Calibri" w:cs="Calibri"/>
          <w:color w:val="000000" w:themeColor="text1"/>
        </w:rPr>
        <w:t xml:space="preserve">Of a sample of 30 consumers receiving monthly </w:t>
      </w:r>
      <w:r w:rsidR="00890963">
        <w:rPr>
          <w:rFonts w:eastAsia="Calibri" w:cs="Calibri"/>
          <w:color w:val="000000" w:themeColor="text1"/>
        </w:rPr>
        <w:t xml:space="preserve">LAIB </w:t>
      </w:r>
      <w:r w:rsidRPr="00EA3458">
        <w:rPr>
          <w:rFonts w:eastAsia="Calibri" w:cs="Calibri"/>
          <w:color w:val="000000" w:themeColor="text1"/>
        </w:rPr>
        <w:t xml:space="preserve">(mostly through a clinical trial) located in metropolitan Sydney, regional NSW and metropolitan Melbourne and interviewed from February 2019 to March 2020, reported advantages of </w:t>
      </w:r>
      <w:r w:rsidR="00890963">
        <w:rPr>
          <w:rFonts w:eastAsia="Calibri" w:cs="Calibri"/>
          <w:color w:val="000000" w:themeColor="text1"/>
        </w:rPr>
        <w:t xml:space="preserve">LAIB </w:t>
      </w:r>
      <w:r w:rsidRPr="00EA3458">
        <w:rPr>
          <w:rFonts w:eastAsia="Calibri" w:cs="Calibri"/>
          <w:color w:val="000000" w:themeColor="text1"/>
        </w:rPr>
        <w:t>included a reduction in exposure to stigma and opportunity to think of themself in new or less stigmatising ways; a new sense of freedom from 'liquid handcuffs’, with time freed up which afforded the opportunity to engage in other activities, including travel (particularly for those in regional areas); and a new sense of normalcy and reimagining the potential for a different future life</w:t>
      </w:r>
      <w:r w:rsidR="002823CC">
        <w:rPr>
          <w:rFonts w:eastAsia="Calibri" w:cs="Calibri"/>
          <w:color w:val="000000" w:themeColor="text1"/>
        </w:rPr>
        <w:t>.</w:t>
      </w:r>
      <w:r w:rsidRPr="00EA3458">
        <w:rPr>
          <w:rFonts w:eastAsia="Calibri" w:cs="Calibri"/>
          <w:color w:val="000000" w:themeColor="text1"/>
        </w:rPr>
        <w:fldChar w:fldCharType="begin"/>
      </w:r>
      <w:r w:rsidR="00646D54">
        <w:rPr>
          <w:rFonts w:eastAsia="Calibri" w:cs="Calibri"/>
          <w:color w:val="000000" w:themeColor="text1"/>
        </w:rPr>
        <w:instrText xml:space="preserve"> ADDIN EN.CITE &lt;EndNote&gt;&lt;Cite&gt;&lt;Author&gt;Barnett&lt;/Author&gt;&lt;Year&gt;2021&lt;/Year&gt;&lt;RecNum&gt;59&lt;/RecNum&gt;&lt;DisplayText&gt;&lt;style face="superscript"&gt;58, 59&lt;/style&gt;&lt;/DisplayText&gt;&lt;record&gt;&lt;rec-number&gt;59&lt;/rec-number&gt;&lt;foreign-keys&gt;&lt;key app="EN" db-id="xssz590sx9vzw4ewpzdv0s5sret50aexdtd9" timestamp="1668645554"&gt;59&lt;/key&gt;&lt;/foreign-keys&gt;&lt;ref-type name="Journal Article"&gt;17&lt;/ref-type&gt;&lt;contributors&gt;&lt;authors&gt;&lt;author&gt;Barnett, A.&lt;/author&gt;&lt;author&gt;Savic, M.&lt;/author&gt;&lt;author&gt;Lintzeris, N.&lt;/author&gt;&lt;author&gt;Bathish, R.&lt;/author&gt;&lt;author&gt;Arunogiri, S.&lt;/author&gt;&lt;author&gt;Dunlop, A. J.&lt;/author&gt;&lt;author&gt;Haber, P.&lt;/author&gt;&lt;author&gt;Graham, R.&lt;/author&gt;&lt;author&gt;Hayes, V.&lt;/author&gt;&lt;author&gt;Lubman, D. I.&lt;/author&gt;&lt;/authors&gt;&lt;/contributors&gt;&lt;titles&gt;&lt;title&gt;Tracing the affordances of long-acting injectable depot buprenorphine: A qualitative study of patients&amp;apos; experiences in Australia&lt;/title&gt;&lt;secondary-title&gt;Drug Alcohol Depend&lt;/secondary-title&gt;&lt;/titles&gt;&lt;pages&gt;108959&lt;/pages&gt;&lt;volume&gt;227&lt;/volume&gt;&lt;dates&gt;&lt;year&gt;2021&lt;/year&gt;&lt;/dates&gt;&lt;accession-num&gt;34450472&lt;/accession-num&gt;&lt;urls&gt;&lt;/urls&gt;&lt;electronic-resource-num&gt;10.1016/j.drugalcdep.2021.108959&lt;/electronic-resource-num&gt;&lt;/record&gt;&lt;/Cite&gt;&lt;Cite&gt;&lt;Author&gt;Lancaster&lt;/Author&gt;&lt;Year&gt;Under review &lt;/Year&gt;&lt;RecNum&gt;60&lt;/RecNum&gt;&lt;record&gt;&lt;rec-number&gt;60&lt;/rec-number&gt;&lt;foreign-keys&gt;&lt;key app="EN" db-id="xssz590sx9vzw4ewpzdv0s5sret50aexdtd9" timestamp="1668645558"&gt;60&lt;/key&gt;&lt;/foreign-keys&gt;&lt;ref-type name="Journal Article"&gt;17&lt;/ref-type&gt;&lt;contributors&gt;&lt;authors&gt;&lt;author&gt;Lancaster, K.&lt;/author&gt;&lt;author&gt;Gendera, S. &lt;/author&gt;&lt;author&gt;Treloar, C.&lt;/author&gt;&lt;author&gt;Rhodes, T.&lt;/author&gt;&lt;author&gt;Shahbazi, J. &lt;/author&gt;&lt;author&gt;Byrne, M.&lt;/author&gt;&lt;author&gt;Degenhardt, L.&lt;/author&gt;&lt;author&gt;Farrell, M.&lt;/author&gt;&lt;/authors&gt;&lt;/contributors&gt;&lt;titles&gt;&lt;title&gt;The social, material and temporal effects of monthly extended-release byprenorphine depot treatment for opioid dependence: an Australian qualitative study&lt;/title&gt;&lt;secondary-title&gt;Addiction&lt;/secondary-title&gt;&lt;/titles&gt;&lt;dates&gt;&lt;year&gt;Under review &lt;/year&gt;&lt;/dates&gt;&lt;urls&gt;&lt;/urls&gt;&lt;/record&gt;&lt;/Cite&gt;&lt;/EndNote&gt;</w:instrText>
      </w:r>
      <w:r w:rsidRPr="00EA3458">
        <w:rPr>
          <w:rFonts w:eastAsia="Calibri" w:cs="Calibri"/>
          <w:color w:val="000000" w:themeColor="text1"/>
        </w:rPr>
        <w:fldChar w:fldCharType="separate"/>
      </w:r>
      <w:hyperlink w:anchor="_ENREF_58" w:tooltip="Barnett, 2021 #59" w:history="1">
        <w:r w:rsidR="002565E6" w:rsidRPr="00646D54">
          <w:rPr>
            <w:rFonts w:eastAsia="Calibri" w:cs="Calibri"/>
            <w:noProof/>
            <w:color w:val="000000" w:themeColor="text1"/>
            <w:vertAlign w:val="superscript"/>
          </w:rPr>
          <w:t>58</w:t>
        </w:r>
      </w:hyperlink>
      <w:r w:rsidR="00646D54" w:rsidRPr="00646D54">
        <w:rPr>
          <w:rFonts w:eastAsia="Calibri" w:cs="Calibri"/>
          <w:noProof/>
          <w:color w:val="000000" w:themeColor="text1"/>
          <w:vertAlign w:val="superscript"/>
        </w:rPr>
        <w:t>,</w:t>
      </w:r>
      <w:hyperlink w:anchor="_ENREF_59" w:tooltip="Lancaster, Under review  #60" w:history="1">
        <w:r w:rsidR="002565E6" w:rsidRPr="00646D54">
          <w:rPr>
            <w:rFonts w:eastAsia="Calibri" w:cs="Calibri"/>
            <w:noProof/>
            <w:color w:val="000000" w:themeColor="text1"/>
            <w:vertAlign w:val="superscript"/>
          </w:rPr>
          <w:t>59</w:t>
        </w:r>
      </w:hyperlink>
      <w:r w:rsidRPr="00EA3458">
        <w:rPr>
          <w:rFonts w:eastAsia="Calibri" w:cs="Calibri"/>
          <w:color w:val="000000" w:themeColor="text1"/>
        </w:rPr>
        <w:fldChar w:fldCharType="end"/>
      </w:r>
      <w:r w:rsidRPr="00EA3458">
        <w:rPr>
          <w:rFonts w:eastAsia="Calibri" w:cs="Calibri"/>
          <w:color w:val="000000" w:themeColor="text1"/>
        </w:rPr>
        <w:t xml:space="preserve"> </w:t>
      </w:r>
    </w:p>
    <w:p w14:paraId="6FB9467F" w14:textId="4A0CB7A3" w:rsidR="00F3151C" w:rsidRDefault="00434810" w:rsidP="00B54030">
      <w:pPr>
        <w:spacing w:after="160" w:line="276" w:lineRule="auto"/>
        <w:rPr>
          <w:rFonts w:eastAsia="Calibri" w:cs="Calibri"/>
          <w:color w:val="000000" w:themeColor="text1"/>
        </w:rPr>
      </w:pPr>
      <w:r w:rsidRPr="00EA3458">
        <w:rPr>
          <w:rFonts w:eastAsia="Calibri" w:cs="Calibri"/>
          <w:color w:val="000000" w:themeColor="text1"/>
        </w:rPr>
        <w:t xml:space="preserve">Many viewed </w:t>
      </w:r>
      <w:r w:rsidR="00890963">
        <w:rPr>
          <w:rFonts w:eastAsia="Calibri" w:cs="Calibri"/>
          <w:color w:val="000000" w:themeColor="text1"/>
        </w:rPr>
        <w:t xml:space="preserve">LAIB </w:t>
      </w:r>
      <w:r w:rsidRPr="00EA3458">
        <w:rPr>
          <w:rFonts w:eastAsia="Calibri" w:cs="Calibri"/>
          <w:color w:val="000000" w:themeColor="text1"/>
        </w:rPr>
        <w:t>as cost saving through avoidance of pharmacy fees. Others reported perceived benefits to include the slow-release formulation's ability to maintain a "level” or “normal” throughout the day for many days at a time, and the view that long-acting is the least stigmatising treatment modality available</w:t>
      </w:r>
      <w:r w:rsidR="002823CC">
        <w:rPr>
          <w:rFonts w:eastAsia="Calibri" w:cs="Calibri"/>
          <w:color w:val="000000" w:themeColor="text1"/>
        </w:rPr>
        <w:t>.</w:t>
      </w:r>
      <w:hyperlink w:anchor="_ENREF_49" w:tooltip="Neale, 2018 #50" w:history="1">
        <w:r w:rsidR="002565E6" w:rsidRPr="00EA3458">
          <w:rPr>
            <w:rFonts w:eastAsia="Calibri" w:cs="Calibri"/>
            <w:color w:val="000000" w:themeColor="text1"/>
          </w:rPr>
          <w:fldChar w:fldCharType="begin"/>
        </w:r>
        <w:r w:rsidR="002565E6">
          <w:rPr>
            <w:rFonts w:eastAsia="Calibri" w:cs="Calibri"/>
            <w:color w:val="000000" w:themeColor="text1"/>
          </w:rPr>
          <w:instrText xml:space="preserve"> ADDIN EN.CITE &lt;EndNote&gt;&lt;Cite&gt;&lt;Author&gt;Neale&lt;/Author&gt;&lt;Year&gt;2018&lt;/Year&gt;&lt;RecNum&gt;50&lt;/RecNum&gt;&lt;DisplayText&gt;&lt;style face="superscript"&gt;49&lt;/style&gt;&lt;/DisplayText&gt;&lt;record&gt;&lt;rec-number&gt;50&lt;/rec-number&gt;&lt;foreign-keys&gt;&lt;key app="EN" db-id="xssz590sx9vzw4ewpzdv0s5sret50aexdtd9" timestamp="1668645503"&gt;50&lt;/key&gt;&lt;/foreign-keys&gt;&lt;ref-type name="Journal Article"&gt;17&lt;/ref-type&gt;&lt;contributors&gt;&lt;authors&gt;&lt;author&gt;Neale, J.&lt;/author&gt;&lt;author&gt;Tompkins, C.N.E.&lt;/author&gt;&lt;author&gt;McDonald, R.&lt;/author&gt;&lt;author&gt;Strang, J. &lt;/author&gt;&lt;/authors&gt;&lt;/contributors&gt;&lt;titles&gt;&lt;title&gt;Implants and depot injections for treating opioid dependence: Qualitative study of people who use or have used heroin&lt;/title&gt;&lt;secondary-title&gt;Drug Alcohol Depend&lt;/secondary-title&gt;&lt;/titles&gt;&lt;pages&gt;1-7&lt;/pages&gt;&lt;volume&gt;189&lt;/volume&gt;&lt;dates&gt;&lt;year&gt;2018&lt;/year&gt;&lt;/dates&gt;&lt;urls&gt;&lt;/urls&gt;&lt;/record&gt;&lt;/Cite&gt;&lt;/EndNote&gt;</w:instrText>
        </w:r>
        <w:r w:rsidR="002565E6" w:rsidRPr="00EA3458">
          <w:rPr>
            <w:rFonts w:eastAsia="Calibri" w:cs="Calibri"/>
            <w:color w:val="000000" w:themeColor="text1"/>
          </w:rPr>
          <w:fldChar w:fldCharType="separate"/>
        </w:r>
        <w:r w:rsidR="002565E6" w:rsidRPr="00646D54">
          <w:rPr>
            <w:rFonts w:eastAsia="Calibri" w:cs="Calibri"/>
            <w:noProof/>
            <w:color w:val="000000" w:themeColor="text1"/>
            <w:vertAlign w:val="superscript"/>
          </w:rPr>
          <w:t>49</w:t>
        </w:r>
        <w:r w:rsidR="002565E6" w:rsidRPr="00EA3458">
          <w:rPr>
            <w:rFonts w:eastAsia="Calibri" w:cs="Calibri"/>
            <w:color w:val="000000" w:themeColor="text1"/>
          </w:rPr>
          <w:fldChar w:fldCharType="end"/>
        </w:r>
      </w:hyperlink>
      <w:r w:rsidRPr="00EA3458">
        <w:rPr>
          <w:rFonts w:eastAsia="Calibri" w:cs="Calibri"/>
          <w:color w:val="000000" w:themeColor="text1"/>
        </w:rPr>
        <w:t xml:space="preserve"> Especially for those with long treatment histories, </w:t>
      </w:r>
      <w:r w:rsidR="00890963">
        <w:rPr>
          <w:rFonts w:eastAsia="Calibri" w:cs="Calibri"/>
          <w:color w:val="000000" w:themeColor="text1"/>
        </w:rPr>
        <w:t xml:space="preserve">LAIB </w:t>
      </w:r>
      <w:r w:rsidRPr="00EA3458">
        <w:rPr>
          <w:rFonts w:eastAsia="Calibri" w:cs="Calibri"/>
          <w:color w:val="000000" w:themeColor="text1"/>
        </w:rPr>
        <w:t>has been reported as an opportunity to avoid being identified as being on O</w:t>
      </w:r>
      <w:r w:rsidR="004E0719">
        <w:rPr>
          <w:rFonts w:eastAsia="Calibri" w:cs="Calibri"/>
          <w:color w:val="000000" w:themeColor="text1"/>
        </w:rPr>
        <w:t>D</w:t>
      </w:r>
      <w:r w:rsidRPr="00EA3458">
        <w:rPr>
          <w:rFonts w:eastAsia="Calibri" w:cs="Calibri"/>
          <w:color w:val="000000" w:themeColor="text1"/>
        </w:rPr>
        <w:t>T</w:t>
      </w:r>
      <w:r w:rsidR="00313D57">
        <w:rPr>
          <w:rFonts w:eastAsia="Calibri" w:cs="Calibri"/>
          <w:color w:val="000000" w:themeColor="text1"/>
        </w:rPr>
        <w:t xml:space="preserve"> medication</w:t>
      </w:r>
      <w:r w:rsidRPr="00EA3458">
        <w:rPr>
          <w:rFonts w:eastAsia="Calibri" w:cs="Calibri"/>
          <w:color w:val="000000" w:themeColor="text1"/>
        </w:rPr>
        <w:t>, allowing participants to “pass as normal” and avoid stigma, and to consequently reshape their self-identities</w:t>
      </w:r>
      <w:r w:rsidR="002823CC">
        <w:rPr>
          <w:rFonts w:eastAsia="Calibri" w:cs="Calibri"/>
          <w:color w:val="000000" w:themeColor="text1"/>
        </w:rPr>
        <w:t>.</w:t>
      </w:r>
      <w:hyperlink w:anchor="_ENREF_60" w:tooltip="Treloar, Under review #61" w:history="1">
        <w:r w:rsidR="002565E6" w:rsidRPr="00EA3458">
          <w:rPr>
            <w:rFonts w:eastAsia="Calibri" w:cs="Calibri"/>
            <w:color w:val="000000" w:themeColor="text1"/>
          </w:rPr>
          <w:fldChar w:fldCharType="begin"/>
        </w:r>
        <w:r w:rsidR="002565E6">
          <w:rPr>
            <w:rFonts w:eastAsia="Calibri" w:cs="Calibri"/>
            <w:color w:val="000000" w:themeColor="text1"/>
          </w:rPr>
          <w:instrText xml:space="preserve"> ADDIN EN.CITE &lt;EndNote&gt;&lt;Cite&gt;&lt;Author&gt;Treloar&lt;/Author&gt;&lt;Year&gt;Under review&lt;/Year&gt;&lt;RecNum&gt;61&lt;/RecNum&gt;&lt;DisplayText&gt;&lt;style face="superscript"&gt;60&lt;/style&gt;&lt;/DisplayText&gt;&lt;record&gt;&lt;rec-number&gt;61&lt;/rec-number&gt;&lt;foreign-keys&gt;&lt;key app="EN" db-id="xssz590sx9vzw4ewpzdv0s5sret50aexdtd9" timestamp="1668645562"&gt;61&lt;/key&gt;&lt;/foreign-keys&gt;&lt;ref-type name="Journal Article"&gt;17&lt;/ref-type&gt;&lt;contributors&gt;&lt;authors&gt;&lt;author&gt;Treloar, C.&lt;/author&gt;&lt;author&gt;Lancaster, K.&lt;/author&gt;&lt;author&gt;Gendera, S. &lt;/author&gt;&lt;author&gt;Rhodes, T.&lt;/author&gt;&lt;author&gt;Shabhazi, J.&lt;/author&gt;&lt;author&gt;Byrne, M.&lt;/author&gt;&lt;author&gt;Degenhardt, L.&lt;/author&gt;&lt;author&gt;Farrell, M.&lt;/author&gt;&lt;/authors&gt;&lt;/contributors&gt;&lt;titles&gt;&lt;title&gt;How can a new formulation reduce stigma linked to opiate agonist treatment? Place, time and things in the experience of extended-release buprenorphine. &lt;/title&gt;&lt;secondary-title&gt;International Journal of Drug Policy&lt;/secondary-title&gt;&lt;/titles&gt;&lt;dates&gt;&lt;year&gt;Under review&lt;/year&gt;&lt;/dates&gt;&lt;urls&gt;&lt;/urls&gt;&lt;/record&gt;&lt;/Cite&gt;&lt;/EndNote&gt;</w:instrText>
        </w:r>
        <w:r w:rsidR="002565E6" w:rsidRPr="00EA3458">
          <w:rPr>
            <w:rFonts w:eastAsia="Calibri" w:cs="Calibri"/>
            <w:color w:val="000000" w:themeColor="text1"/>
          </w:rPr>
          <w:fldChar w:fldCharType="separate"/>
        </w:r>
        <w:r w:rsidR="002565E6" w:rsidRPr="00646D54">
          <w:rPr>
            <w:rFonts w:eastAsia="Calibri" w:cs="Calibri"/>
            <w:noProof/>
            <w:color w:val="000000" w:themeColor="text1"/>
            <w:vertAlign w:val="superscript"/>
          </w:rPr>
          <w:t>60</w:t>
        </w:r>
        <w:r w:rsidR="002565E6" w:rsidRPr="00EA3458">
          <w:rPr>
            <w:rFonts w:eastAsia="Calibri" w:cs="Calibri"/>
            <w:color w:val="000000" w:themeColor="text1"/>
          </w:rPr>
          <w:fldChar w:fldCharType="end"/>
        </w:r>
      </w:hyperlink>
      <w:r w:rsidRPr="00EA3458">
        <w:rPr>
          <w:rFonts w:eastAsia="Calibri" w:cs="Calibri"/>
          <w:color w:val="000000" w:themeColor="text1"/>
        </w:rPr>
        <w:t xml:space="preserve"> </w:t>
      </w:r>
    </w:p>
    <w:p w14:paraId="5DF63A5A" w14:textId="64EDB251" w:rsidR="00434810" w:rsidRPr="00EA3458" w:rsidRDefault="00434810" w:rsidP="00B54030">
      <w:pPr>
        <w:spacing w:after="160" w:line="276" w:lineRule="auto"/>
        <w:rPr>
          <w:rFonts w:eastAsia="Calibri" w:cs="Calibri"/>
          <w:color w:val="000000" w:themeColor="text1"/>
        </w:rPr>
      </w:pPr>
      <w:r w:rsidRPr="00EA3458">
        <w:rPr>
          <w:rFonts w:eastAsia="Calibri" w:cs="Calibri"/>
          <w:color w:val="000000" w:themeColor="text1"/>
        </w:rPr>
        <w:t xml:space="preserve">The reduced contact with pharmacies and drug treatment services may be viewed more positively amongst those with extensive treatment histories. Willingness to receive </w:t>
      </w:r>
      <w:r w:rsidR="00890963">
        <w:rPr>
          <w:rFonts w:eastAsia="Calibri" w:cs="Calibri"/>
          <w:color w:val="000000" w:themeColor="text1"/>
        </w:rPr>
        <w:t xml:space="preserve">LAIB </w:t>
      </w:r>
      <w:r w:rsidRPr="00EA3458">
        <w:rPr>
          <w:rFonts w:eastAsia="Calibri" w:cs="Calibri"/>
          <w:color w:val="000000" w:themeColor="text1"/>
        </w:rPr>
        <w:t>was greater amongst those with a goal of drug use abstinence, where flexibility and choice around dose and dosing frequency is offered, and depending on who administers the injection, with the option of self-administration viewed positively</w:t>
      </w:r>
      <w:r w:rsidR="00AC3E73">
        <w:rPr>
          <w:rFonts w:eastAsia="Calibri" w:cs="Calibri"/>
          <w:color w:val="000000" w:themeColor="text1"/>
        </w:rPr>
        <w:t xml:space="preserve"> (if the option </w:t>
      </w:r>
      <w:r w:rsidR="002F7DE4">
        <w:rPr>
          <w:rFonts w:eastAsia="Calibri" w:cs="Calibri"/>
          <w:color w:val="000000" w:themeColor="text1"/>
        </w:rPr>
        <w:t>was to</w:t>
      </w:r>
      <w:r w:rsidR="00AC3E73">
        <w:rPr>
          <w:rFonts w:eastAsia="Calibri" w:cs="Calibri"/>
          <w:color w:val="000000" w:themeColor="text1"/>
        </w:rPr>
        <w:t xml:space="preserve"> become available</w:t>
      </w:r>
      <w:r w:rsidR="002F7DE4">
        <w:rPr>
          <w:rFonts w:eastAsia="Calibri" w:cs="Calibri"/>
          <w:color w:val="000000" w:themeColor="text1"/>
        </w:rPr>
        <w:t>, noting currently patients are not able to handle LAIB directly</w:t>
      </w:r>
      <w:r w:rsidR="00AC3E73">
        <w:rPr>
          <w:rFonts w:eastAsia="Calibri" w:cs="Calibri"/>
          <w:color w:val="000000" w:themeColor="text1"/>
        </w:rPr>
        <w:t>)</w:t>
      </w:r>
      <w:r w:rsidR="002823CC">
        <w:rPr>
          <w:rFonts w:eastAsia="Calibri" w:cs="Calibri"/>
          <w:color w:val="000000" w:themeColor="text1"/>
        </w:rPr>
        <w:t>.</w:t>
      </w:r>
      <w:hyperlink w:anchor="_ENREF_50" w:tooltip="Tompkins, 2019 #51" w:history="1">
        <w:r w:rsidR="002565E6" w:rsidRPr="00EA3458">
          <w:rPr>
            <w:rFonts w:eastAsia="Calibri" w:cs="Calibri"/>
            <w:color w:val="000000" w:themeColor="text1"/>
          </w:rPr>
          <w:fldChar w:fldCharType="begin"/>
        </w:r>
        <w:r w:rsidR="002565E6">
          <w:rPr>
            <w:rFonts w:eastAsia="Calibri" w:cs="Calibri"/>
            <w:color w:val="000000" w:themeColor="text1"/>
          </w:rPr>
          <w:instrText xml:space="preserve"> ADDIN EN.CITE &lt;EndNote&gt;&lt;Cite&gt;&lt;Author&gt;Tompkins&lt;/Author&gt;&lt;Year&gt;2019&lt;/Year&gt;&lt;RecNum&gt;51&lt;/RecNum&gt;&lt;DisplayText&gt;&lt;style face="superscript"&gt;50&lt;/style&gt;&lt;/DisplayText&gt;&lt;record&gt;&lt;rec-number&gt;51&lt;/rec-number&gt;&lt;foreign-keys&gt;&lt;key app="EN" db-id="xssz590sx9vzw4ewpzdv0s5sret50aexdtd9" timestamp="1668645508"&gt;51&lt;/key&gt;&lt;/foreign-keys&gt;&lt;ref-type name="Journal Article"&gt;17&lt;/ref-type&gt;&lt;contributors&gt;&lt;authors&gt;&lt;author&gt;Tompkins, C. N. E.&lt;/author&gt;&lt;author&gt;Neale, J.&lt;/author&gt;&lt;author&gt;Strang, J.&lt;/author&gt;&lt;/authors&gt;&lt;/contributors&gt;&lt;titles&gt;&lt;title&gt;Opioid users&amp;apos; willingness to receive prolonged-release buprenorphine depot injections for opioid use disorder&lt;/title&gt;&lt;secondary-title&gt;J Subst Abuse Treat&lt;/secondary-title&gt;&lt;/titles&gt;&lt;pages&gt;64-71&lt;/pages&gt;&lt;volume&gt;104&lt;/volume&gt;&lt;dates&gt;&lt;year&gt;2019&lt;/year&gt;&lt;/dates&gt;&lt;accession-num&gt;31370986&lt;/accession-num&gt;&lt;urls&gt;&lt;related-urls&gt;&lt;url&gt;https://www.journalofsubstanceabusetreatment.com/article/S0740-5472(19)30102-3/pdf&lt;/url&gt;&lt;/related-urls&gt;&lt;/urls&gt;&lt;electronic-resource-num&gt;10.1016/j.jsat.2019.06.007&lt;/electronic-resource-num&gt;&lt;/record&gt;&lt;/Cite&gt;&lt;/EndNote&gt;</w:instrText>
        </w:r>
        <w:r w:rsidR="002565E6" w:rsidRPr="00EA3458">
          <w:rPr>
            <w:rFonts w:eastAsia="Calibri" w:cs="Calibri"/>
            <w:color w:val="000000" w:themeColor="text1"/>
          </w:rPr>
          <w:fldChar w:fldCharType="separate"/>
        </w:r>
        <w:r w:rsidR="002565E6" w:rsidRPr="00646D54">
          <w:rPr>
            <w:rFonts w:eastAsia="Calibri" w:cs="Calibri"/>
            <w:noProof/>
            <w:color w:val="000000" w:themeColor="text1"/>
            <w:vertAlign w:val="superscript"/>
          </w:rPr>
          <w:t>50</w:t>
        </w:r>
        <w:r w:rsidR="002565E6" w:rsidRPr="00EA3458">
          <w:rPr>
            <w:rFonts w:eastAsia="Calibri" w:cs="Calibri"/>
            <w:color w:val="000000" w:themeColor="text1"/>
          </w:rPr>
          <w:fldChar w:fldCharType="end"/>
        </w:r>
      </w:hyperlink>
      <w:r w:rsidRPr="00EA3458">
        <w:rPr>
          <w:rFonts w:eastAsia="Calibri" w:cs="Calibri"/>
          <w:color w:val="000000" w:themeColor="text1"/>
        </w:rPr>
        <w:t xml:space="preserve"> </w:t>
      </w:r>
    </w:p>
    <w:p w14:paraId="457DB3D4" w14:textId="77777777" w:rsidR="00B827B1" w:rsidRDefault="00B827B1">
      <w:pPr>
        <w:spacing w:after="160" w:line="259" w:lineRule="auto"/>
        <w:jc w:val="left"/>
        <w:rPr>
          <w:rFonts w:asciiTheme="majorHAnsi" w:eastAsiaTheme="majorEastAsia" w:hAnsiTheme="majorHAnsi" w:cstheme="majorBidi"/>
          <w:i/>
          <w:iCs/>
          <w:color w:val="2F5496" w:themeColor="accent1" w:themeShade="BF"/>
        </w:rPr>
      </w:pPr>
      <w:bookmarkStart w:id="289" w:name="_Toc99135840"/>
      <w:bookmarkStart w:id="290" w:name="_Toc116025876"/>
      <w:r>
        <w:br w:type="page"/>
      </w:r>
    </w:p>
    <w:p w14:paraId="4A296E01" w14:textId="7CE3AD56" w:rsidR="00434810" w:rsidRPr="00EA3458" w:rsidRDefault="00434810" w:rsidP="00DA0E77">
      <w:pPr>
        <w:pStyle w:val="Heading4"/>
        <w:rPr>
          <w:rFonts w:asciiTheme="minorHAnsi" w:hAnsiTheme="minorHAnsi"/>
          <w:color w:val="auto"/>
        </w:rPr>
      </w:pPr>
      <w:r w:rsidRPr="00EA3458">
        <w:lastRenderedPageBreak/>
        <w:t>Concerns about long-acting buprenorphine</w:t>
      </w:r>
      <w:bookmarkEnd w:id="289"/>
      <w:bookmarkEnd w:id="290"/>
    </w:p>
    <w:p w14:paraId="13D60286" w14:textId="5852B2A3" w:rsidR="00705AF0" w:rsidRPr="00415ACE" w:rsidRDefault="00434810" w:rsidP="00415ACE">
      <w:pPr>
        <w:spacing w:after="160" w:line="276" w:lineRule="auto"/>
        <w:rPr>
          <w:rFonts w:eastAsia="Calibri" w:cs="Calibri"/>
          <w:color w:val="000000" w:themeColor="text1"/>
        </w:rPr>
      </w:pPr>
      <w:r w:rsidRPr="00EA3458">
        <w:rPr>
          <w:rFonts w:eastAsia="Calibri" w:cs="Calibri"/>
          <w:color w:val="000000" w:themeColor="text1"/>
        </w:rPr>
        <w:t xml:space="preserve">Reported drawbacks for consumers receiving </w:t>
      </w:r>
      <w:r w:rsidR="00890963">
        <w:rPr>
          <w:rFonts w:eastAsia="Calibri" w:cs="Calibri"/>
          <w:color w:val="000000" w:themeColor="text1"/>
        </w:rPr>
        <w:t xml:space="preserve">LAIB </w:t>
      </w:r>
      <w:r w:rsidRPr="00EA3458">
        <w:rPr>
          <w:rFonts w:eastAsia="Calibri" w:cs="Calibri"/>
          <w:color w:val="000000" w:themeColor="text1"/>
        </w:rPr>
        <w:t>in NSW and VIC include loss of social connection; erosion of the daily routine and structure (which had also acted as support to control substance use); less control over medication dosing; and the inability to sell takeaway buprenorphine doses for income</w:t>
      </w:r>
      <w:r w:rsidR="002823CC">
        <w:rPr>
          <w:rFonts w:eastAsia="Calibri" w:cs="Calibri"/>
          <w:color w:val="000000" w:themeColor="text1"/>
        </w:rPr>
        <w:t>.</w:t>
      </w:r>
      <w:r w:rsidRPr="00EA3458">
        <w:rPr>
          <w:rFonts w:eastAsia="Calibri" w:cs="Calibri"/>
          <w:color w:val="000000" w:themeColor="text1"/>
        </w:rPr>
        <w:fldChar w:fldCharType="begin"/>
      </w:r>
      <w:r w:rsidR="00646D54">
        <w:rPr>
          <w:rFonts w:eastAsia="Calibri" w:cs="Calibri"/>
          <w:color w:val="000000" w:themeColor="text1"/>
        </w:rPr>
        <w:instrText xml:space="preserve"> ADDIN EN.CITE &lt;EndNote&gt;&lt;Cite&gt;&lt;Author&gt;Barnett&lt;/Author&gt;&lt;Year&gt;2021&lt;/Year&gt;&lt;RecNum&gt;59&lt;/RecNum&gt;&lt;DisplayText&gt;&lt;style face="superscript"&gt;58, 59&lt;/style&gt;&lt;/DisplayText&gt;&lt;record&gt;&lt;rec-number&gt;59&lt;/rec-number&gt;&lt;foreign-keys&gt;&lt;key app="EN" db-id="xssz590sx9vzw4ewpzdv0s5sret50aexdtd9" timestamp="1668645554"&gt;59&lt;/key&gt;&lt;/foreign-keys&gt;&lt;ref-type name="Journal Article"&gt;17&lt;/ref-type&gt;&lt;contributors&gt;&lt;authors&gt;&lt;author&gt;Barnett, A.&lt;/author&gt;&lt;author&gt;Savic, M.&lt;/author&gt;&lt;author&gt;Lintzeris, N.&lt;/author&gt;&lt;author&gt;Bathish, R.&lt;/author&gt;&lt;author&gt;Arunogiri, S.&lt;/author&gt;&lt;author&gt;Dunlop, A. J.&lt;/author&gt;&lt;author&gt;Haber, P.&lt;/author&gt;&lt;author&gt;Graham, R.&lt;/author&gt;&lt;author&gt;Hayes, V.&lt;/author&gt;&lt;author&gt;Lubman, D. I.&lt;/author&gt;&lt;/authors&gt;&lt;/contributors&gt;&lt;titles&gt;&lt;title&gt;Tracing the affordances of long-acting injectable depot buprenorphine: A qualitative study of patients&amp;apos; experiences in Australia&lt;/title&gt;&lt;secondary-title&gt;Drug Alcohol Depend&lt;/secondary-title&gt;&lt;/titles&gt;&lt;pages&gt;108959&lt;/pages&gt;&lt;volume&gt;227&lt;/volume&gt;&lt;dates&gt;&lt;year&gt;2021&lt;/year&gt;&lt;/dates&gt;&lt;accession-num&gt;34450472&lt;/accession-num&gt;&lt;urls&gt;&lt;/urls&gt;&lt;electronic-resource-num&gt;10.1016/j.drugalcdep.2021.108959&lt;/electronic-resource-num&gt;&lt;/record&gt;&lt;/Cite&gt;&lt;Cite&gt;&lt;Author&gt;Lancaster&lt;/Author&gt;&lt;Year&gt;Under review &lt;/Year&gt;&lt;RecNum&gt;60&lt;/RecNum&gt;&lt;record&gt;&lt;rec-number&gt;60&lt;/rec-number&gt;&lt;foreign-keys&gt;&lt;key app="EN" db-id="xssz590sx9vzw4ewpzdv0s5sret50aexdtd9" timestamp="1668645558"&gt;60&lt;/key&gt;&lt;/foreign-keys&gt;&lt;ref-type name="Journal Article"&gt;17&lt;/ref-type&gt;&lt;contributors&gt;&lt;authors&gt;&lt;author&gt;Lancaster, K.&lt;/author&gt;&lt;author&gt;Gendera, S. &lt;/author&gt;&lt;author&gt;Treloar, C.&lt;/author&gt;&lt;author&gt;Rhodes, T.&lt;/author&gt;&lt;author&gt;Shahbazi, J. &lt;/author&gt;&lt;author&gt;Byrne, M.&lt;/author&gt;&lt;author&gt;Degenhardt, L.&lt;/author&gt;&lt;author&gt;Farrell, M.&lt;/author&gt;&lt;/authors&gt;&lt;/contributors&gt;&lt;titles&gt;&lt;title&gt;The social, material and temporal effects of monthly extended-release byprenorphine depot treatment for opioid dependence: an Australian qualitative study&lt;/title&gt;&lt;secondary-title&gt;Addiction&lt;/secondary-title&gt;&lt;/titles&gt;&lt;dates&gt;&lt;year&gt;Under review &lt;/year&gt;&lt;/dates&gt;&lt;urls&gt;&lt;/urls&gt;&lt;/record&gt;&lt;/Cite&gt;&lt;/EndNote&gt;</w:instrText>
      </w:r>
      <w:r w:rsidRPr="00EA3458">
        <w:rPr>
          <w:rFonts w:eastAsia="Calibri" w:cs="Calibri"/>
          <w:color w:val="000000" w:themeColor="text1"/>
        </w:rPr>
        <w:fldChar w:fldCharType="separate"/>
      </w:r>
      <w:hyperlink w:anchor="_ENREF_58" w:tooltip="Barnett, 2021 #59" w:history="1">
        <w:r w:rsidR="002565E6" w:rsidRPr="00646D54">
          <w:rPr>
            <w:rFonts w:eastAsia="Calibri" w:cs="Calibri"/>
            <w:noProof/>
            <w:color w:val="000000" w:themeColor="text1"/>
            <w:vertAlign w:val="superscript"/>
          </w:rPr>
          <w:t>58</w:t>
        </w:r>
      </w:hyperlink>
      <w:r w:rsidR="00646D54" w:rsidRPr="00646D54">
        <w:rPr>
          <w:rFonts w:eastAsia="Calibri" w:cs="Calibri"/>
          <w:noProof/>
          <w:color w:val="000000" w:themeColor="text1"/>
          <w:vertAlign w:val="superscript"/>
        </w:rPr>
        <w:t>,</w:t>
      </w:r>
      <w:hyperlink w:anchor="_ENREF_59" w:tooltip="Lancaster, Under review  #60" w:history="1">
        <w:r w:rsidR="002565E6" w:rsidRPr="00646D54">
          <w:rPr>
            <w:rFonts w:eastAsia="Calibri" w:cs="Calibri"/>
            <w:noProof/>
            <w:color w:val="000000" w:themeColor="text1"/>
            <w:vertAlign w:val="superscript"/>
          </w:rPr>
          <w:t>59</w:t>
        </w:r>
      </w:hyperlink>
      <w:r w:rsidRPr="00EA3458">
        <w:rPr>
          <w:rFonts w:eastAsia="Calibri" w:cs="Calibri"/>
          <w:color w:val="000000" w:themeColor="text1"/>
        </w:rPr>
        <w:fldChar w:fldCharType="end"/>
      </w:r>
      <w:r w:rsidRPr="00EA3458">
        <w:rPr>
          <w:rFonts w:eastAsia="Calibri" w:cs="Calibri"/>
          <w:color w:val="000000" w:themeColor="text1"/>
        </w:rPr>
        <w:t xml:space="preserve"> The stated benefits of </w:t>
      </w:r>
      <w:r w:rsidR="00890963">
        <w:rPr>
          <w:rFonts w:eastAsia="Calibri" w:cs="Calibri"/>
          <w:color w:val="000000" w:themeColor="text1"/>
        </w:rPr>
        <w:t xml:space="preserve">LAIB </w:t>
      </w:r>
      <w:r w:rsidRPr="00EA3458">
        <w:rPr>
          <w:rFonts w:eastAsia="Calibri" w:cs="Calibri"/>
          <w:color w:val="000000" w:themeColor="text1"/>
        </w:rPr>
        <w:t xml:space="preserve">are echoed in consumer samples based in London, with people noting important concerns </w:t>
      </w:r>
      <w:r w:rsidR="006A0626">
        <w:rPr>
          <w:rFonts w:eastAsia="Calibri" w:cs="Calibri"/>
          <w:color w:val="000000" w:themeColor="text1"/>
        </w:rPr>
        <w:t xml:space="preserve">with LAIB treatment </w:t>
      </w:r>
      <w:r w:rsidRPr="00EA3458">
        <w:rPr>
          <w:rFonts w:eastAsia="Calibri" w:cs="Calibri"/>
          <w:color w:val="000000" w:themeColor="text1"/>
        </w:rPr>
        <w:t>such as being unable to control the medication dose or stop treatment easily once started, having something foreign inside of them, potential side effects, potential reduced social interactions, and reduced choice and control</w:t>
      </w:r>
      <w:r w:rsidR="002823CC">
        <w:rPr>
          <w:rFonts w:eastAsia="Calibri" w:cs="Calibri"/>
          <w:color w:val="000000" w:themeColor="text1"/>
        </w:rPr>
        <w:t>.</w:t>
      </w:r>
      <w:r w:rsidRPr="00EA3458">
        <w:rPr>
          <w:rFonts w:eastAsia="Calibri" w:cs="Calibri"/>
          <w:color w:val="000000" w:themeColor="text1"/>
        </w:rPr>
        <w:fldChar w:fldCharType="begin"/>
      </w:r>
      <w:r w:rsidR="00646D54">
        <w:rPr>
          <w:rFonts w:eastAsia="Calibri" w:cs="Calibri"/>
          <w:color w:val="000000" w:themeColor="text1"/>
        </w:rPr>
        <w:instrText xml:space="preserve"> ADDIN EN.CITE &lt;EndNote&gt;&lt;Cite&gt;&lt;Author&gt;Neale&lt;/Author&gt;&lt;Year&gt;2018&lt;/Year&gt;&lt;RecNum&gt;50&lt;/RecNum&gt;&lt;DisplayText&gt;&lt;style face="superscript"&gt;49, 50&lt;/style&gt;&lt;/DisplayText&gt;&lt;record&gt;&lt;rec-number&gt;50&lt;/rec-number&gt;&lt;foreign-keys&gt;&lt;key app="EN" db-id="xssz590sx9vzw4ewpzdv0s5sret50aexdtd9" timestamp="1668645503"&gt;50&lt;/key&gt;&lt;/foreign-keys&gt;&lt;ref-type name="Journal Article"&gt;17&lt;/ref-type&gt;&lt;contributors&gt;&lt;authors&gt;&lt;author&gt;Neale, J.&lt;/author&gt;&lt;author&gt;Tompkins, C.N.E.&lt;/author&gt;&lt;author&gt;McDonald, R.&lt;/author&gt;&lt;author&gt;Strang, J. &lt;/author&gt;&lt;/authors&gt;&lt;/contributors&gt;&lt;titles&gt;&lt;title&gt;Implants and depot injections for treating opioid dependence: Qualitative study of people who use or have used heroin&lt;/title&gt;&lt;secondary-title&gt;Drug Alcohol Depend&lt;/secondary-title&gt;&lt;/titles&gt;&lt;pages&gt;1-7&lt;/pages&gt;&lt;volume&gt;189&lt;/volume&gt;&lt;dates&gt;&lt;year&gt;2018&lt;/year&gt;&lt;/dates&gt;&lt;urls&gt;&lt;/urls&gt;&lt;/record&gt;&lt;/Cite&gt;&lt;Cite&gt;&lt;Author&gt;Tompkins&lt;/Author&gt;&lt;Year&gt;2019&lt;/Year&gt;&lt;RecNum&gt;51&lt;/RecNum&gt;&lt;record&gt;&lt;rec-number&gt;51&lt;/rec-number&gt;&lt;foreign-keys&gt;&lt;key app="EN" db-id="xssz590sx9vzw4ewpzdv0s5sret50aexdtd9" timestamp="1668645508"&gt;51&lt;/key&gt;&lt;/foreign-keys&gt;&lt;ref-type name="Journal Article"&gt;17&lt;/ref-type&gt;&lt;contributors&gt;&lt;authors&gt;&lt;author&gt;Tompkins, C. N. E.&lt;/author&gt;&lt;author&gt;Neale, J.&lt;/author&gt;&lt;author&gt;Strang, J.&lt;/author&gt;&lt;/authors&gt;&lt;/contributors&gt;&lt;titles&gt;&lt;title&gt;Opioid users&amp;apos; willingness to receive prolonged-release buprenorphine depot injections for opioid use disorder&lt;/title&gt;&lt;secondary-title&gt;J Subst Abuse Treat&lt;/secondary-title&gt;&lt;/titles&gt;&lt;pages&gt;64-71&lt;/pages&gt;&lt;volume&gt;104&lt;/volume&gt;&lt;dates&gt;&lt;year&gt;2019&lt;/year&gt;&lt;/dates&gt;&lt;accession-num&gt;31370986&lt;/accession-num&gt;&lt;urls&gt;&lt;related-urls&gt;&lt;url&gt;https://www.journalofsubstanceabusetreatment.com/article/S0740-5472(19)30102-3/pdf&lt;/url&gt;&lt;/related-urls&gt;&lt;/urls&gt;&lt;electronic-resource-num&gt;10.1016/j.jsat.2019.06.007&lt;/electronic-resource-num&gt;&lt;/record&gt;&lt;/Cite&gt;&lt;/EndNote&gt;</w:instrText>
      </w:r>
      <w:r w:rsidRPr="00EA3458">
        <w:rPr>
          <w:rFonts w:eastAsia="Calibri" w:cs="Calibri"/>
          <w:color w:val="000000" w:themeColor="text1"/>
        </w:rPr>
        <w:fldChar w:fldCharType="separate"/>
      </w:r>
      <w:hyperlink w:anchor="_ENREF_49" w:tooltip="Neale, 2018 #50" w:history="1">
        <w:r w:rsidR="002565E6" w:rsidRPr="00646D54">
          <w:rPr>
            <w:rFonts w:eastAsia="Calibri" w:cs="Calibri"/>
            <w:noProof/>
            <w:color w:val="000000" w:themeColor="text1"/>
            <w:vertAlign w:val="superscript"/>
          </w:rPr>
          <w:t>49</w:t>
        </w:r>
      </w:hyperlink>
      <w:r w:rsidR="00646D54" w:rsidRPr="00646D54">
        <w:rPr>
          <w:rFonts w:eastAsia="Calibri" w:cs="Calibri"/>
          <w:noProof/>
          <w:color w:val="000000" w:themeColor="text1"/>
          <w:vertAlign w:val="superscript"/>
        </w:rPr>
        <w:t>,</w:t>
      </w:r>
      <w:hyperlink w:anchor="_ENREF_50" w:tooltip="Tompkins, 2019 #51" w:history="1">
        <w:r w:rsidR="002565E6" w:rsidRPr="00646D54">
          <w:rPr>
            <w:rFonts w:eastAsia="Calibri" w:cs="Calibri"/>
            <w:noProof/>
            <w:color w:val="000000" w:themeColor="text1"/>
            <w:vertAlign w:val="superscript"/>
          </w:rPr>
          <w:t>50</w:t>
        </w:r>
      </w:hyperlink>
      <w:r w:rsidRPr="00EA3458">
        <w:rPr>
          <w:rFonts w:eastAsia="Calibri" w:cs="Calibri"/>
          <w:color w:val="000000" w:themeColor="text1"/>
        </w:rPr>
        <w:fldChar w:fldCharType="end"/>
      </w:r>
      <w:r w:rsidRPr="00EA3458">
        <w:rPr>
          <w:rFonts w:eastAsia="Calibri" w:cs="Calibri"/>
          <w:color w:val="000000" w:themeColor="text1"/>
        </w:rPr>
        <w:t xml:space="preserve"> Consumers are concerned about the dose not 'holding them’ for the dosing interval, and desire for choice of injection site. The importance of consumer choice in treatment formulation, including dosing frequency and dose of </w:t>
      </w:r>
      <w:r w:rsidR="004D0AEA">
        <w:rPr>
          <w:rFonts w:eastAsia="Calibri" w:cs="Calibri"/>
          <w:color w:val="000000" w:themeColor="text1"/>
        </w:rPr>
        <w:t>LAIB</w:t>
      </w:r>
      <w:r w:rsidRPr="00EA3458">
        <w:rPr>
          <w:rFonts w:eastAsia="Calibri" w:cs="Calibri"/>
          <w:color w:val="000000" w:themeColor="text1"/>
        </w:rPr>
        <w:t>, and potential erosion of choice, is a recurring concern reported across the studies.</w:t>
      </w:r>
      <w:r w:rsidR="00705AF0">
        <w:br w:type="page"/>
      </w:r>
    </w:p>
    <w:p w14:paraId="0E285FC0" w14:textId="68309A2B" w:rsidR="0017441B" w:rsidRPr="00EA3458" w:rsidRDefault="0017441B" w:rsidP="00DA0E77">
      <w:pPr>
        <w:pStyle w:val="Heading3"/>
      </w:pPr>
      <w:bookmarkStart w:id="291" w:name="_Toc163221169"/>
      <w:r w:rsidRPr="00EA3458">
        <w:lastRenderedPageBreak/>
        <w:t>Essential elements of ODT service delivery models</w:t>
      </w:r>
      <w:bookmarkEnd w:id="291"/>
    </w:p>
    <w:p w14:paraId="641A3288" w14:textId="6FB10497" w:rsidR="0027110F" w:rsidRPr="006E6D66" w:rsidRDefault="00B8689F" w:rsidP="0027110F">
      <w:pPr>
        <w:rPr>
          <w:rStyle w:val="normaltextrun"/>
          <w:rFonts w:asciiTheme="minorHAnsi" w:hAnsiTheme="minorHAnsi" w:cstheme="minorHAnsi"/>
        </w:rPr>
      </w:pPr>
      <w:bookmarkStart w:id="292" w:name="_Hlk119572719"/>
      <w:r w:rsidRPr="00EA3458">
        <w:rPr>
          <w:rFonts w:asciiTheme="minorHAnsi" w:hAnsiTheme="minorHAnsi" w:cstheme="minorHAnsi"/>
        </w:rPr>
        <w:t xml:space="preserve">In addressing the various aspects of TOR 1, </w:t>
      </w:r>
      <w:r>
        <w:rPr>
          <w:rFonts w:asciiTheme="minorHAnsi" w:hAnsiTheme="minorHAnsi" w:cstheme="minorHAnsi"/>
        </w:rPr>
        <w:t>t</w:t>
      </w:r>
      <w:r w:rsidR="0027110F" w:rsidRPr="006E6D66">
        <w:rPr>
          <w:rStyle w:val="normaltextrun"/>
          <w:rFonts w:asciiTheme="minorHAnsi" w:hAnsiTheme="minorHAnsi" w:cstheme="minorHAnsi"/>
        </w:rPr>
        <w:t xml:space="preserve">he following overarching principles </w:t>
      </w:r>
      <w:r w:rsidR="00185110">
        <w:rPr>
          <w:rStyle w:val="normaltextrun"/>
          <w:rFonts w:asciiTheme="minorHAnsi" w:hAnsiTheme="minorHAnsi" w:cstheme="minorHAnsi"/>
        </w:rPr>
        <w:t>could be used to</w:t>
      </w:r>
      <w:r w:rsidR="00185110" w:rsidRPr="006E6D66">
        <w:rPr>
          <w:rStyle w:val="normaltextrun"/>
          <w:rFonts w:asciiTheme="minorHAnsi" w:hAnsiTheme="minorHAnsi" w:cstheme="minorHAnsi"/>
        </w:rPr>
        <w:t xml:space="preserve"> </w:t>
      </w:r>
      <w:r w:rsidR="0027110F" w:rsidRPr="006E6D66">
        <w:rPr>
          <w:rStyle w:val="normaltextrun"/>
          <w:rFonts w:asciiTheme="minorHAnsi" w:hAnsiTheme="minorHAnsi" w:cstheme="minorHAnsi"/>
        </w:rPr>
        <w:t xml:space="preserve">guide the future design and delivery of </w:t>
      </w:r>
      <w:r w:rsidR="0027110F">
        <w:rPr>
          <w:rStyle w:val="normaltextrun"/>
          <w:rFonts w:asciiTheme="minorHAnsi" w:hAnsiTheme="minorHAnsi" w:cstheme="minorHAnsi"/>
        </w:rPr>
        <w:t>O</w:t>
      </w:r>
      <w:r w:rsidR="00313D57">
        <w:rPr>
          <w:rStyle w:val="normaltextrun"/>
          <w:rFonts w:asciiTheme="minorHAnsi" w:hAnsiTheme="minorHAnsi" w:cstheme="minorHAnsi"/>
        </w:rPr>
        <w:t>D</w:t>
      </w:r>
      <w:r w:rsidR="0027110F">
        <w:rPr>
          <w:rStyle w:val="normaltextrun"/>
          <w:rFonts w:asciiTheme="minorHAnsi" w:hAnsiTheme="minorHAnsi" w:cstheme="minorHAnsi"/>
        </w:rPr>
        <w:t>T</w:t>
      </w:r>
      <w:r w:rsidR="00313D57">
        <w:rPr>
          <w:rStyle w:val="normaltextrun"/>
          <w:rFonts w:asciiTheme="minorHAnsi" w:hAnsiTheme="minorHAnsi" w:cstheme="minorHAnsi"/>
        </w:rPr>
        <w:t xml:space="preserve"> medicines</w:t>
      </w:r>
      <w:r>
        <w:rPr>
          <w:rStyle w:val="normaltextrun"/>
          <w:rFonts w:asciiTheme="minorHAnsi" w:hAnsiTheme="minorHAnsi" w:cstheme="minorHAnsi"/>
        </w:rPr>
        <w:t xml:space="preserve"> specifically</w:t>
      </w:r>
      <w:r w:rsidR="0027110F" w:rsidRPr="006E6D66">
        <w:rPr>
          <w:rStyle w:val="normaltextrun"/>
          <w:rFonts w:asciiTheme="minorHAnsi" w:hAnsiTheme="minorHAnsi" w:cstheme="minorHAnsi"/>
        </w:rPr>
        <w:t>:</w:t>
      </w:r>
    </w:p>
    <w:p w14:paraId="5C116F0F" w14:textId="77777777" w:rsidR="0027110F" w:rsidRPr="00341F3B" w:rsidRDefault="0027110F" w:rsidP="007E3DC8">
      <w:pPr>
        <w:pStyle w:val="ListParagraph"/>
        <w:numPr>
          <w:ilvl w:val="0"/>
          <w:numId w:val="24"/>
        </w:numPr>
        <w:jc w:val="left"/>
        <w:rPr>
          <w:rStyle w:val="normaltextrun"/>
          <w:rFonts w:cstheme="minorHAnsi"/>
        </w:rPr>
      </w:pPr>
      <w:r w:rsidRPr="00341F3B">
        <w:rPr>
          <w:rStyle w:val="normaltextrun"/>
          <w:rFonts w:cstheme="minorHAnsi"/>
        </w:rPr>
        <w:t>person-centred care (autonomy and shared-decision making)</w:t>
      </w:r>
    </w:p>
    <w:p w14:paraId="23DE829E" w14:textId="0A868DB3" w:rsidR="0027110F" w:rsidRPr="00341F3B" w:rsidRDefault="0027110F" w:rsidP="007E3DC8">
      <w:pPr>
        <w:pStyle w:val="ListParagraph"/>
        <w:numPr>
          <w:ilvl w:val="0"/>
          <w:numId w:val="24"/>
        </w:numPr>
        <w:jc w:val="left"/>
        <w:rPr>
          <w:rStyle w:val="normaltextrun"/>
          <w:rFonts w:cstheme="minorHAnsi"/>
        </w:rPr>
      </w:pPr>
      <w:r w:rsidRPr="00341F3B">
        <w:rPr>
          <w:rStyle w:val="normaltextrun"/>
          <w:rFonts w:cstheme="minorHAnsi"/>
        </w:rPr>
        <w:t xml:space="preserve">equitable </w:t>
      </w:r>
      <w:r w:rsidR="00581A45">
        <w:rPr>
          <w:rStyle w:val="normaltextrun"/>
          <w:rFonts w:cstheme="minorHAnsi"/>
        </w:rPr>
        <w:t xml:space="preserve">and affordable </w:t>
      </w:r>
      <w:r w:rsidRPr="00341F3B">
        <w:rPr>
          <w:rStyle w:val="normaltextrun"/>
          <w:rFonts w:cstheme="minorHAnsi"/>
        </w:rPr>
        <w:t>access</w:t>
      </w:r>
    </w:p>
    <w:p w14:paraId="50977864" w14:textId="750A0ACA" w:rsidR="0027110F" w:rsidRPr="00341F3B" w:rsidRDefault="0027110F" w:rsidP="007E3DC8">
      <w:pPr>
        <w:pStyle w:val="ListParagraph"/>
        <w:numPr>
          <w:ilvl w:val="0"/>
          <w:numId w:val="24"/>
        </w:numPr>
        <w:jc w:val="left"/>
        <w:rPr>
          <w:rStyle w:val="normaltextrun"/>
          <w:rFonts w:cstheme="minorHAnsi"/>
        </w:rPr>
      </w:pPr>
      <w:r w:rsidRPr="00341F3B">
        <w:rPr>
          <w:rStyle w:val="normaltextrun"/>
          <w:rFonts w:cstheme="minorHAnsi"/>
        </w:rPr>
        <w:t xml:space="preserve">high-quality treatment </w:t>
      </w:r>
      <w:r w:rsidR="00581A45">
        <w:rPr>
          <w:rStyle w:val="normaltextrun"/>
          <w:rFonts w:cstheme="minorHAnsi"/>
        </w:rPr>
        <w:t xml:space="preserve">(both </w:t>
      </w:r>
      <w:r w:rsidR="00694A1A">
        <w:rPr>
          <w:rStyle w:val="normaltextrun"/>
          <w:rFonts w:cstheme="minorHAnsi"/>
        </w:rPr>
        <w:t xml:space="preserve">ODT medicines </w:t>
      </w:r>
      <w:r w:rsidR="00581A45">
        <w:rPr>
          <w:rStyle w:val="normaltextrun"/>
          <w:rFonts w:cstheme="minorHAnsi"/>
        </w:rPr>
        <w:t>and psychosocial support services)</w:t>
      </w:r>
    </w:p>
    <w:p w14:paraId="5DF28578" w14:textId="77777777" w:rsidR="0027110F" w:rsidRPr="00341F3B" w:rsidRDefault="0027110F" w:rsidP="007E3DC8">
      <w:pPr>
        <w:pStyle w:val="ListParagraph"/>
        <w:numPr>
          <w:ilvl w:val="0"/>
          <w:numId w:val="24"/>
        </w:numPr>
        <w:jc w:val="left"/>
        <w:rPr>
          <w:rStyle w:val="normaltextrun"/>
          <w:rFonts w:cstheme="minorHAnsi"/>
        </w:rPr>
      </w:pPr>
      <w:r w:rsidRPr="00341F3B">
        <w:rPr>
          <w:rStyle w:val="normaltextrun"/>
          <w:rFonts w:cstheme="minorHAnsi"/>
        </w:rPr>
        <w:t>safety (clinically as well as psychologically and culturally)</w:t>
      </w:r>
    </w:p>
    <w:p w14:paraId="35859FFB" w14:textId="77777777" w:rsidR="0027110F" w:rsidRPr="00341F3B" w:rsidRDefault="0027110F" w:rsidP="007E3DC8">
      <w:pPr>
        <w:pStyle w:val="ListParagraph"/>
        <w:numPr>
          <w:ilvl w:val="0"/>
          <w:numId w:val="24"/>
        </w:numPr>
        <w:jc w:val="left"/>
        <w:rPr>
          <w:rStyle w:val="normaltextrun"/>
          <w:rFonts w:cstheme="minorHAnsi"/>
        </w:rPr>
      </w:pPr>
      <w:r w:rsidRPr="00341F3B">
        <w:rPr>
          <w:rStyle w:val="normaltextrun"/>
          <w:rFonts w:cstheme="minorHAnsi"/>
        </w:rPr>
        <w:t>inclusivity and de-stigmatisation</w:t>
      </w:r>
    </w:p>
    <w:p w14:paraId="75B80F4A" w14:textId="531CC4FF" w:rsidR="0027110F" w:rsidRPr="00341F3B" w:rsidRDefault="0027110F" w:rsidP="007E3DC8">
      <w:pPr>
        <w:pStyle w:val="ListParagraph"/>
        <w:numPr>
          <w:ilvl w:val="0"/>
          <w:numId w:val="24"/>
        </w:numPr>
        <w:jc w:val="left"/>
        <w:rPr>
          <w:rStyle w:val="normaltextrun"/>
          <w:rFonts w:cstheme="minorHAnsi"/>
        </w:rPr>
      </w:pPr>
      <w:r w:rsidRPr="00341F3B">
        <w:rPr>
          <w:rStyle w:val="normaltextrun"/>
          <w:rFonts w:cstheme="minorHAnsi"/>
        </w:rPr>
        <w:t>choice</w:t>
      </w:r>
      <w:r w:rsidR="00581A45">
        <w:rPr>
          <w:rStyle w:val="normaltextrun"/>
          <w:rFonts w:cstheme="minorHAnsi"/>
        </w:rPr>
        <w:t>.</w:t>
      </w:r>
    </w:p>
    <w:p w14:paraId="3DEE08AA" w14:textId="723D68F9" w:rsidR="0017441B" w:rsidRPr="00EA3458" w:rsidRDefault="00B8689F" w:rsidP="0027110F">
      <w:pPr>
        <w:rPr>
          <w:rFonts w:asciiTheme="minorHAnsi" w:hAnsiTheme="minorHAnsi" w:cstheme="minorHAnsi"/>
        </w:rPr>
      </w:pPr>
      <w:r>
        <w:rPr>
          <w:rFonts w:asciiTheme="minorHAnsi" w:hAnsiTheme="minorHAnsi" w:cstheme="minorHAnsi"/>
        </w:rPr>
        <w:t>O</w:t>
      </w:r>
      <w:r w:rsidR="0017441B" w:rsidRPr="00EA3458">
        <w:rPr>
          <w:rFonts w:asciiTheme="minorHAnsi" w:hAnsiTheme="minorHAnsi" w:cstheme="minorHAnsi"/>
        </w:rPr>
        <w:t>verall</w:t>
      </w:r>
      <w:r w:rsidR="00705AF0">
        <w:rPr>
          <w:rFonts w:asciiTheme="minorHAnsi" w:hAnsiTheme="minorHAnsi" w:cstheme="minorHAnsi"/>
        </w:rPr>
        <w:t>,</w:t>
      </w:r>
      <w:r w:rsidR="0017441B" w:rsidRPr="00EA3458">
        <w:rPr>
          <w:rFonts w:asciiTheme="minorHAnsi" w:hAnsiTheme="minorHAnsi" w:cstheme="minorHAnsi"/>
        </w:rPr>
        <w:t xml:space="preserve"> the </w:t>
      </w:r>
      <w:r w:rsidR="008E51D4">
        <w:rPr>
          <w:rFonts w:asciiTheme="minorHAnsi" w:hAnsiTheme="minorHAnsi" w:cstheme="minorHAnsi"/>
        </w:rPr>
        <w:t>R</w:t>
      </w:r>
      <w:r w:rsidR="0017441B" w:rsidRPr="00EA3458">
        <w:rPr>
          <w:rFonts w:asciiTheme="minorHAnsi" w:hAnsiTheme="minorHAnsi" w:cstheme="minorHAnsi"/>
        </w:rPr>
        <w:t>eview found the essential elements of ODT service delivery are:</w:t>
      </w:r>
    </w:p>
    <w:bookmarkEnd w:id="292"/>
    <w:p w14:paraId="146682F6" w14:textId="17DF0F43" w:rsidR="00A80C32" w:rsidRPr="004F7991" w:rsidRDefault="00A80C32" w:rsidP="007E3DC8">
      <w:pPr>
        <w:pStyle w:val="ListParagraph"/>
        <w:numPr>
          <w:ilvl w:val="0"/>
          <w:numId w:val="13"/>
        </w:numPr>
        <w:jc w:val="left"/>
        <w:rPr>
          <w:rStyle w:val="normaltextrun"/>
          <w:rFonts w:cstheme="minorHAnsi"/>
        </w:rPr>
      </w:pPr>
      <w:r w:rsidRPr="004F7991">
        <w:rPr>
          <w:rStyle w:val="normaltextrun"/>
          <w:rFonts w:cstheme="minorHAnsi"/>
        </w:rPr>
        <w:t>a holistic approach inclusive of access to pharmacological treatment e.g.</w:t>
      </w:r>
      <w:r w:rsidR="00135831">
        <w:rPr>
          <w:rStyle w:val="normaltextrun"/>
          <w:rFonts w:cstheme="minorHAnsi"/>
        </w:rPr>
        <w:t>,</w:t>
      </w:r>
      <w:r w:rsidRPr="004F7991">
        <w:rPr>
          <w:rStyle w:val="normaltextrun"/>
          <w:rFonts w:cstheme="minorHAnsi"/>
        </w:rPr>
        <w:t xml:space="preserve"> methadone, buprenorphine +/- naloxone </w:t>
      </w:r>
      <w:r w:rsidR="00232ECE">
        <w:rPr>
          <w:rStyle w:val="normaltextrun"/>
          <w:rFonts w:cstheme="minorHAnsi"/>
        </w:rPr>
        <w:t>as well as</w:t>
      </w:r>
      <w:r w:rsidRPr="004F7991">
        <w:rPr>
          <w:rStyle w:val="normaltextrun"/>
          <w:rFonts w:cstheme="minorHAnsi"/>
        </w:rPr>
        <w:t xml:space="preserve"> psychosocial support services</w:t>
      </w:r>
    </w:p>
    <w:p w14:paraId="3BBAD855" w14:textId="645E2B26" w:rsidR="00A80C32" w:rsidRPr="004F7991" w:rsidRDefault="00A80C32" w:rsidP="007E3DC8">
      <w:pPr>
        <w:pStyle w:val="ListParagraph"/>
        <w:numPr>
          <w:ilvl w:val="0"/>
          <w:numId w:val="13"/>
        </w:numPr>
        <w:jc w:val="left"/>
        <w:rPr>
          <w:rStyle w:val="normaltextrun"/>
          <w:rFonts w:cstheme="minorHAnsi"/>
        </w:rPr>
      </w:pPr>
      <w:r w:rsidRPr="004F7991">
        <w:rPr>
          <w:rStyle w:val="normaltextrun"/>
        </w:rPr>
        <w:t xml:space="preserve">access to different treatment options (including </w:t>
      </w:r>
      <w:r w:rsidR="00694A1A">
        <w:rPr>
          <w:rStyle w:val="normaltextrun"/>
        </w:rPr>
        <w:t>ODT medicines</w:t>
      </w:r>
      <w:r w:rsidRPr="004F7991">
        <w:rPr>
          <w:rStyle w:val="normaltextrun"/>
        </w:rPr>
        <w:t>) through both the public and private sector (</w:t>
      </w:r>
      <w:r w:rsidR="00135831" w:rsidRPr="004F7991">
        <w:rPr>
          <w:rStyle w:val="normaltextrun"/>
        </w:rPr>
        <w:t>e.g.,</w:t>
      </w:r>
      <w:r w:rsidRPr="004F7991">
        <w:rPr>
          <w:rStyle w:val="normaltextrun"/>
        </w:rPr>
        <w:t xml:space="preserve"> a stepped care approach with low/moderate needs treated in community settings and</w:t>
      </w:r>
      <w:r w:rsidR="006A0626">
        <w:rPr>
          <w:rStyle w:val="normaltextrun"/>
        </w:rPr>
        <w:t xml:space="preserve"> if necessary,</w:t>
      </w:r>
      <w:r w:rsidRPr="004F7991">
        <w:rPr>
          <w:rStyle w:val="normaltextrun"/>
        </w:rPr>
        <w:t xml:space="preserve"> </w:t>
      </w:r>
      <w:r w:rsidR="006A0626">
        <w:rPr>
          <w:rStyle w:val="normaltextrun"/>
        </w:rPr>
        <w:t xml:space="preserve">ODT medicine initiation and </w:t>
      </w:r>
      <w:r w:rsidRPr="004F7991">
        <w:rPr>
          <w:rStyle w:val="normaltextrun"/>
        </w:rPr>
        <w:t>complex/high needs referred to the specialist treatment sector)</w:t>
      </w:r>
    </w:p>
    <w:p w14:paraId="0A09FADE" w14:textId="779C01AF" w:rsidR="00A80C32" w:rsidRDefault="00A80C32" w:rsidP="007E3DC8">
      <w:pPr>
        <w:pStyle w:val="ListParagraph"/>
        <w:numPr>
          <w:ilvl w:val="0"/>
          <w:numId w:val="13"/>
        </w:numPr>
        <w:jc w:val="left"/>
        <w:rPr>
          <w:rStyle w:val="normaltextrun"/>
          <w:rFonts w:cstheme="minorHAnsi"/>
        </w:rPr>
      </w:pPr>
      <w:r w:rsidRPr="004F7991">
        <w:rPr>
          <w:rStyle w:val="normaltextrun"/>
          <w:rFonts w:cstheme="minorHAnsi"/>
        </w:rPr>
        <w:t xml:space="preserve">additional treatment considerations for population groups </w:t>
      </w:r>
      <w:r w:rsidR="00037100">
        <w:rPr>
          <w:rStyle w:val="normaltextrun"/>
          <w:rFonts w:cstheme="minorHAnsi"/>
        </w:rPr>
        <w:t xml:space="preserve">with specifics needs and priority </w:t>
      </w:r>
      <w:r w:rsidR="00135831" w:rsidRPr="004F7991">
        <w:rPr>
          <w:rStyle w:val="normaltextrun"/>
          <w:rFonts w:cstheme="minorHAnsi"/>
        </w:rPr>
        <w:t>e.g.,</w:t>
      </w:r>
      <w:r w:rsidRPr="004F7991">
        <w:rPr>
          <w:rStyle w:val="normaltextrun"/>
          <w:rFonts w:cstheme="minorHAnsi"/>
        </w:rPr>
        <w:t xml:space="preserve"> for First Nations people and people from Culturally and Linguistically Diverse backgrounds, women (including pregnant/breastfeeding), people living in rural/remote communities and people with co-existing issues (</w:t>
      </w:r>
      <w:r w:rsidR="00135831" w:rsidRPr="004F7991">
        <w:rPr>
          <w:rStyle w:val="normaltextrun"/>
          <w:rFonts w:cstheme="minorHAnsi"/>
        </w:rPr>
        <w:t>e.g.,</w:t>
      </w:r>
      <w:r w:rsidRPr="004F7991">
        <w:rPr>
          <w:rStyle w:val="normaltextrun"/>
          <w:rFonts w:cstheme="minorHAnsi"/>
        </w:rPr>
        <w:t xml:space="preserve"> comorbid mental health conditions, homelessness)</w:t>
      </w:r>
    </w:p>
    <w:p w14:paraId="3BE9BCCA" w14:textId="7E474C44" w:rsidR="00A80C32" w:rsidRDefault="00A80C32" w:rsidP="007E3DC8">
      <w:pPr>
        <w:pStyle w:val="ListParagraph"/>
        <w:numPr>
          <w:ilvl w:val="0"/>
          <w:numId w:val="13"/>
        </w:numPr>
        <w:jc w:val="left"/>
        <w:rPr>
          <w:rStyle w:val="normaltextrun"/>
          <w:rFonts w:cstheme="minorHAnsi"/>
        </w:rPr>
      </w:pPr>
      <w:r>
        <w:rPr>
          <w:rStyle w:val="normaltextrun"/>
          <w:rFonts w:cstheme="minorHAnsi"/>
        </w:rPr>
        <w:t xml:space="preserve">a standardised patient contribution and pharmacy remuneration model that is nationally </w:t>
      </w:r>
      <w:r w:rsidR="00313097">
        <w:rPr>
          <w:rStyle w:val="normaltextrun"/>
          <w:rFonts w:cstheme="minorHAnsi"/>
        </w:rPr>
        <w:t>consistent, and</w:t>
      </w:r>
      <w:r w:rsidR="00F712C9">
        <w:rPr>
          <w:rStyle w:val="normaltextrun"/>
          <w:rFonts w:cstheme="minorHAnsi"/>
        </w:rPr>
        <w:t xml:space="preserve"> equitable for patients</w:t>
      </w:r>
    </w:p>
    <w:p w14:paraId="10FC5652" w14:textId="2566172A" w:rsidR="00A80C32" w:rsidRPr="004F7991" w:rsidRDefault="00A80C32" w:rsidP="007E3DC8">
      <w:pPr>
        <w:pStyle w:val="ListParagraph"/>
        <w:numPr>
          <w:ilvl w:val="0"/>
          <w:numId w:val="13"/>
        </w:numPr>
        <w:jc w:val="left"/>
        <w:rPr>
          <w:rStyle w:val="normaltextrun"/>
          <w:rFonts w:cstheme="minorHAnsi"/>
        </w:rPr>
      </w:pPr>
      <w:r>
        <w:rPr>
          <w:rStyle w:val="normaltextrun"/>
          <w:rFonts w:cstheme="minorHAnsi"/>
        </w:rPr>
        <w:t xml:space="preserve">treatment supported by up-to-date evidence, practice, </w:t>
      </w:r>
      <w:r w:rsidR="001E5DF0">
        <w:rPr>
          <w:rStyle w:val="normaltextrun"/>
          <w:rFonts w:cstheme="minorHAnsi"/>
        </w:rPr>
        <w:t>guidelines,</w:t>
      </w:r>
      <w:r>
        <w:rPr>
          <w:rStyle w:val="normaltextrun"/>
          <w:rFonts w:cstheme="minorHAnsi"/>
        </w:rPr>
        <w:t xml:space="preserve"> and regulation</w:t>
      </w:r>
    </w:p>
    <w:p w14:paraId="3B883F76" w14:textId="77777777" w:rsidR="00A80C32" w:rsidRPr="004F7991" w:rsidRDefault="00A80C32" w:rsidP="007E3DC8">
      <w:pPr>
        <w:pStyle w:val="ListParagraph"/>
        <w:numPr>
          <w:ilvl w:val="0"/>
          <w:numId w:val="13"/>
        </w:numPr>
        <w:jc w:val="left"/>
        <w:rPr>
          <w:rStyle w:val="normaltextrun"/>
          <w:rFonts w:cstheme="minorHAnsi"/>
        </w:rPr>
      </w:pPr>
      <w:r w:rsidRPr="004F7991">
        <w:rPr>
          <w:rStyle w:val="normaltextrun"/>
          <w:rFonts w:cstheme="minorHAnsi"/>
        </w:rPr>
        <w:t>a broad geographic distribution of dosing sites through community pharmacy and non-pharmacy sites including implementation of innovative approaches for rural and remote areas</w:t>
      </w:r>
    </w:p>
    <w:p w14:paraId="74F76A21" w14:textId="7D12E1B0" w:rsidR="00A80C32" w:rsidRDefault="00A80C32" w:rsidP="007E3DC8">
      <w:pPr>
        <w:pStyle w:val="ListParagraph"/>
        <w:numPr>
          <w:ilvl w:val="0"/>
          <w:numId w:val="13"/>
        </w:numPr>
        <w:jc w:val="left"/>
        <w:rPr>
          <w:rStyle w:val="normaltextrun"/>
          <w:rFonts w:cstheme="minorHAnsi"/>
        </w:rPr>
      </w:pPr>
      <w:r w:rsidRPr="004F7991">
        <w:rPr>
          <w:rFonts w:cstheme="minorHAnsi"/>
        </w:rPr>
        <w:t xml:space="preserve">care coordination and management of continuity of access to ODT medicines for consumers </w:t>
      </w:r>
      <w:r w:rsidR="00581A45">
        <w:rPr>
          <w:rFonts w:cstheme="minorHAnsi"/>
        </w:rPr>
        <w:t xml:space="preserve">initiating treatment and </w:t>
      </w:r>
      <w:r w:rsidRPr="004F7991">
        <w:rPr>
          <w:rFonts w:cstheme="minorHAnsi"/>
        </w:rPr>
        <w:t>transferring from custodial to community settings, travelling interstate and between different care settings</w:t>
      </w:r>
      <w:r w:rsidRPr="004F7991">
        <w:rPr>
          <w:rStyle w:val="normaltextrun"/>
          <w:rFonts w:cstheme="minorHAnsi"/>
        </w:rPr>
        <w:t xml:space="preserve"> </w:t>
      </w:r>
    </w:p>
    <w:p w14:paraId="52AF7324" w14:textId="77777777" w:rsidR="00A80C32" w:rsidRPr="004F7991" w:rsidRDefault="00A80C32" w:rsidP="007E3DC8">
      <w:pPr>
        <w:pStyle w:val="ListParagraph"/>
        <w:numPr>
          <w:ilvl w:val="0"/>
          <w:numId w:val="13"/>
        </w:numPr>
        <w:jc w:val="left"/>
        <w:rPr>
          <w:rStyle w:val="normaltextrun"/>
          <w:rFonts w:cstheme="minorHAnsi"/>
        </w:rPr>
      </w:pPr>
      <w:r>
        <w:rPr>
          <w:rFonts w:cstheme="minorHAnsi"/>
        </w:rPr>
        <w:t>s</w:t>
      </w:r>
      <w:r w:rsidRPr="006E6D66">
        <w:rPr>
          <w:rFonts w:cstheme="minorHAnsi"/>
        </w:rPr>
        <w:t>upport for the prescriber workforce to increase participation and retention</w:t>
      </w:r>
    </w:p>
    <w:p w14:paraId="2FE10F5C" w14:textId="6DBF61F8" w:rsidR="00A80C32" w:rsidRPr="004F7991" w:rsidRDefault="00A80C32" w:rsidP="007E3DC8">
      <w:pPr>
        <w:pStyle w:val="ListParagraph"/>
        <w:numPr>
          <w:ilvl w:val="0"/>
          <w:numId w:val="13"/>
        </w:numPr>
        <w:jc w:val="left"/>
        <w:rPr>
          <w:rStyle w:val="normaltextrun"/>
          <w:rFonts w:cstheme="minorHAnsi"/>
        </w:rPr>
      </w:pPr>
      <w:r w:rsidRPr="004F7991">
        <w:rPr>
          <w:rStyle w:val="normaltextrun"/>
          <w:rFonts w:cstheme="minorHAnsi"/>
        </w:rPr>
        <w:t xml:space="preserve">flexibility and access to takeaway doses </w:t>
      </w:r>
    </w:p>
    <w:p w14:paraId="681709BF" w14:textId="06AE74B1" w:rsidR="00A80C32" w:rsidRPr="004F7991" w:rsidRDefault="00A80C32" w:rsidP="007E3DC8">
      <w:pPr>
        <w:pStyle w:val="ListParagraph"/>
        <w:numPr>
          <w:ilvl w:val="0"/>
          <w:numId w:val="13"/>
        </w:numPr>
        <w:jc w:val="left"/>
        <w:rPr>
          <w:rStyle w:val="normaltextrun"/>
          <w:rFonts w:cstheme="minorHAnsi"/>
        </w:rPr>
      </w:pPr>
      <w:r w:rsidRPr="004F7991">
        <w:rPr>
          <w:rStyle w:val="normaltextrun"/>
          <w:rFonts w:cstheme="minorHAnsi"/>
        </w:rPr>
        <w:t xml:space="preserve">education and training on available treatment options </w:t>
      </w:r>
      <w:r w:rsidR="00232ECE">
        <w:rPr>
          <w:rStyle w:val="normaltextrun"/>
          <w:rFonts w:cstheme="minorHAnsi"/>
        </w:rPr>
        <w:t xml:space="preserve">for </w:t>
      </w:r>
      <w:r w:rsidRPr="004F7991">
        <w:rPr>
          <w:rStyle w:val="normaltextrun"/>
          <w:rFonts w:cstheme="minorHAnsi"/>
        </w:rPr>
        <w:t xml:space="preserve">consumers, prescribers, </w:t>
      </w:r>
      <w:r w:rsidR="00135831" w:rsidRPr="004F7991">
        <w:rPr>
          <w:rStyle w:val="normaltextrun"/>
          <w:rFonts w:cstheme="minorHAnsi"/>
        </w:rPr>
        <w:t>pharmacists,</w:t>
      </w:r>
      <w:r w:rsidRPr="004F7991">
        <w:rPr>
          <w:rStyle w:val="normaltextrun"/>
          <w:rFonts w:cstheme="minorHAnsi"/>
        </w:rPr>
        <w:t xml:space="preserve"> and service providers to reduce stigma </w:t>
      </w:r>
      <w:r w:rsidR="0011427A">
        <w:rPr>
          <w:rStyle w:val="normaltextrun"/>
          <w:rFonts w:cstheme="minorHAnsi"/>
        </w:rPr>
        <w:t>and discrimination</w:t>
      </w:r>
    </w:p>
    <w:p w14:paraId="56DDCF9C" w14:textId="435934E3" w:rsidR="00A80C32" w:rsidRDefault="00A80C32" w:rsidP="007E3DC8">
      <w:pPr>
        <w:pStyle w:val="ListParagraph"/>
        <w:numPr>
          <w:ilvl w:val="0"/>
          <w:numId w:val="13"/>
        </w:numPr>
        <w:jc w:val="left"/>
        <w:rPr>
          <w:rStyle w:val="normaltextrun"/>
          <w:rFonts w:cstheme="minorHAnsi"/>
        </w:rPr>
      </w:pPr>
      <w:r w:rsidRPr="004F7991">
        <w:rPr>
          <w:rStyle w:val="normaltextrun"/>
          <w:rFonts w:cstheme="minorHAnsi"/>
        </w:rPr>
        <w:t>access to take</w:t>
      </w:r>
      <w:r w:rsidR="008863FA">
        <w:rPr>
          <w:rStyle w:val="normaltextrun"/>
          <w:rFonts w:cstheme="minorHAnsi"/>
        </w:rPr>
        <w:t xml:space="preserve"> </w:t>
      </w:r>
      <w:r w:rsidRPr="004F7991">
        <w:rPr>
          <w:rStyle w:val="normaltextrun"/>
          <w:rFonts w:cstheme="minorHAnsi"/>
        </w:rPr>
        <w:t xml:space="preserve">home naloxone </w:t>
      </w:r>
    </w:p>
    <w:p w14:paraId="16726ABE" w14:textId="77777777" w:rsidR="00A80C32" w:rsidRDefault="00A80C32" w:rsidP="007E3DC8">
      <w:pPr>
        <w:pStyle w:val="ListParagraph"/>
        <w:numPr>
          <w:ilvl w:val="0"/>
          <w:numId w:val="13"/>
        </w:numPr>
        <w:jc w:val="left"/>
        <w:rPr>
          <w:rStyle w:val="normaltextrun"/>
          <w:rFonts w:cstheme="minorHAnsi"/>
        </w:rPr>
      </w:pPr>
      <w:r>
        <w:rPr>
          <w:rStyle w:val="normaltextrun"/>
          <w:rFonts w:cstheme="minorHAnsi"/>
        </w:rPr>
        <w:t xml:space="preserve">a partnership model between the Australian Government and state and territory governments </w:t>
      </w:r>
    </w:p>
    <w:p w14:paraId="3E75B10C" w14:textId="58691A24" w:rsidR="00A80C32" w:rsidRPr="004F7991" w:rsidRDefault="00A80C32" w:rsidP="007E3DC8">
      <w:pPr>
        <w:pStyle w:val="ListParagraph"/>
        <w:numPr>
          <w:ilvl w:val="0"/>
          <w:numId w:val="13"/>
        </w:numPr>
        <w:jc w:val="left"/>
        <w:rPr>
          <w:rStyle w:val="normaltextrun"/>
          <w:rFonts w:cstheme="minorHAnsi"/>
        </w:rPr>
      </w:pPr>
      <w:r w:rsidRPr="004F7991">
        <w:rPr>
          <w:rStyle w:val="normaltextrun"/>
        </w:rPr>
        <w:t xml:space="preserve">a framework for data collection, monitoring, </w:t>
      </w:r>
      <w:r>
        <w:rPr>
          <w:rStyle w:val="normaltextrun"/>
        </w:rPr>
        <w:t>reporting</w:t>
      </w:r>
      <w:r w:rsidRPr="004F7991">
        <w:rPr>
          <w:rStyle w:val="normaltextrun"/>
        </w:rPr>
        <w:t xml:space="preserve"> and system improvement</w:t>
      </w:r>
      <w:r w:rsidR="00581A45">
        <w:rPr>
          <w:rStyle w:val="normaltextrun"/>
        </w:rPr>
        <w:t>.</w:t>
      </w:r>
    </w:p>
    <w:p w14:paraId="0D47A479" w14:textId="765ACC8F" w:rsidR="00A31695" w:rsidRPr="00EA3458" w:rsidRDefault="00A31695" w:rsidP="007E3DC8">
      <w:pPr>
        <w:pStyle w:val="ListParagraph"/>
        <w:numPr>
          <w:ilvl w:val="0"/>
          <w:numId w:val="13"/>
        </w:numPr>
        <w:spacing w:after="160" w:line="259" w:lineRule="auto"/>
        <w:rPr>
          <w:rFonts w:asciiTheme="minorHAnsi" w:eastAsia="Calibri" w:hAnsiTheme="minorHAnsi" w:cstheme="majorBidi"/>
          <w:color w:val="1F3763" w:themeColor="accent1" w:themeShade="7F"/>
        </w:rPr>
      </w:pPr>
      <w:r w:rsidRPr="00EA3458">
        <w:rPr>
          <w:rFonts w:eastAsia="Calibri"/>
        </w:rPr>
        <w:br w:type="page"/>
      </w:r>
    </w:p>
    <w:p w14:paraId="0C4A32B4" w14:textId="00DE6FFE" w:rsidR="00A31695" w:rsidRPr="00EA3458" w:rsidRDefault="00A31695">
      <w:pPr>
        <w:pStyle w:val="Heading2"/>
      </w:pPr>
      <w:bookmarkStart w:id="293" w:name="_Toc118719008"/>
      <w:bookmarkStart w:id="294" w:name="_Toc163221170"/>
      <w:r w:rsidRPr="00EA3458">
        <w:lastRenderedPageBreak/>
        <w:t xml:space="preserve">Part </w:t>
      </w:r>
      <w:r w:rsidR="00CF4462">
        <w:t>3</w:t>
      </w:r>
      <w:r w:rsidRPr="00EA3458">
        <w:t>: TOR 2: Consumer experience of ODT</w:t>
      </w:r>
      <w:bookmarkEnd w:id="293"/>
      <w:bookmarkEnd w:id="294"/>
      <w:r w:rsidRPr="00EA3458">
        <w:t xml:space="preserve"> </w:t>
      </w:r>
    </w:p>
    <w:p w14:paraId="1587DF09" w14:textId="61099CCC" w:rsidR="00A31695" w:rsidRPr="00EA3458" w:rsidRDefault="00A31695">
      <w:pPr>
        <w:pBdr>
          <w:top w:val="single" w:sz="4" w:space="1" w:color="auto"/>
          <w:left w:val="single" w:sz="4" w:space="4" w:color="auto"/>
          <w:bottom w:val="single" w:sz="4" w:space="1" w:color="auto"/>
          <w:right w:val="single" w:sz="4" w:space="4" w:color="auto"/>
        </w:pBdr>
      </w:pPr>
      <w:r w:rsidRPr="00EA3458">
        <w:t>TOR 2: Examine the consumer experience, focussing on equity of access, geographical barriers to access, cultural safety, and affordability of ODT medicines across the different models of service delivery. This will include consideration of access to ODT for at risk population groups including people living in rural and remote areas, Aboriginal and Torres Strait Islander peoples and other populations who may have limited access to health care services, including ODT.</w:t>
      </w:r>
    </w:p>
    <w:p w14:paraId="2FF5F137" w14:textId="1EBA82CA" w:rsidR="004F1482" w:rsidRDefault="00E35714" w:rsidP="004F1482">
      <w:pPr>
        <w:spacing w:after="0"/>
      </w:pPr>
      <w:r w:rsidRPr="00EA3458">
        <w:t xml:space="preserve">This chapter first </w:t>
      </w:r>
      <w:r w:rsidR="00185110">
        <w:t xml:space="preserve">presents </w:t>
      </w:r>
      <w:r w:rsidR="00E6717D" w:rsidRPr="00EA3458">
        <w:t xml:space="preserve">key findings from specific consumer consultation undertaken to inform this review </w:t>
      </w:r>
      <w:r w:rsidR="00E6717D">
        <w:t xml:space="preserve">and then </w:t>
      </w:r>
      <w:r w:rsidR="00E272A9" w:rsidRPr="00EA3458">
        <w:t xml:space="preserve">literature on the barriers and facilitators of ODT from the point of view of consumers, </w:t>
      </w:r>
      <w:r w:rsidR="00922B44" w:rsidRPr="00EA3458">
        <w:t>prescribers,</w:t>
      </w:r>
      <w:r w:rsidR="00E272A9" w:rsidRPr="00EA3458">
        <w:t xml:space="preserve"> and pharmacists. The perspectives of consumers on facilitators and barriers to accessing ODT is important in considering the design of future models of service delivery (discussed later in T</w:t>
      </w:r>
      <w:r w:rsidR="00AB43EE">
        <w:t>O</w:t>
      </w:r>
      <w:r w:rsidR="00E272A9" w:rsidRPr="00EA3458">
        <w:t xml:space="preserve">R). </w:t>
      </w:r>
      <w:bookmarkStart w:id="295" w:name="_Toc117522785"/>
      <w:bookmarkStart w:id="296" w:name="_Toc117582812"/>
      <w:bookmarkStart w:id="297" w:name="_Toc117583220"/>
      <w:bookmarkStart w:id="298" w:name="_Toc118719009"/>
      <w:bookmarkStart w:id="299" w:name="_Toc119075757"/>
      <w:bookmarkStart w:id="300" w:name="_Toc119075789"/>
      <w:bookmarkStart w:id="301" w:name="_Toc119326335"/>
      <w:bookmarkStart w:id="302" w:name="_Toc119340465"/>
      <w:bookmarkStart w:id="303" w:name="_Toc119395334"/>
      <w:bookmarkStart w:id="304" w:name="_Toc119422671"/>
      <w:bookmarkStart w:id="305" w:name="_Toc119422751"/>
      <w:bookmarkStart w:id="306" w:name="_Toc119413993"/>
      <w:bookmarkStart w:id="307" w:name="_Toc119485205"/>
      <w:bookmarkStart w:id="308" w:name="_Toc119485244"/>
      <w:bookmarkStart w:id="309" w:name="_Toc119485285"/>
      <w:bookmarkStart w:id="310" w:name="_Toc119485858"/>
      <w:bookmarkStart w:id="311" w:name="_Toc119486276"/>
      <w:bookmarkStart w:id="312" w:name="_Toc119490352"/>
      <w:bookmarkStart w:id="313" w:name="_Toc119492346"/>
      <w:bookmarkStart w:id="314" w:name="_Toc119499641"/>
      <w:bookmarkStart w:id="315" w:name="_Toc119499686"/>
      <w:bookmarkStart w:id="316" w:name="_Toc119508165"/>
      <w:bookmarkStart w:id="317" w:name="_Toc119508228"/>
      <w:bookmarkStart w:id="318" w:name="_Toc119508274"/>
      <w:bookmarkStart w:id="319" w:name="_Toc119508320"/>
      <w:bookmarkStart w:id="320" w:name="_Toc119508370"/>
      <w:bookmarkStart w:id="321" w:name="_Toc119508431"/>
      <w:bookmarkStart w:id="322" w:name="_Toc119510620"/>
      <w:bookmarkStart w:id="323" w:name="_Toc119517454"/>
      <w:bookmarkStart w:id="324" w:name="_Toc119517505"/>
      <w:bookmarkStart w:id="325" w:name="_Toc119569920"/>
      <w:bookmarkStart w:id="326" w:name="_Toc119574376"/>
      <w:bookmarkStart w:id="327" w:name="_Toc119574436"/>
      <w:bookmarkStart w:id="328" w:name="_Toc119586603"/>
      <w:bookmarkStart w:id="329" w:name="_Toc119592336"/>
      <w:bookmarkStart w:id="330" w:name="_Toc119595321"/>
      <w:bookmarkStart w:id="331" w:name="_Toc119596342"/>
      <w:bookmarkStart w:id="332" w:name="_Toc120025186"/>
      <w:bookmarkStart w:id="333" w:name="_Toc120025272"/>
      <w:bookmarkStart w:id="334" w:name="_Toc120029105"/>
      <w:bookmarkStart w:id="335" w:name="_Toc120029226"/>
      <w:bookmarkStart w:id="336" w:name="_Toc120030331"/>
      <w:bookmarkStart w:id="337" w:name="_Toc120030389"/>
      <w:bookmarkStart w:id="338" w:name="_Toc120033312"/>
      <w:bookmarkStart w:id="339" w:name="_Toc120264956"/>
      <w:bookmarkStart w:id="340" w:name="_Toc120265014"/>
      <w:bookmarkStart w:id="341" w:name="_Toc120272207"/>
      <w:bookmarkStart w:id="342" w:name="_Toc120272267"/>
      <w:bookmarkStart w:id="343" w:name="_Toc120523323"/>
      <w:bookmarkStart w:id="344" w:name="_Toc120524231"/>
      <w:bookmarkStart w:id="345" w:name="_Toc120550244"/>
      <w:bookmarkStart w:id="346" w:name="_Toc120605392"/>
      <w:bookmarkStart w:id="347" w:name="_Toc120713125"/>
      <w:bookmarkStart w:id="348" w:name="_Toc120703678"/>
      <w:bookmarkStart w:id="349" w:name="_Toc120876042"/>
      <w:bookmarkStart w:id="350" w:name="_Toc121311659"/>
      <w:bookmarkStart w:id="351" w:name="_Toc119574377"/>
      <w:bookmarkStart w:id="352" w:name="_Toc119574437"/>
      <w:bookmarkStart w:id="353" w:name="_Toc119586604"/>
      <w:bookmarkStart w:id="354" w:name="_Toc119592337"/>
      <w:bookmarkStart w:id="355" w:name="_Toc119595322"/>
      <w:bookmarkStart w:id="356" w:name="_Toc119596343"/>
      <w:bookmarkStart w:id="357" w:name="_Toc120025187"/>
      <w:bookmarkStart w:id="358" w:name="_Toc120025273"/>
      <w:bookmarkStart w:id="359" w:name="_Toc120029106"/>
      <w:bookmarkStart w:id="360" w:name="_Toc120029227"/>
      <w:bookmarkStart w:id="361" w:name="_Toc120030332"/>
      <w:bookmarkStart w:id="362" w:name="_Toc120030390"/>
      <w:bookmarkStart w:id="363" w:name="_Toc120033313"/>
      <w:bookmarkStart w:id="364" w:name="_Toc120264957"/>
      <w:bookmarkStart w:id="365" w:name="_Toc120265015"/>
      <w:bookmarkStart w:id="366" w:name="_Toc120272208"/>
      <w:bookmarkStart w:id="367" w:name="_Toc120272268"/>
      <w:bookmarkStart w:id="368" w:name="_Toc120523324"/>
      <w:bookmarkStart w:id="369" w:name="_Toc120524232"/>
      <w:bookmarkStart w:id="370" w:name="_Toc120550245"/>
      <w:bookmarkStart w:id="371" w:name="_Toc120605393"/>
      <w:bookmarkStart w:id="372" w:name="_Toc120713126"/>
      <w:bookmarkStart w:id="373" w:name="_Toc120703679"/>
      <w:bookmarkStart w:id="374" w:name="_Toc120876043"/>
      <w:bookmarkStart w:id="375" w:name="_Toc121311660"/>
      <w:bookmarkStart w:id="376" w:name="_Toc118719011"/>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14:paraId="137FBD80" w14:textId="77777777" w:rsidR="004233C1" w:rsidRPr="004233C1" w:rsidRDefault="004233C1" w:rsidP="007E3DC8">
      <w:pPr>
        <w:pStyle w:val="ListParagraph"/>
        <w:keepNext/>
        <w:keepLines/>
        <w:numPr>
          <w:ilvl w:val="0"/>
          <w:numId w:val="23"/>
        </w:numPr>
        <w:spacing w:before="40" w:after="80"/>
        <w:contextualSpacing w:val="0"/>
        <w:outlineLvl w:val="2"/>
        <w:rPr>
          <w:rFonts w:asciiTheme="minorHAnsi" w:eastAsiaTheme="majorEastAsia" w:hAnsiTheme="minorHAnsi" w:cstheme="majorBidi"/>
          <w:vanish/>
          <w:color w:val="1F3763" w:themeColor="accent1" w:themeShade="7F"/>
        </w:rPr>
      </w:pPr>
    </w:p>
    <w:p w14:paraId="4A2A040A" w14:textId="7B6D83D2" w:rsidR="00A31695" w:rsidRPr="00D76EC1" w:rsidRDefault="00604DBC" w:rsidP="007E3DC8">
      <w:pPr>
        <w:pStyle w:val="Heading3"/>
        <w:numPr>
          <w:ilvl w:val="1"/>
          <w:numId w:val="45"/>
        </w:numPr>
      </w:pPr>
      <w:bookmarkStart w:id="377" w:name="_Toc163221171"/>
      <w:r>
        <w:t xml:space="preserve">TOR 2 </w:t>
      </w:r>
      <w:r w:rsidR="00A31695" w:rsidRPr="00D76EC1">
        <w:t>Key findings</w:t>
      </w:r>
      <w:bookmarkEnd w:id="376"/>
      <w:bookmarkEnd w:id="377"/>
    </w:p>
    <w:p w14:paraId="7304E327" w14:textId="77777777" w:rsidR="00BD5E18" w:rsidRPr="00EA3458" w:rsidRDefault="00BD5E18" w:rsidP="00BD5E18">
      <w:pPr>
        <w:spacing w:line="259" w:lineRule="auto"/>
        <w:rPr>
          <w:rFonts w:asciiTheme="minorHAnsi" w:hAnsiTheme="minorHAnsi" w:cstheme="minorHAnsi"/>
        </w:rPr>
      </w:pPr>
      <w:r>
        <w:rPr>
          <w:rFonts w:asciiTheme="minorHAnsi" w:hAnsiTheme="minorHAnsi" w:cstheme="minorHAnsi"/>
        </w:rPr>
        <w:t>Though both domestic and international studies, as well as stakeholder input to the review, a</w:t>
      </w:r>
      <w:r w:rsidRPr="00EA3458">
        <w:rPr>
          <w:rFonts w:asciiTheme="minorHAnsi" w:hAnsiTheme="minorHAnsi" w:cstheme="minorHAnsi"/>
        </w:rPr>
        <w:t xml:space="preserve"> range of factors were identified as facilitators and barriers to initiation and ongoing access to treatment for people with opioid dependence. Facilitators include shared decision making in treatment, flexibility of supervised dosing schedules and access to takeaways; and staff that act with discretion and treat consumers equitably. Barriers include stigma</w:t>
      </w:r>
      <w:r>
        <w:rPr>
          <w:rFonts w:asciiTheme="minorHAnsi" w:hAnsiTheme="minorHAnsi" w:cstheme="minorHAnsi"/>
        </w:rPr>
        <w:t xml:space="preserve"> and discrimination (against both participants and the program itself)</w:t>
      </w:r>
      <w:r w:rsidRPr="00EA3458">
        <w:rPr>
          <w:rFonts w:asciiTheme="minorHAnsi" w:hAnsiTheme="minorHAnsi" w:cstheme="minorHAnsi"/>
        </w:rPr>
        <w:t xml:space="preserve">, </w:t>
      </w:r>
      <w:r>
        <w:rPr>
          <w:rFonts w:asciiTheme="minorHAnsi" w:hAnsiTheme="minorHAnsi" w:cstheme="minorHAnsi"/>
        </w:rPr>
        <w:t xml:space="preserve">community and clinician belief that the program doesn’t treat addiction, </w:t>
      </w:r>
      <w:r w:rsidRPr="00EA3458">
        <w:rPr>
          <w:rFonts w:asciiTheme="minorHAnsi" w:hAnsiTheme="minorHAnsi" w:cstheme="minorHAnsi"/>
        </w:rPr>
        <w:t xml:space="preserve">cost of </w:t>
      </w:r>
      <w:r>
        <w:rPr>
          <w:rFonts w:asciiTheme="minorHAnsi" w:hAnsiTheme="minorHAnsi" w:cstheme="minorHAnsi"/>
        </w:rPr>
        <w:t xml:space="preserve">private, unregulated fees associated with accessing </w:t>
      </w:r>
      <w:r w:rsidRPr="00EA3458">
        <w:rPr>
          <w:rFonts w:asciiTheme="minorHAnsi" w:hAnsiTheme="minorHAnsi" w:cstheme="minorHAnsi"/>
        </w:rPr>
        <w:t>O</w:t>
      </w:r>
      <w:r>
        <w:rPr>
          <w:rFonts w:asciiTheme="minorHAnsi" w:hAnsiTheme="minorHAnsi" w:cstheme="minorHAnsi"/>
        </w:rPr>
        <w:t>D</w:t>
      </w:r>
      <w:r w:rsidRPr="00EA3458">
        <w:rPr>
          <w:rFonts w:asciiTheme="minorHAnsi" w:hAnsiTheme="minorHAnsi" w:cstheme="minorHAnsi"/>
        </w:rPr>
        <w:t xml:space="preserve">T </w:t>
      </w:r>
      <w:r>
        <w:rPr>
          <w:rFonts w:asciiTheme="minorHAnsi" w:hAnsiTheme="minorHAnsi" w:cstheme="minorHAnsi"/>
        </w:rPr>
        <w:t xml:space="preserve">medicines </w:t>
      </w:r>
      <w:r w:rsidRPr="00EA3458">
        <w:rPr>
          <w:rFonts w:asciiTheme="minorHAnsi" w:hAnsiTheme="minorHAnsi" w:cstheme="minorHAnsi"/>
        </w:rPr>
        <w:t>and accompanying costs such as transport,</w:t>
      </w:r>
      <w:r>
        <w:rPr>
          <w:rFonts w:asciiTheme="minorHAnsi" w:hAnsiTheme="minorHAnsi" w:cstheme="minorHAnsi"/>
        </w:rPr>
        <w:t xml:space="preserve"> time,</w:t>
      </w:r>
      <w:r w:rsidRPr="00EA3458">
        <w:rPr>
          <w:rFonts w:asciiTheme="minorHAnsi" w:hAnsiTheme="minorHAnsi" w:cstheme="minorHAnsi"/>
        </w:rPr>
        <w:t xml:space="preserve"> rigidity of dosing hours</w:t>
      </w:r>
      <w:r>
        <w:rPr>
          <w:rFonts w:asciiTheme="minorHAnsi" w:hAnsiTheme="minorHAnsi" w:cstheme="minorHAnsi"/>
        </w:rPr>
        <w:t xml:space="preserve"> and location, particularly when consumers need to travel interstate</w:t>
      </w:r>
      <w:r w:rsidRPr="00EA3458">
        <w:rPr>
          <w:rFonts w:asciiTheme="minorHAnsi" w:hAnsiTheme="minorHAnsi" w:cstheme="minorHAnsi"/>
        </w:rPr>
        <w:t>.</w:t>
      </w:r>
    </w:p>
    <w:p w14:paraId="1D8B5661" w14:textId="77777777" w:rsidR="00BD5E18" w:rsidRPr="00EA3458" w:rsidRDefault="00BD5E18" w:rsidP="00BD5E18">
      <w:pPr>
        <w:spacing w:line="259" w:lineRule="auto"/>
        <w:rPr>
          <w:rFonts w:asciiTheme="minorHAnsi" w:hAnsiTheme="minorHAnsi" w:cstheme="minorHAnsi"/>
        </w:rPr>
      </w:pPr>
      <w:r w:rsidRPr="00EA3458">
        <w:rPr>
          <w:rFonts w:asciiTheme="minorHAnsi" w:hAnsiTheme="minorHAnsi" w:cstheme="minorHAnsi"/>
        </w:rPr>
        <w:t>Prescribers, pharmacists, and other health care workers have identified a range of common facilitators to engage health care workers in providing O</w:t>
      </w:r>
      <w:r>
        <w:rPr>
          <w:rFonts w:asciiTheme="minorHAnsi" w:hAnsiTheme="minorHAnsi" w:cstheme="minorHAnsi"/>
        </w:rPr>
        <w:t>D</w:t>
      </w:r>
      <w:r w:rsidRPr="00EA3458">
        <w:rPr>
          <w:rFonts w:asciiTheme="minorHAnsi" w:hAnsiTheme="minorHAnsi" w:cstheme="minorHAnsi"/>
        </w:rPr>
        <w:t>T</w:t>
      </w:r>
      <w:r>
        <w:rPr>
          <w:rFonts w:asciiTheme="minorHAnsi" w:hAnsiTheme="minorHAnsi" w:cstheme="minorHAnsi"/>
        </w:rPr>
        <w:t xml:space="preserve"> medicines</w:t>
      </w:r>
      <w:r w:rsidRPr="00EA3458">
        <w:rPr>
          <w:rFonts w:asciiTheme="minorHAnsi" w:hAnsiTheme="minorHAnsi" w:cstheme="minorHAnsi"/>
        </w:rPr>
        <w:t>. These include financial incentives, interdisciplinary support and collaboration, and additional dispensing pharmacies to share the O</w:t>
      </w:r>
      <w:r>
        <w:rPr>
          <w:rFonts w:asciiTheme="minorHAnsi" w:hAnsiTheme="minorHAnsi" w:cstheme="minorHAnsi"/>
        </w:rPr>
        <w:t>D</w:t>
      </w:r>
      <w:r w:rsidRPr="00EA3458">
        <w:rPr>
          <w:rFonts w:asciiTheme="minorHAnsi" w:hAnsiTheme="minorHAnsi" w:cstheme="minorHAnsi"/>
        </w:rPr>
        <w:t xml:space="preserve">T </w:t>
      </w:r>
      <w:r>
        <w:rPr>
          <w:rFonts w:asciiTheme="minorHAnsi" w:hAnsiTheme="minorHAnsi" w:cstheme="minorHAnsi"/>
        </w:rPr>
        <w:t xml:space="preserve">medicine </w:t>
      </w:r>
      <w:r w:rsidRPr="00EA3458">
        <w:rPr>
          <w:rFonts w:asciiTheme="minorHAnsi" w:hAnsiTheme="minorHAnsi" w:cstheme="minorHAnsi"/>
        </w:rPr>
        <w:t>dispensing workload. Common barriers to providing O</w:t>
      </w:r>
      <w:r>
        <w:rPr>
          <w:rFonts w:asciiTheme="minorHAnsi" w:hAnsiTheme="minorHAnsi" w:cstheme="minorHAnsi"/>
        </w:rPr>
        <w:t>D</w:t>
      </w:r>
      <w:r w:rsidRPr="00EA3458">
        <w:rPr>
          <w:rFonts w:asciiTheme="minorHAnsi" w:hAnsiTheme="minorHAnsi" w:cstheme="minorHAnsi"/>
        </w:rPr>
        <w:t>T reported by health care workers include</w:t>
      </w:r>
      <w:r>
        <w:rPr>
          <w:rFonts w:asciiTheme="minorHAnsi" w:hAnsiTheme="minorHAnsi" w:cstheme="minorHAnsi"/>
        </w:rPr>
        <w:t xml:space="preserve"> </w:t>
      </w:r>
      <w:r w:rsidRPr="00EA3458">
        <w:rPr>
          <w:rFonts w:asciiTheme="minorHAnsi" w:hAnsiTheme="minorHAnsi" w:cstheme="minorHAnsi"/>
        </w:rPr>
        <w:t xml:space="preserve">lack of financial remuneration for </w:t>
      </w:r>
      <w:r>
        <w:rPr>
          <w:rFonts w:asciiTheme="minorHAnsi" w:hAnsiTheme="minorHAnsi" w:cstheme="minorHAnsi"/>
        </w:rPr>
        <w:t>the</w:t>
      </w:r>
      <w:r w:rsidRPr="00EA3458">
        <w:rPr>
          <w:rFonts w:asciiTheme="minorHAnsi" w:hAnsiTheme="minorHAnsi" w:cstheme="minorHAnsi"/>
        </w:rPr>
        <w:t xml:space="preserve"> workload</w:t>
      </w:r>
      <w:r>
        <w:rPr>
          <w:rFonts w:asciiTheme="minorHAnsi" w:hAnsiTheme="minorHAnsi" w:cstheme="minorHAnsi"/>
        </w:rPr>
        <w:t xml:space="preserve"> associated with supply of ODT medicines</w:t>
      </w:r>
      <w:r w:rsidRPr="00EA3458">
        <w:rPr>
          <w:rFonts w:asciiTheme="minorHAnsi" w:hAnsiTheme="minorHAnsi" w:cstheme="minorHAnsi"/>
        </w:rPr>
        <w:t xml:space="preserve">, </w:t>
      </w:r>
      <w:r>
        <w:rPr>
          <w:rFonts w:asciiTheme="minorHAnsi" w:hAnsiTheme="minorHAnsi" w:cstheme="minorHAnsi"/>
        </w:rPr>
        <w:t>and among prescribers and pharmacists a</w:t>
      </w:r>
      <w:r w:rsidRPr="00EA3458">
        <w:rPr>
          <w:rFonts w:asciiTheme="minorHAnsi" w:hAnsiTheme="minorHAnsi" w:cstheme="minorHAnsi"/>
        </w:rPr>
        <w:t xml:space="preserve"> lack of education, knowledge, and training around drug dependence and O</w:t>
      </w:r>
      <w:r>
        <w:rPr>
          <w:rFonts w:asciiTheme="minorHAnsi" w:hAnsiTheme="minorHAnsi" w:cstheme="minorHAnsi"/>
        </w:rPr>
        <w:t>D</w:t>
      </w:r>
      <w:r w:rsidRPr="00EA3458">
        <w:rPr>
          <w:rFonts w:asciiTheme="minorHAnsi" w:hAnsiTheme="minorHAnsi" w:cstheme="minorHAnsi"/>
        </w:rPr>
        <w:t xml:space="preserve">T, </w:t>
      </w:r>
      <w:r>
        <w:rPr>
          <w:rFonts w:asciiTheme="minorHAnsi" w:hAnsiTheme="minorHAnsi" w:cstheme="minorHAnsi"/>
        </w:rPr>
        <w:t>as well as</w:t>
      </w:r>
      <w:r w:rsidRPr="00EA3458">
        <w:rPr>
          <w:rFonts w:asciiTheme="minorHAnsi" w:hAnsiTheme="minorHAnsi" w:cstheme="minorHAnsi"/>
        </w:rPr>
        <w:t xml:space="preserve"> belief that O</w:t>
      </w:r>
      <w:r>
        <w:rPr>
          <w:rFonts w:asciiTheme="minorHAnsi" w:hAnsiTheme="minorHAnsi" w:cstheme="minorHAnsi"/>
        </w:rPr>
        <w:t>D</w:t>
      </w:r>
      <w:r w:rsidRPr="00EA3458">
        <w:rPr>
          <w:rFonts w:asciiTheme="minorHAnsi" w:hAnsiTheme="minorHAnsi" w:cstheme="minorHAnsi"/>
        </w:rPr>
        <w:t>T is not a valid treatment.</w:t>
      </w:r>
      <w:r>
        <w:rPr>
          <w:rFonts w:asciiTheme="minorHAnsi" w:hAnsiTheme="minorHAnsi" w:cstheme="minorHAnsi"/>
        </w:rPr>
        <w:t xml:space="preserve"> These barriers contribute to ongoing stigma and discrimination experienced by consumers who access ODT.</w:t>
      </w:r>
    </w:p>
    <w:p w14:paraId="057D8535" w14:textId="41AE41D3" w:rsidR="00BD5E18" w:rsidRDefault="00BD5E18" w:rsidP="00BD5E18">
      <w:pPr>
        <w:spacing w:line="259" w:lineRule="auto"/>
        <w:rPr>
          <w:rFonts w:asciiTheme="minorHAnsi" w:hAnsiTheme="minorHAnsi" w:cstheme="minorHAnsi"/>
        </w:rPr>
      </w:pPr>
      <w:r>
        <w:rPr>
          <w:rFonts w:asciiTheme="minorHAnsi" w:hAnsiTheme="minorHAnsi" w:cstheme="minorHAnsi"/>
        </w:rPr>
        <w:t>Although experienced by many ODT consumers, p</w:t>
      </w:r>
      <w:r w:rsidRPr="00EA3458">
        <w:rPr>
          <w:rFonts w:asciiTheme="minorHAnsi" w:hAnsiTheme="minorHAnsi" w:cstheme="minorHAnsi"/>
        </w:rPr>
        <w:t xml:space="preserve">eople in rural areas </w:t>
      </w:r>
      <w:r>
        <w:rPr>
          <w:rFonts w:asciiTheme="minorHAnsi" w:hAnsiTheme="minorHAnsi" w:cstheme="minorHAnsi"/>
        </w:rPr>
        <w:t xml:space="preserve">in particular </w:t>
      </w:r>
      <w:r w:rsidRPr="00EA3458">
        <w:rPr>
          <w:rFonts w:asciiTheme="minorHAnsi" w:hAnsiTheme="minorHAnsi" w:cstheme="minorHAnsi"/>
        </w:rPr>
        <w:t>commonly reported that their access or retention to O</w:t>
      </w:r>
      <w:r>
        <w:rPr>
          <w:rFonts w:asciiTheme="minorHAnsi" w:hAnsiTheme="minorHAnsi" w:cstheme="minorHAnsi"/>
        </w:rPr>
        <w:t>D</w:t>
      </w:r>
      <w:r w:rsidRPr="00EA3458">
        <w:rPr>
          <w:rFonts w:asciiTheme="minorHAnsi" w:hAnsiTheme="minorHAnsi" w:cstheme="minorHAnsi"/>
        </w:rPr>
        <w:t>T was impeded by time consuming, costly, and restrictive daily medication collection; and the lack of privacy at dosing sites, leading to a fear of identification</w:t>
      </w:r>
      <w:r>
        <w:rPr>
          <w:rFonts w:asciiTheme="minorHAnsi" w:hAnsiTheme="minorHAnsi" w:cstheme="minorHAnsi"/>
        </w:rPr>
        <w:t>,</w:t>
      </w:r>
      <w:r w:rsidRPr="00EA3458">
        <w:rPr>
          <w:rFonts w:asciiTheme="minorHAnsi" w:hAnsiTheme="minorHAnsi" w:cstheme="minorHAnsi"/>
        </w:rPr>
        <w:t xml:space="preserve"> stigma</w:t>
      </w:r>
      <w:r>
        <w:rPr>
          <w:rFonts w:asciiTheme="minorHAnsi" w:hAnsiTheme="minorHAnsi" w:cstheme="minorHAnsi"/>
        </w:rPr>
        <w:t xml:space="preserve"> and discrimination</w:t>
      </w:r>
      <w:r w:rsidRPr="00EA3458">
        <w:rPr>
          <w:rFonts w:asciiTheme="minorHAnsi" w:hAnsiTheme="minorHAnsi" w:cstheme="minorHAnsi"/>
        </w:rPr>
        <w:t xml:space="preserve">. Accordingly, </w:t>
      </w:r>
      <w:r>
        <w:rPr>
          <w:rFonts w:asciiTheme="minorHAnsi" w:hAnsiTheme="minorHAnsi" w:cstheme="minorHAnsi"/>
        </w:rPr>
        <w:t xml:space="preserve">in addition to affordability, </w:t>
      </w:r>
      <w:r w:rsidRPr="00EA3458">
        <w:rPr>
          <w:rFonts w:asciiTheme="minorHAnsi" w:hAnsiTheme="minorHAnsi" w:cstheme="minorHAnsi"/>
        </w:rPr>
        <w:t>the most reported facilitators to treatment</w:t>
      </w:r>
      <w:r>
        <w:rPr>
          <w:rFonts w:asciiTheme="minorHAnsi" w:hAnsiTheme="minorHAnsi" w:cstheme="minorHAnsi"/>
        </w:rPr>
        <w:t xml:space="preserve"> by ODT consumers</w:t>
      </w:r>
      <w:r w:rsidRPr="00EA3458">
        <w:rPr>
          <w:rFonts w:asciiTheme="minorHAnsi" w:hAnsiTheme="minorHAnsi" w:cstheme="minorHAnsi"/>
        </w:rPr>
        <w:t xml:space="preserve"> </w:t>
      </w:r>
      <w:r>
        <w:rPr>
          <w:rFonts w:asciiTheme="minorHAnsi" w:hAnsiTheme="minorHAnsi" w:cstheme="minorHAnsi"/>
        </w:rPr>
        <w:t xml:space="preserve">in rural settings </w:t>
      </w:r>
      <w:r w:rsidRPr="00EA3458">
        <w:rPr>
          <w:rFonts w:asciiTheme="minorHAnsi" w:hAnsiTheme="minorHAnsi" w:cstheme="minorHAnsi"/>
        </w:rPr>
        <w:t>were access to takeaway doses to alleviate issues with travel and time constraints, and the establishment of separate dosing areas in pharmacies to offer privacy to O</w:t>
      </w:r>
      <w:r>
        <w:rPr>
          <w:rFonts w:asciiTheme="minorHAnsi" w:hAnsiTheme="minorHAnsi" w:cstheme="minorHAnsi"/>
        </w:rPr>
        <w:t>D</w:t>
      </w:r>
      <w:r w:rsidRPr="00EA3458">
        <w:rPr>
          <w:rFonts w:asciiTheme="minorHAnsi" w:hAnsiTheme="minorHAnsi" w:cstheme="minorHAnsi"/>
        </w:rPr>
        <w:t>T consumers.</w:t>
      </w:r>
    </w:p>
    <w:p w14:paraId="362F5822" w14:textId="506CE7E9" w:rsidR="00F01D1F" w:rsidRDefault="00BD5E18" w:rsidP="00467BB0">
      <w:pPr>
        <w:spacing w:line="259" w:lineRule="auto"/>
        <w:rPr>
          <w:rFonts w:asciiTheme="majorHAnsi" w:eastAsiaTheme="majorEastAsia" w:hAnsiTheme="majorHAnsi" w:cstheme="majorBidi"/>
          <w:i/>
          <w:iCs/>
          <w:color w:val="2F5496" w:themeColor="accent1" w:themeShade="BF"/>
        </w:rPr>
      </w:pPr>
      <w:r>
        <w:rPr>
          <w:rFonts w:asciiTheme="minorHAnsi" w:hAnsiTheme="minorHAnsi" w:cstheme="minorHAnsi"/>
        </w:rPr>
        <w:t>In Australia, t</w:t>
      </w:r>
      <w:r w:rsidRPr="00AB43EE">
        <w:rPr>
          <w:rFonts w:asciiTheme="minorHAnsi" w:hAnsiTheme="minorHAnsi" w:cstheme="minorHAnsi"/>
        </w:rPr>
        <w:t xml:space="preserve">he </w:t>
      </w:r>
      <w:r>
        <w:rPr>
          <w:rFonts w:asciiTheme="minorHAnsi" w:hAnsiTheme="minorHAnsi" w:cstheme="minorHAnsi"/>
        </w:rPr>
        <w:t>affordability for consumers due to the high cost</w:t>
      </w:r>
      <w:r w:rsidRPr="00AB43EE">
        <w:rPr>
          <w:rFonts w:asciiTheme="minorHAnsi" w:hAnsiTheme="minorHAnsi" w:cstheme="minorHAnsi"/>
        </w:rPr>
        <w:t xml:space="preserve"> of </w:t>
      </w:r>
      <w:r>
        <w:rPr>
          <w:rFonts w:asciiTheme="minorHAnsi" w:hAnsiTheme="minorHAnsi" w:cstheme="minorHAnsi"/>
        </w:rPr>
        <w:t xml:space="preserve">private, unregulated fees associated with dispensing of </w:t>
      </w:r>
      <w:r w:rsidRPr="00AB43EE">
        <w:rPr>
          <w:rFonts w:asciiTheme="minorHAnsi" w:hAnsiTheme="minorHAnsi" w:cstheme="minorHAnsi"/>
        </w:rPr>
        <w:t>O</w:t>
      </w:r>
      <w:r>
        <w:rPr>
          <w:rFonts w:asciiTheme="minorHAnsi" w:hAnsiTheme="minorHAnsi" w:cstheme="minorHAnsi"/>
        </w:rPr>
        <w:t>D</w:t>
      </w:r>
      <w:r w:rsidRPr="00AB43EE">
        <w:rPr>
          <w:rFonts w:asciiTheme="minorHAnsi" w:hAnsiTheme="minorHAnsi" w:cstheme="minorHAnsi"/>
        </w:rPr>
        <w:t xml:space="preserve">T </w:t>
      </w:r>
      <w:r>
        <w:rPr>
          <w:rFonts w:asciiTheme="minorHAnsi" w:hAnsiTheme="minorHAnsi" w:cstheme="minorHAnsi"/>
        </w:rPr>
        <w:t xml:space="preserve">medicines </w:t>
      </w:r>
      <w:r w:rsidRPr="00AB43EE">
        <w:rPr>
          <w:rFonts w:asciiTheme="minorHAnsi" w:hAnsiTheme="minorHAnsi" w:cstheme="minorHAnsi"/>
        </w:rPr>
        <w:t>was consistently identified as a barrier for both consumer access to treatment and for the provision of O</w:t>
      </w:r>
      <w:r>
        <w:rPr>
          <w:rFonts w:asciiTheme="minorHAnsi" w:hAnsiTheme="minorHAnsi" w:cstheme="minorHAnsi"/>
        </w:rPr>
        <w:t>D</w:t>
      </w:r>
      <w:r w:rsidRPr="00AB43EE">
        <w:rPr>
          <w:rFonts w:asciiTheme="minorHAnsi" w:hAnsiTheme="minorHAnsi" w:cstheme="minorHAnsi"/>
        </w:rPr>
        <w:t xml:space="preserve">T through prescribers and pharmacists and was also the most common theme arising from stakeholder submissions to </w:t>
      </w:r>
      <w:r w:rsidRPr="00AB43EE">
        <w:rPr>
          <w:rFonts w:asciiTheme="minorHAnsi" w:hAnsiTheme="minorHAnsi" w:cstheme="minorHAnsi"/>
        </w:rPr>
        <w:lastRenderedPageBreak/>
        <w:t>t</w:t>
      </w:r>
      <w:r>
        <w:rPr>
          <w:rFonts w:asciiTheme="minorHAnsi" w:hAnsiTheme="minorHAnsi" w:cstheme="minorHAnsi"/>
        </w:rPr>
        <w:t>he Review</w:t>
      </w:r>
      <w:r w:rsidRPr="00AB43EE">
        <w:rPr>
          <w:rFonts w:asciiTheme="minorHAnsi" w:hAnsiTheme="minorHAnsi" w:cstheme="minorHAnsi"/>
        </w:rPr>
        <w:t xml:space="preserve">. </w:t>
      </w:r>
      <w:r>
        <w:rPr>
          <w:rFonts w:asciiTheme="minorHAnsi" w:hAnsiTheme="minorHAnsi" w:cstheme="minorHAnsi"/>
        </w:rPr>
        <w:t xml:space="preserve">Addressing the matter of private fees associated with accessing ODT medicines </w:t>
      </w:r>
      <w:r w:rsidRPr="00AB43EE">
        <w:rPr>
          <w:rFonts w:asciiTheme="minorHAnsi" w:hAnsiTheme="minorHAnsi" w:cstheme="minorHAnsi"/>
        </w:rPr>
        <w:t>should therefore be a priority in reformed ODT</w:t>
      </w:r>
      <w:r>
        <w:rPr>
          <w:rFonts w:asciiTheme="minorHAnsi" w:hAnsiTheme="minorHAnsi" w:cstheme="minorHAnsi"/>
        </w:rPr>
        <w:t xml:space="preserve"> programs</w:t>
      </w:r>
      <w:r w:rsidR="00AB43EE" w:rsidRPr="00AB43EE">
        <w:rPr>
          <w:rFonts w:asciiTheme="minorHAnsi" w:hAnsiTheme="minorHAnsi" w:cstheme="minorHAnsi"/>
        </w:rPr>
        <w:t>.</w:t>
      </w:r>
    </w:p>
    <w:p w14:paraId="7C0FF03B" w14:textId="526655D9" w:rsidR="00A31695" w:rsidRPr="00EA3458" w:rsidRDefault="00A31695" w:rsidP="007E3DC8">
      <w:pPr>
        <w:pStyle w:val="Heading4"/>
        <w:numPr>
          <w:ilvl w:val="2"/>
          <w:numId w:val="45"/>
        </w:numPr>
      </w:pPr>
      <w:r w:rsidRPr="00EA3458">
        <w:t>Stakeholder views</w:t>
      </w:r>
      <w:r w:rsidR="00264AE1">
        <w:t xml:space="preserve"> for TOR 2</w:t>
      </w:r>
    </w:p>
    <w:p w14:paraId="6DA61EE4" w14:textId="335D2E73" w:rsidR="00A31695" w:rsidRDefault="00A31695" w:rsidP="00700914">
      <w:pPr>
        <w:spacing w:after="0" w:line="256" w:lineRule="auto"/>
        <w:rPr>
          <w:rFonts w:asciiTheme="minorHAnsi" w:hAnsiTheme="minorHAnsi" w:cstheme="minorHAnsi"/>
        </w:rPr>
      </w:pPr>
      <w:r w:rsidRPr="00EA3458">
        <w:rPr>
          <w:rFonts w:asciiTheme="minorHAnsi" w:hAnsiTheme="minorHAnsi" w:cstheme="minorHAnsi"/>
        </w:rPr>
        <w:t xml:space="preserve">The review considered the views of stakeholders across the breadth of opioid dependence treatment stakeholders including service delivery providers such as prescribers and pharmacists. In addition, targeted consumer views were sought directly from specific consumer populations </w:t>
      </w:r>
      <w:r w:rsidR="00037100">
        <w:rPr>
          <w:rFonts w:asciiTheme="minorHAnsi" w:hAnsiTheme="minorHAnsi" w:cstheme="minorHAnsi"/>
        </w:rPr>
        <w:t xml:space="preserve">with specific needs </w:t>
      </w:r>
      <w:r w:rsidRPr="00EA3458">
        <w:rPr>
          <w:rFonts w:asciiTheme="minorHAnsi" w:hAnsiTheme="minorHAnsi" w:cstheme="minorHAnsi"/>
        </w:rPr>
        <w:t>through externally facilitated focus groups. Stakeholder views were broadly consistent with the matters outlined in literature review. Submissions to the review and other consultation reports are publicly available through the ODTP PMR website (</w:t>
      </w:r>
      <w:hyperlink r:id="rId23" w:history="1">
        <w:r w:rsidRPr="00EA3458">
          <w:rPr>
            <w:rStyle w:val="Hyperlink"/>
            <w:rFonts w:asciiTheme="minorHAnsi" w:hAnsiTheme="minorHAnsi" w:cstheme="minorHAnsi"/>
          </w:rPr>
          <w:t>www.pbs.gov.au/info/browse/reviews</w:t>
        </w:r>
      </w:hyperlink>
      <w:r w:rsidRPr="00EA3458">
        <w:rPr>
          <w:rFonts w:asciiTheme="minorHAnsi" w:hAnsiTheme="minorHAnsi" w:cstheme="minorHAnsi"/>
        </w:rPr>
        <w:t>)</w:t>
      </w:r>
      <w:r w:rsidR="00DA5799">
        <w:rPr>
          <w:rFonts w:asciiTheme="minorHAnsi" w:hAnsiTheme="minorHAnsi" w:cstheme="minorHAnsi"/>
        </w:rPr>
        <w:t xml:space="preserve">. </w:t>
      </w:r>
      <w:r w:rsidR="004F5711">
        <w:rPr>
          <w:rFonts w:asciiTheme="minorHAnsi" w:hAnsiTheme="minorHAnsi" w:cstheme="minorHAnsi"/>
        </w:rPr>
        <w:t>The full</w:t>
      </w:r>
      <w:r w:rsidR="00DA5799">
        <w:rPr>
          <w:rFonts w:asciiTheme="minorHAnsi" w:hAnsiTheme="minorHAnsi" w:cstheme="minorHAnsi"/>
        </w:rPr>
        <w:t xml:space="preserve"> report summarising the outcomes of the targeted consumer consultation is available at Appendix 3.</w:t>
      </w:r>
    </w:p>
    <w:p w14:paraId="1993E609" w14:textId="77777777" w:rsidR="00632DDD" w:rsidRPr="00AB43EE" w:rsidRDefault="00632DDD" w:rsidP="00700914">
      <w:pPr>
        <w:spacing w:after="0" w:line="256" w:lineRule="auto"/>
        <w:rPr>
          <w:rStyle w:val="Heading3Char"/>
          <w:rFonts w:eastAsiaTheme="minorHAnsi" w:cstheme="minorHAnsi"/>
          <w:color w:val="auto"/>
        </w:rPr>
      </w:pPr>
    </w:p>
    <w:p w14:paraId="18FC0B90" w14:textId="75AB6647" w:rsidR="00A31695" w:rsidRPr="00EA3458" w:rsidRDefault="00A31695" w:rsidP="007E3DC8">
      <w:pPr>
        <w:pStyle w:val="Heading3"/>
        <w:numPr>
          <w:ilvl w:val="1"/>
          <w:numId w:val="45"/>
        </w:numPr>
        <w:rPr>
          <w:rStyle w:val="Heading3Char"/>
        </w:rPr>
      </w:pPr>
      <w:bookmarkStart w:id="378" w:name="_Toc118719012"/>
      <w:bookmarkStart w:id="379" w:name="_Toc163221172"/>
      <w:r w:rsidRPr="00EA3458">
        <w:rPr>
          <w:rStyle w:val="Heading3Char"/>
        </w:rPr>
        <w:t xml:space="preserve">Overview of </w:t>
      </w:r>
      <w:r w:rsidR="004B6B6D">
        <w:rPr>
          <w:rStyle w:val="Heading3Char"/>
        </w:rPr>
        <w:t>s</w:t>
      </w:r>
      <w:r w:rsidRPr="00EA3458">
        <w:rPr>
          <w:rStyle w:val="Heading3Char"/>
        </w:rPr>
        <w:t>takeholder views</w:t>
      </w:r>
      <w:bookmarkEnd w:id="378"/>
      <w:r w:rsidR="00264AE1">
        <w:rPr>
          <w:rStyle w:val="Heading3Char"/>
        </w:rPr>
        <w:t xml:space="preserve"> for TOR 2</w:t>
      </w:r>
      <w:bookmarkEnd w:id="379"/>
      <w:r w:rsidRPr="00EA3458">
        <w:rPr>
          <w:rStyle w:val="Heading3Char"/>
        </w:rPr>
        <w:t xml:space="preserve"> </w:t>
      </w:r>
    </w:p>
    <w:p w14:paraId="18545B2C" w14:textId="3D525EBB" w:rsidR="00A31695" w:rsidRPr="00EA3458" w:rsidRDefault="00A31695">
      <w:pPr>
        <w:spacing w:after="160" w:line="256" w:lineRule="auto"/>
        <w:rPr>
          <w:rFonts w:asciiTheme="minorHAnsi" w:hAnsiTheme="minorHAnsi" w:cstheme="minorHAnsi"/>
        </w:rPr>
      </w:pPr>
      <w:r w:rsidRPr="00EA3458">
        <w:rPr>
          <w:rFonts w:asciiTheme="minorHAnsi" w:hAnsiTheme="minorHAnsi" w:cstheme="minorHAnsi"/>
        </w:rPr>
        <w:t>Stakeholders fel</w:t>
      </w:r>
      <w:r w:rsidR="004B6B6D">
        <w:rPr>
          <w:rFonts w:asciiTheme="minorHAnsi" w:hAnsiTheme="minorHAnsi" w:cstheme="minorHAnsi"/>
        </w:rPr>
        <w:t>t</w:t>
      </w:r>
      <w:r w:rsidRPr="00EA3458">
        <w:rPr>
          <w:rFonts w:asciiTheme="minorHAnsi" w:hAnsiTheme="minorHAnsi" w:cstheme="minorHAnsi"/>
        </w:rPr>
        <w:t xml:space="preserve"> access and consumer out-of-pocket costs when accessing their medicines from dosing sites are critical issues. </w:t>
      </w:r>
      <w:bookmarkStart w:id="380" w:name="_Hlk126672186"/>
      <w:r w:rsidR="00B53670" w:rsidRPr="00B53670">
        <w:rPr>
          <w:rFonts w:asciiTheme="minorHAnsi" w:hAnsiTheme="minorHAnsi" w:cstheme="minorHAnsi"/>
        </w:rPr>
        <w:t>Stakeholders consider ODT medicines provide treatment for the chronic condition of opioid dependence and should therefore be provided at the same or similar costs to the consumer as other PBS medicines for other chronic conditions</w:t>
      </w:r>
      <w:bookmarkEnd w:id="380"/>
      <w:r w:rsidRPr="00B53670">
        <w:rPr>
          <w:rFonts w:asciiTheme="minorHAnsi" w:hAnsiTheme="minorHAnsi" w:cstheme="minorHAnsi"/>
        </w:rPr>
        <w:t>.</w:t>
      </w:r>
      <w:r w:rsidRPr="00EA3458">
        <w:rPr>
          <w:rFonts w:asciiTheme="minorHAnsi" w:hAnsiTheme="minorHAnsi" w:cstheme="minorHAnsi"/>
        </w:rPr>
        <w:t xml:space="preserve"> </w:t>
      </w:r>
      <w:r w:rsidR="004B6B6D">
        <w:rPr>
          <w:rFonts w:asciiTheme="minorHAnsi" w:hAnsiTheme="minorHAnsi" w:cstheme="minorHAnsi"/>
        </w:rPr>
        <w:t xml:space="preserve">Stakeholders suggest </w:t>
      </w:r>
      <w:r w:rsidRPr="00EA3458">
        <w:rPr>
          <w:rFonts w:asciiTheme="minorHAnsi" w:hAnsiTheme="minorHAnsi" w:cstheme="minorHAnsi"/>
        </w:rPr>
        <w:t xml:space="preserve">ODT consumers </w:t>
      </w:r>
      <w:r w:rsidR="004B6B6D">
        <w:rPr>
          <w:rFonts w:asciiTheme="minorHAnsi" w:hAnsiTheme="minorHAnsi" w:cstheme="minorHAnsi"/>
        </w:rPr>
        <w:t xml:space="preserve">accessing medicines on the PBS </w:t>
      </w:r>
      <w:r w:rsidRPr="00EA3458">
        <w:rPr>
          <w:rFonts w:asciiTheme="minorHAnsi" w:hAnsiTheme="minorHAnsi" w:cstheme="minorHAnsi"/>
        </w:rPr>
        <w:t>should have equitable access to the PBS Safety Net, as they would for any other chronic condition.</w:t>
      </w:r>
    </w:p>
    <w:p w14:paraId="773A61E0" w14:textId="27EE5329" w:rsidR="00A31695" w:rsidRPr="00EA3458" w:rsidRDefault="00A31695">
      <w:pPr>
        <w:spacing w:after="160" w:line="256" w:lineRule="auto"/>
        <w:rPr>
          <w:rFonts w:asciiTheme="minorHAnsi" w:hAnsiTheme="minorHAnsi" w:cstheme="minorHAnsi"/>
        </w:rPr>
      </w:pPr>
      <w:r w:rsidRPr="00EA3458">
        <w:rPr>
          <w:rFonts w:asciiTheme="minorHAnsi" w:hAnsiTheme="minorHAnsi" w:cstheme="minorHAnsi"/>
        </w:rPr>
        <w:t xml:space="preserve">Stakeholders also </w:t>
      </w:r>
      <w:r w:rsidR="004B6B6D">
        <w:rPr>
          <w:rFonts w:asciiTheme="minorHAnsi" w:hAnsiTheme="minorHAnsi" w:cstheme="minorHAnsi"/>
        </w:rPr>
        <w:t xml:space="preserve">were of the </w:t>
      </w:r>
      <w:r w:rsidR="0093496B">
        <w:rPr>
          <w:rFonts w:asciiTheme="minorHAnsi" w:hAnsiTheme="minorHAnsi" w:cstheme="minorHAnsi"/>
        </w:rPr>
        <w:t>opinion</w:t>
      </w:r>
      <w:r w:rsidR="004B6B6D" w:rsidRPr="00EA3458">
        <w:rPr>
          <w:rFonts w:asciiTheme="minorHAnsi" w:hAnsiTheme="minorHAnsi" w:cstheme="minorHAnsi"/>
        </w:rPr>
        <w:t xml:space="preserve"> </w:t>
      </w:r>
      <w:r w:rsidRPr="00EA3458">
        <w:rPr>
          <w:rFonts w:asciiTheme="minorHAnsi" w:hAnsiTheme="minorHAnsi" w:cstheme="minorHAnsi"/>
        </w:rPr>
        <w:t>the jurisdictional requirements for supervised dosing should be reviewed, particularly for buprenorphine products.</w:t>
      </w:r>
    </w:p>
    <w:p w14:paraId="15C9C5BD" w14:textId="7E181420" w:rsidR="00A31695" w:rsidRPr="00EA3458" w:rsidRDefault="004B6B6D">
      <w:pPr>
        <w:spacing w:after="160" w:line="256" w:lineRule="auto"/>
        <w:rPr>
          <w:rFonts w:asciiTheme="minorHAnsi" w:hAnsiTheme="minorHAnsi" w:cstheme="minorHAnsi"/>
        </w:rPr>
      </w:pPr>
      <w:r>
        <w:rPr>
          <w:rFonts w:asciiTheme="minorHAnsi" w:hAnsiTheme="minorHAnsi" w:cstheme="minorHAnsi"/>
        </w:rPr>
        <w:t xml:space="preserve">Stakeholders </w:t>
      </w:r>
      <w:r w:rsidR="0093496B">
        <w:rPr>
          <w:rFonts w:asciiTheme="minorHAnsi" w:hAnsiTheme="minorHAnsi" w:cstheme="minorHAnsi"/>
        </w:rPr>
        <w:t>stated</w:t>
      </w:r>
      <w:r>
        <w:rPr>
          <w:rFonts w:asciiTheme="minorHAnsi" w:hAnsiTheme="minorHAnsi" w:cstheme="minorHAnsi"/>
        </w:rPr>
        <w:t xml:space="preserve"> t</w:t>
      </w:r>
      <w:r w:rsidR="00A31695" w:rsidRPr="00EA3458">
        <w:rPr>
          <w:rFonts w:asciiTheme="minorHAnsi" w:hAnsiTheme="minorHAnsi" w:cstheme="minorHAnsi"/>
        </w:rPr>
        <w:t xml:space="preserve">he cost and complexity of the program for pharmacists is a significant barrier. </w:t>
      </w:r>
      <w:r>
        <w:rPr>
          <w:rFonts w:asciiTheme="minorHAnsi" w:hAnsiTheme="minorHAnsi" w:cstheme="minorHAnsi"/>
        </w:rPr>
        <w:t>They felt that p</w:t>
      </w:r>
      <w:r w:rsidR="00A31695" w:rsidRPr="00EA3458">
        <w:rPr>
          <w:rFonts w:asciiTheme="minorHAnsi" w:hAnsiTheme="minorHAnsi" w:cstheme="minorHAnsi"/>
        </w:rPr>
        <w:t xml:space="preserve">articipation in </w:t>
      </w:r>
      <w:r w:rsidR="00992300">
        <w:rPr>
          <w:rFonts w:asciiTheme="minorHAnsi" w:hAnsiTheme="minorHAnsi" w:cstheme="minorHAnsi"/>
        </w:rPr>
        <w:t>ODT</w:t>
      </w:r>
      <w:r w:rsidR="00A31695" w:rsidRPr="00EA3458">
        <w:rPr>
          <w:rFonts w:asciiTheme="minorHAnsi" w:hAnsiTheme="minorHAnsi" w:cstheme="minorHAnsi"/>
        </w:rPr>
        <w:t xml:space="preserve"> is not financially viable for many pharmacists, and the Australian Government covering the cost of the medicine alone through the PBS does not improve consumer access or quality use of medicines.</w:t>
      </w:r>
    </w:p>
    <w:p w14:paraId="78B3A4C5" w14:textId="7D813D7E" w:rsidR="00A31695" w:rsidRPr="00EA3458" w:rsidRDefault="00A31695">
      <w:pPr>
        <w:spacing w:after="160" w:line="256" w:lineRule="auto"/>
        <w:rPr>
          <w:rFonts w:asciiTheme="minorHAnsi" w:hAnsiTheme="minorHAnsi" w:cstheme="minorHAnsi"/>
        </w:rPr>
      </w:pPr>
      <w:r w:rsidRPr="00EA3458">
        <w:rPr>
          <w:rFonts w:asciiTheme="minorHAnsi" w:hAnsiTheme="minorHAnsi" w:cstheme="minorHAnsi"/>
        </w:rPr>
        <w:t xml:space="preserve">In addition, </w:t>
      </w:r>
      <w:r w:rsidR="005241F8">
        <w:rPr>
          <w:rFonts w:asciiTheme="minorHAnsi" w:hAnsiTheme="minorHAnsi" w:cstheme="minorHAnsi"/>
        </w:rPr>
        <w:t xml:space="preserve">stakeholders </w:t>
      </w:r>
      <w:r w:rsidR="0093496B">
        <w:rPr>
          <w:rFonts w:asciiTheme="minorHAnsi" w:hAnsiTheme="minorHAnsi" w:cstheme="minorHAnsi"/>
        </w:rPr>
        <w:t>commented</w:t>
      </w:r>
      <w:r w:rsidR="005241F8">
        <w:rPr>
          <w:rFonts w:asciiTheme="minorHAnsi" w:hAnsiTheme="minorHAnsi" w:cstheme="minorHAnsi"/>
        </w:rPr>
        <w:t xml:space="preserve"> </w:t>
      </w:r>
      <w:r w:rsidRPr="00EA3458">
        <w:rPr>
          <w:rFonts w:asciiTheme="minorHAnsi" w:hAnsiTheme="minorHAnsi" w:cstheme="minorHAnsi"/>
        </w:rPr>
        <w:t>the lack of an adequate funding model for prescribers (particularly GPs) was a significant barrier to prescriber participation in the program.</w:t>
      </w:r>
    </w:p>
    <w:p w14:paraId="4A18D6C6" w14:textId="0C11EBC2" w:rsidR="00A31695" w:rsidRDefault="00A31695">
      <w:pPr>
        <w:spacing w:after="160" w:line="259" w:lineRule="auto"/>
        <w:rPr>
          <w:rFonts w:asciiTheme="minorHAnsi" w:hAnsiTheme="minorHAnsi" w:cstheme="minorHAnsi"/>
        </w:rPr>
      </w:pPr>
      <w:r w:rsidRPr="00EA3458">
        <w:rPr>
          <w:rFonts w:asciiTheme="minorHAnsi" w:hAnsiTheme="minorHAnsi" w:cstheme="minorHAnsi"/>
        </w:rPr>
        <w:t xml:space="preserve">Relating to access to culturally safe ODT for First Nations people, stakeholders noted that despite examples of successful integration of </w:t>
      </w:r>
      <w:r w:rsidR="00FF19DD">
        <w:rPr>
          <w:rFonts w:asciiTheme="minorHAnsi" w:hAnsiTheme="minorHAnsi" w:cstheme="minorHAnsi"/>
        </w:rPr>
        <w:t>O</w:t>
      </w:r>
      <w:r w:rsidR="00313D57">
        <w:rPr>
          <w:rFonts w:asciiTheme="minorHAnsi" w:hAnsiTheme="minorHAnsi" w:cstheme="minorHAnsi"/>
        </w:rPr>
        <w:t>D</w:t>
      </w:r>
      <w:r w:rsidR="00FF19DD">
        <w:rPr>
          <w:rFonts w:asciiTheme="minorHAnsi" w:hAnsiTheme="minorHAnsi" w:cstheme="minorHAnsi"/>
        </w:rPr>
        <w:t>T</w:t>
      </w:r>
      <w:r w:rsidR="00313D57">
        <w:rPr>
          <w:rFonts w:asciiTheme="minorHAnsi" w:hAnsiTheme="minorHAnsi" w:cstheme="minorHAnsi"/>
        </w:rPr>
        <w:t xml:space="preserve"> medicine services</w:t>
      </w:r>
      <w:r w:rsidRPr="00EA3458">
        <w:rPr>
          <w:rFonts w:asciiTheme="minorHAnsi" w:hAnsiTheme="minorHAnsi" w:cstheme="minorHAnsi"/>
        </w:rPr>
        <w:t xml:space="preserve"> into ACCHO</w:t>
      </w:r>
      <w:r w:rsidR="00156182">
        <w:rPr>
          <w:rFonts w:asciiTheme="minorHAnsi" w:hAnsiTheme="minorHAnsi" w:cstheme="minorHAnsi"/>
        </w:rPr>
        <w:t>s</w:t>
      </w:r>
      <w:r w:rsidRPr="00EA3458">
        <w:rPr>
          <w:rFonts w:asciiTheme="minorHAnsi" w:hAnsiTheme="minorHAnsi" w:cstheme="minorHAnsi"/>
        </w:rPr>
        <w:t>, it appears there are few ACCHO</w:t>
      </w:r>
      <w:r w:rsidR="00156182">
        <w:rPr>
          <w:rFonts w:asciiTheme="minorHAnsi" w:hAnsiTheme="minorHAnsi" w:cstheme="minorHAnsi"/>
        </w:rPr>
        <w:t>s</w:t>
      </w:r>
      <w:r w:rsidRPr="00EA3458">
        <w:rPr>
          <w:rFonts w:asciiTheme="minorHAnsi" w:hAnsiTheme="minorHAnsi" w:cstheme="minorHAnsi"/>
        </w:rPr>
        <w:t xml:space="preserve"> that provide ODT services in Australia. Stakeholders commented that ACCHO</w:t>
      </w:r>
      <w:r w:rsidR="00156182">
        <w:rPr>
          <w:rFonts w:asciiTheme="minorHAnsi" w:hAnsiTheme="minorHAnsi" w:cstheme="minorHAnsi"/>
        </w:rPr>
        <w:t>s</w:t>
      </w:r>
      <w:r w:rsidRPr="00EA3458">
        <w:rPr>
          <w:rFonts w:asciiTheme="minorHAnsi" w:hAnsiTheme="minorHAnsi" w:cstheme="minorHAnsi"/>
        </w:rPr>
        <w:t xml:space="preserve"> are not usually resourced or funded for ODT, possibly due to competing priorities</w:t>
      </w:r>
      <w:r w:rsidR="00C513E4">
        <w:rPr>
          <w:rFonts w:asciiTheme="minorHAnsi" w:hAnsiTheme="minorHAnsi" w:cstheme="minorHAnsi"/>
        </w:rPr>
        <w:t xml:space="preserve"> however were of a view that it is important to ensure</w:t>
      </w:r>
      <w:r w:rsidR="00C513E4" w:rsidRPr="00C513E4">
        <w:rPr>
          <w:rStyle w:val="normaltextrun"/>
          <w:rFonts w:cs="Calibri"/>
          <w:color w:val="000000"/>
          <w:shd w:val="clear" w:color="auto" w:fill="FFFFFF"/>
        </w:rPr>
        <w:t xml:space="preserve"> </w:t>
      </w:r>
      <w:r w:rsidR="00C513E4" w:rsidRPr="000A53FA">
        <w:rPr>
          <w:rStyle w:val="normaltextrun"/>
          <w:rFonts w:cs="Calibri"/>
          <w:color w:val="000000"/>
          <w:shd w:val="clear" w:color="auto" w:fill="FFFFFF"/>
        </w:rPr>
        <w:t>access to culturally secure treatment from both ACCHOs and mainstream ODT dosing sites</w:t>
      </w:r>
      <w:r w:rsidRPr="00EA3458">
        <w:rPr>
          <w:rFonts w:asciiTheme="minorHAnsi" w:hAnsiTheme="minorHAnsi" w:cstheme="minorHAnsi"/>
        </w:rPr>
        <w:t>.</w:t>
      </w:r>
      <w:r w:rsidR="00D96166">
        <w:rPr>
          <w:rFonts w:asciiTheme="minorHAnsi" w:hAnsiTheme="minorHAnsi" w:cstheme="minorHAnsi"/>
        </w:rPr>
        <w:t xml:space="preserve"> Stakeholders also noted there are opportunities for the comprehensive role ACCHOs could play in providing holistic treatment for opioid dependence beyond ODT medicines alone. </w:t>
      </w:r>
    </w:p>
    <w:p w14:paraId="691B3377" w14:textId="77777777" w:rsidR="00632DDD" w:rsidRPr="00EA3458" w:rsidRDefault="00632DDD">
      <w:pPr>
        <w:spacing w:after="160" w:line="259" w:lineRule="auto"/>
        <w:rPr>
          <w:rFonts w:asciiTheme="minorHAnsi" w:eastAsiaTheme="majorEastAsia" w:hAnsiTheme="minorHAnsi" w:cstheme="majorBidi"/>
          <w:color w:val="1F3763" w:themeColor="accent1" w:themeShade="7F"/>
        </w:rPr>
      </w:pPr>
    </w:p>
    <w:p w14:paraId="1EDDA967" w14:textId="77777777" w:rsidR="00632DDD" w:rsidRDefault="00632DDD">
      <w:pPr>
        <w:spacing w:after="160" w:line="259" w:lineRule="auto"/>
        <w:jc w:val="left"/>
        <w:rPr>
          <w:rFonts w:asciiTheme="minorHAnsi" w:eastAsiaTheme="majorEastAsia" w:hAnsiTheme="minorHAnsi" w:cstheme="majorBidi"/>
          <w:color w:val="1F3763" w:themeColor="accent1" w:themeShade="7F"/>
        </w:rPr>
      </w:pPr>
      <w:bookmarkStart w:id="381" w:name="_Toc118719014"/>
      <w:r>
        <w:br w:type="page"/>
      </w:r>
    </w:p>
    <w:p w14:paraId="6190474A" w14:textId="6357156C" w:rsidR="00A31695" w:rsidRPr="00EA3458" w:rsidRDefault="00A31695" w:rsidP="007E3DC8">
      <w:pPr>
        <w:pStyle w:val="Heading3"/>
        <w:numPr>
          <w:ilvl w:val="1"/>
          <w:numId w:val="45"/>
        </w:numPr>
      </w:pPr>
      <w:bookmarkStart w:id="382" w:name="_Toc163221173"/>
      <w:r w:rsidRPr="00EA3458">
        <w:lastRenderedPageBreak/>
        <w:t>Literature Review – Barriers and facilitators from a range of perspectives</w:t>
      </w:r>
      <w:bookmarkEnd w:id="381"/>
      <w:bookmarkEnd w:id="382"/>
    </w:p>
    <w:p w14:paraId="1A106428" w14:textId="031A1AF6" w:rsidR="00A31695" w:rsidRDefault="00A31695" w:rsidP="00981550">
      <w:pPr>
        <w:spacing w:after="0"/>
      </w:pPr>
      <w:r w:rsidRPr="00EA3458">
        <w:t xml:space="preserve">Table </w:t>
      </w:r>
      <w:r w:rsidR="00B827B1">
        <w:t>9</w:t>
      </w:r>
      <w:r w:rsidRPr="00EA3458">
        <w:t xml:space="preserve"> is drawn from the 69 eligible studies identified in the systematic review of published qualitative literature.</w:t>
      </w:r>
      <w:bookmarkStart w:id="383" w:name="_Toc99542091"/>
    </w:p>
    <w:p w14:paraId="0BD7584C" w14:textId="77777777" w:rsidR="00981550" w:rsidRPr="00467BB0" w:rsidRDefault="00981550" w:rsidP="00981550">
      <w:pPr>
        <w:spacing w:after="0"/>
        <w:rPr>
          <w:rFonts w:asciiTheme="minorHAnsi" w:eastAsiaTheme="majorEastAsia" w:hAnsiTheme="minorHAnsi" w:cstheme="minorHAnsi"/>
          <w:b/>
          <w:iCs/>
        </w:rPr>
      </w:pPr>
    </w:p>
    <w:p w14:paraId="01DF03EA" w14:textId="39339A50" w:rsidR="00A31695" w:rsidRPr="00EA3458" w:rsidRDefault="00A31695">
      <w:pPr>
        <w:pStyle w:val="Tables"/>
      </w:pPr>
      <w:bookmarkStart w:id="384" w:name="_Toc120183441"/>
      <w:bookmarkStart w:id="385" w:name="_Toc132823429"/>
      <w:r w:rsidRPr="00EA3458">
        <w:t xml:space="preserve">Table </w:t>
      </w:r>
      <w:r w:rsidR="00253486">
        <w:t>9</w:t>
      </w:r>
      <w:r w:rsidRPr="00EA3458">
        <w:t>. Barriers and facilitators to O</w:t>
      </w:r>
      <w:r w:rsidR="00313D57">
        <w:t>D</w:t>
      </w:r>
      <w:r w:rsidRPr="00EA3458">
        <w:t xml:space="preserve">T </w:t>
      </w:r>
      <w:r w:rsidR="00313D57">
        <w:t xml:space="preserve">medicine </w:t>
      </w:r>
      <w:r w:rsidRPr="00EA3458">
        <w:t xml:space="preserve">entry, </w:t>
      </w:r>
      <w:r w:rsidR="00922B44" w:rsidRPr="00EA3458">
        <w:t>delivery,</w:t>
      </w:r>
      <w:r w:rsidRPr="00EA3458">
        <w:t xml:space="preserve"> and retention from a range of perspectives</w:t>
      </w:r>
      <w:bookmarkEnd w:id="383"/>
      <w:bookmarkEnd w:id="384"/>
      <w:bookmarkEnd w:id="385"/>
      <w:r w:rsidRPr="00EA3458">
        <w:t xml:space="preserve"> </w:t>
      </w:r>
    </w:p>
    <w:tbl>
      <w:tblPr>
        <w:tblStyle w:val="TableGrid"/>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3686"/>
        <w:gridCol w:w="4252"/>
      </w:tblGrid>
      <w:tr w:rsidR="00A31695" w:rsidRPr="00EA3458" w14:paraId="1DEDEE5F" w14:textId="77777777" w:rsidTr="00EB6B63">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A5D005" w14:textId="77777777" w:rsidR="00A31695" w:rsidRPr="00EA3458" w:rsidRDefault="00A31695" w:rsidP="00EB6B63">
            <w:pPr>
              <w:jc w:val="left"/>
              <w:rPr>
                <w:color w:val="2F5496" w:themeColor="accent1" w:themeShade="BF"/>
              </w:rPr>
            </w:pPr>
            <w:r w:rsidRPr="00EA3458">
              <w:rPr>
                <w:b/>
                <w:sz w:val="20"/>
                <w:szCs w:val="20"/>
              </w:rPr>
              <w:t>Perspective</w:t>
            </w:r>
          </w:p>
        </w:tc>
        <w:tc>
          <w:tcPr>
            <w:tcW w:w="36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2A2981" w14:textId="77777777" w:rsidR="00A31695" w:rsidRPr="00EA3458" w:rsidRDefault="00A31695" w:rsidP="00EB6B63">
            <w:pPr>
              <w:jc w:val="left"/>
              <w:rPr>
                <w:color w:val="2F5496" w:themeColor="accent1" w:themeShade="BF"/>
              </w:rPr>
            </w:pPr>
            <w:r w:rsidRPr="00EA3458">
              <w:rPr>
                <w:b/>
                <w:sz w:val="20"/>
                <w:szCs w:val="20"/>
              </w:rPr>
              <w:t>Facilitators to treatment</w:t>
            </w:r>
          </w:p>
        </w:tc>
        <w:tc>
          <w:tcPr>
            <w:tcW w:w="4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873AF7" w14:textId="77777777" w:rsidR="00A31695" w:rsidRPr="00EA3458" w:rsidRDefault="00A31695" w:rsidP="00EB6B63">
            <w:pPr>
              <w:jc w:val="left"/>
              <w:rPr>
                <w:color w:val="2F5496" w:themeColor="accent1" w:themeShade="BF"/>
              </w:rPr>
            </w:pPr>
            <w:r w:rsidRPr="00EA3458">
              <w:rPr>
                <w:b/>
                <w:sz w:val="20"/>
                <w:szCs w:val="20"/>
              </w:rPr>
              <w:t>Barriers to treatment</w:t>
            </w:r>
          </w:p>
        </w:tc>
      </w:tr>
      <w:tr w:rsidR="00A31695" w:rsidRPr="00EA3458" w14:paraId="3CDDCE86" w14:textId="77777777" w:rsidTr="00EB6B63">
        <w:tc>
          <w:tcPr>
            <w:tcW w:w="1418" w:type="dxa"/>
            <w:tcBorders>
              <w:top w:val="single" w:sz="4" w:space="0" w:color="auto"/>
              <w:left w:val="single" w:sz="4" w:space="0" w:color="7F7F7F" w:themeColor="text1" w:themeTint="80"/>
              <w:bottom w:val="dotted" w:sz="4" w:space="0" w:color="auto"/>
              <w:right w:val="single" w:sz="4" w:space="0" w:color="7F7F7F" w:themeColor="text1" w:themeTint="80"/>
            </w:tcBorders>
          </w:tcPr>
          <w:p w14:paraId="4BDE87C8" w14:textId="77777777" w:rsidR="00A31695" w:rsidRPr="00EA3458" w:rsidRDefault="00A31695" w:rsidP="00A80FD6">
            <w:pPr>
              <w:jc w:val="left"/>
              <w:rPr>
                <w:color w:val="2F5496" w:themeColor="accent1" w:themeShade="BF"/>
              </w:rPr>
            </w:pPr>
            <w:r w:rsidRPr="00EA3458">
              <w:rPr>
                <w:sz w:val="20"/>
                <w:szCs w:val="20"/>
              </w:rPr>
              <w:t>People with opioid dependence</w:t>
            </w:r>
            <w:r w:rsidRPr="00EA3458">
              <w:br/>
            </w:r>
          </w:p>
        </w:tc>
        <w:tc>
          <w:tcPr>
            <w:tcW w:w="3686" w:type="dxa"/>
            <w:tcBorders>
              <w:top w:val="single" w:sz="4" w:space="0" w:color="auto"/>
              <w:left w:val="single" w:sz="4" w:space="0" w:color="7F7F7F" w:themeColor="text1" w:themeTint="80"/>
              <w:bottom w:val="dotted" w:sz="4" w:space="0" w:color="auto"/>
              <w:right w:val="single" w:sz="4" w:space="0" w:color="7F7F7F" w:themeColor="text1" w:themeTint="80"/>
            </w:tcBorders>
          </w:tcPr>
          <w:p w14:paraId="330BD242" w14:textId="77777777" w:rsidR="00A31695" w:rsidRPr="00EA3458" w:rsidRDefault="00A31695" w:rsidP="007E3DC8">
            <w:pPr>
              <w:pStyle w:val="ListParagraph"/>
              <w:numPr>
                <w:ilvl w:val="0"/>
                <w:numId w:val="14"/>
              </w:numPr>
              <w:spacing w:after="0" w:line="240" w:lineRule="auto"/>
              <w:jc w:val="left"/>
              <w:rPr>
                <w:sz w:val="20"/>
                <w:szCs w:val="20"/>
              </w:rPr>
            </w:pPr>
            <w:r w:rsidRPr="00EA3458">
              <w:rPr>
                <w:sz w:val="20"/>
                <w:szCs w:val="20"/>
              </w:rPr>
              <w:t>Flexible dosing site hours and flexibility with payment of dispensing fees</w:t>
            </w:r>
          </w:p>
          <w:p w14:paraId="678DF635" w14:textId="77777777" w:rsidR="00A31695" w:rsidRPr="00EA3458" w:rsidRDefault="00A31695" w:rsidP="007E3DC8">
            <w:pPr>
              <w:pStyle w:val="ListParagraph"/>
              <w:numPr>
                <w:ilvl w:val="0"/>
                <w:numId w:val="14"/>
              </w:numPr>
              <w:spacing w:after="0" w:line="240" w:lineRule="auto"/>
              <w:jc w:val="left"/>
              <w:rPr>
                <w:sz w:val="20"/>
                <w:szCs w:val="20"/>
              </w:rPr>
            </w:pPr>
            <w:r w:rsidRPr="00EA3458">
              <w:rPr>
                <w:sz w:val="20"/>
                <w:szCs w:val="20"/>
              </w:rPr>
              <w:t>Autonomy and shared decision making in treatment</w:t>
            </w:r>
          </w:p>
          <w:p w14:paraId="4C2B2CFD" w14:textId="4FB8EF0A" w:rsidR="00A31695" w:rsidRPr="00EA3458" w:rsidRDefault="00A31695" w:rsidP="007E3DC8">
            <w:pPr>
              <w:pStyle w:val="ListParagraph"/>
              <w:numPr>
                <w:ilvl w:val="0"/>
                <w:numId w:val="14"/>
              </w:numPr>
              <w:spacing w:after="0" w:line="240" w:lineRule="auto"/>
              <w:jc w:val="left"/>
              <w:rPr>
                <w:sz w:val="20"/>
                <w:szCs w:val="20"/>
              </w:rPr>
            </w:pPr>
            <w:r w:rsidRPr="00EA3458">
              <w:rPr>
                <w:sz w:val="20"/>
                <w:szCs w:val="20"/>
              </w:rPr>
              <w:t>Non-judgemental and equitable treatment from O</w:t>
            </w:r>
            <w:r w:rsidR="00313D57">
              <w:rPr>
                <w:sz w:val="20"/>
                <w:szCs w:val="20"/>
              </w:rPr>
              <w:t>D</w:t>
            </w:r>
            <w:r w:rsidRPr="00EA3458">
              <w:rPr>
                <w:sz w:val="20"/>
                <w:szCs w:val="20"/>
              </w:rPr>
              <w:t>T</w:t>
            </w:r>
            <w:r w:rsidR="00313D57">
              <w:rPr>
                <w:sz w:val="20"/>
                <w:szCs w:val="20"/>
              </w:rPr>
              <w:t xml:space="preserve"> medicine service</w:t>
            </w:r>
            <w:r w:rsidRPr="00EA3458">
              <w:rPr>
                <w:sz w:val="20"/>
                <w:szCs w:val="20"/>
              </w:rPr>
              <w:t xml:space="preserve"> staff</w:t>
            </w:r>
          </w:p>
          <w:p w14:paraId="2F69C8AB" w14:textId="77777777" w:rsidR="00A31695" w:rsidRPr="00EA3458" w:rsidRDefault="00A31695" w:rsidP="007E3DC8">
            <w:pPr>
              <w:pStyle w:val="ListParagraph"/>
              <w:numPr>
                <w:ilvl w:val="0"/>
                <w:numId w:val="14"/>
              </w:numPr>
              <w:spacing w:after="0" w:line="240" w:lineRule="auto"/>
              <w:jc w:val="left"/>
              <w:rPr>
                <w:sz w:val="20"/>
                <w:szCs w:val="20"/>
              </w:rPr>
            </w:pPr>
            <w:r w:rsidRPr="00EA3458">
              <w:rPr>
                <w:sz w:val="20"/>
                <w:szCs w:val="20"/>
              </w:rPr>
              <w:t>Staff that act with discretion</w:t>
            </w:r>
          </w:p>
          <w:p w14:paraId="08440B09" w14:textId="77777777" w:rsidR="00A31695" w:rsidRPr="00EA3458" w:rsidRDefault="00A31695" w:rsidP="007E3DC8">
            <w:pPr>
              <w:pStyle w:val="ListParagraph"/>
              <w:numPr>
                <w:ilvl w:val="0"/>
                <w:numId w:val="14"/>
              </w:numPr>
              <w:spacing w:after="0" w:line="240" w:lineRule="auto"/>
              <w:jc w:val="left"/>
              <w:rPr>
                <w:sz w:val="20"/>
                <w:szCs w:val="20"/>
              </w:rPr>
            </w:pPr>
            <w:r w:rsidRPr="00EA3458">
              <w:rPr>
                <w:sz w:val="20"/>
                <w:szCs w:val="20"/>
              </w:rPr>
              <w:t>Receiving holistic support in one facility</w:t>
            </w:r>
          </w:p>
        </w:tc>
        <w:tc>
          <w:tcPr>
            <w:tcW w:w="4252" w:type="dxa"/>
            <w:tcBorders>
              <w:top w:val="single" w:sz="4" w:space="0" w:color="auto"/>
              <w:left w:val="single" w:sz="4" w:space="0" w:color="7F7F7F" w:themeColor="text1" w:themeTint="80"/>
              <w:bottom w:val="dotted" w:sz="4" w:space="0" w:color="auto"/>
              <w:right w:val="single" w:sz="4" w:space="0" w:color="7F7F7F" w:themeColor="text1" w:themeTint="80"/>
            </w:tcBorders>
          </w:tcPr>
          <w:p w14:paraId="3568139D" w14:textId="77777777" w:rsidR="00A31695" w:rsidRPr="00EA3458" w:rsidRDefault="00A31695" w:rsidP="007E3DC8">
            <w:pPr>
              <w:pStyle w:val="ListParagraph"/>
              <w:numPr>
                <w:ilvl w:val="0"/>
                <w:numId w:val="14"/>
              </w:numPr>
              <w:spacing w:after="0" w:line="240" w:lineRule="auto"/>
              <w:jc w:val="left"/>
              <w:rPr>
                <w:sz w:val="20"/>
                <w:szCs w:val="20"/>
              </w:rPr>
            </w:pPr>
            <w:r w:rsidRPr="00EA3458">
              <w:rPr>
                <w:sz w:val="20"/>
                <w:szCs w:val="20"/>
              </w:rPr>
              <w:t>Stigma</w:t>
            </w:r>
          </w:p>
          <w:p w14:paraId="74C5427A" w14:textId="77777777" w:rsidR="00A31695" w:rsidRPr="00EA3458" w:rsidRDefault="00A31695" w:rsidP="007E3DC8">
            <w:pPr>
              <w:pStyle w:val="ListParagraph"/>
              <w:numPr>
                <w:ilvl w:val="0"/>
                <w:numId w:val="14"/>
              </w:numPr>
              <w:spacing w:after="0" w:line="240" w:lineRule="auto"/>
              <w:jc w:val="left"/>
              <w:rPr>
                <w:sz w:val="20"/>
                <w:szCs w:val="20"/>
              </w:rPr>
            </w:pPr>
            <w:r w:rsidRPr="00EA3458">
              <w:rPr>
                <w:sz w:val="20"/>
                <w:szCs w:val="20"/>
              </w:rPr>
              <w:t>Restrictive dosing hours</w:t>
            </w:r>
          </w:p>
          <w:p w14:paraId="4E94375C" w14:textId="77777777" w:rsidR="00A31695" w:rsidRPr="00EA3458" w:rsidRDefault="00A31695" w:rsidP="007E3DC8">
            <w:pPr>
              <w:pStyle w:val="ListParagraph"/>
              <w:numPr>
                <w:ilvl w:val="0"/>
                <w:numId w:val="14"/>
              </w:numPr>
              <w:spacing w:after="0" w:line="240" w:lineRule="auto"/>
              <w:jc w:val="left"/>
              <w:rPr>
                <w:sz w:val="20"/>
                <w:szCs w:val="20"/>
              </w:rPr>
            </w:pPr>
            <w:r w:rsidRPr="00EA3458">
              <w:rPr>
                <w:sz w:val="20"/>
                <w:szCs w:val="20"/>
              </w:rPr>
              <w:t>Lack of privacy</w:t>
            </w:r>
          </w:p>
          <w:p w14:paraId="271C93C6" w14:textId="77777777" w:rsidR="00A31695" w:rsidRPr="00EA3458" w:rsidRDefault="00A31695" w:rsidP="007E3DC8">
            <w:pPr>
              <w:pStyle w:val="ListParagraph"/>
              <w:numPr>
                <w:ilvl w:val="0"/>
                <w:numId w:val="14"/>
              </w:numPr>
              <w:spacing w:after="0" w:line="240" w:lineRule="auto"/>
              <w:jc w:val="left"/>
              <w:rPr>
                <w:sz w:val="20"/>
                <w:szCs w:val="20"/>
              </w:rPr>
            </w:pPr>
            <w:r w:rsidRPr="00EA3458">
              <w:rPr>
                <w:sz w:val="20"/>
                <w:szCs w:val="20"/>
              </w:rPr>
              <w:t>Time consuming nature of supervised dosing; rigidity of treatment programs, particularly with takeaways</w:t>
            </w:r>
          </w:p>
          <w:p w14:paraId="0E5DD41F" w14:textId="7FF67C55" w:rsidR="00A31695" w:rsidRPr="00EA3458" w:rsidRDefault="00A31695" w:rsidP="007E3DC8">
            <w:pPr>
              <w:pStyle w:val="ListParagraph"/>
              <w:numPr>
                <w:ilvl w:val="0"/>
                <w:numId w:val="14"/>
              </w:numPr>
              <w:spacing w:after="0" w:line="240" w:lineRule="auto"/>
              <w:jc w:val="left"/>
              <w:rPr>
                <w:sz w:val="20"/>
                <w:szCs w:val="20"/>
              </w:rPr>
            </w:pPr>
            <w:r w:rsidRPr="00EA3458">
              <w:rPr>
                <w:sz w:val="20"/>
                <w:szCs w:val="20"/>
              </w:rPr>
              <w:t>Feelings of continuing to be a “drug user” while on an O</w:t>
            </w:r>
            <w:r w:rsidR="00313D57">
              <w:rPr>
                <w:sz w:val="20"/>
                <w:szCs w:val="20"/>
              </w:rPr>
              <w:t>D</w:t>
            </w:r>
            <w:r w:rsidRPr="00EA3458">
              <w:rPr>
                <w:sz w:val="20"/>
                <w:szCs w:val="20"/>
              </w:rPr>
              <w:t>T</w:t>
            </w:r>
            <w:r w:rsidR="00313D57">
              <w:rPr>
                <w:sz w:val="20"/>
                <w:szCs w:val="20"/>
              </w:rPr>
              <w:t xml:space="preserve"> medicine</w:t>
            </w:r>
            <w:r w:rsidRPr="00EA3458">
              <w:rPr>
                <w:sz w:val="20"/>
                <w:szCs w:val="20"/>
              </w:rPr>
              <w:t xml:space="preserve"> program </w:t>
            </w:r>
          </w:p>
          <w:p w14:paraId="409F5DC9" w14:textId="77777777" w:rsidR="00A31695" w:rsidRPr="00EA3458" w:rsidRDefault="00A31695" w:rsidP="007E3DC8">
            <w:pPr>
              <w:pStyle w:val="ListParagraph"/>
              <w:numPr>
                <w:ilvl w:val="0"/>
                <w:numId w:val="14"/>
              </w:numPr>
              <w:spacing w:after="0" w:line="240" w:lineRule="auto"/>
              <w:jc w:val="left"/>
              <w:rPr>
                <w:sz w:val="20"/>
                <w:szCs w:val="20"/>
              </w:rPr>
            </w:pPr>
            <w:r w:rsidRPr="00EA3458">
              <w:rPr>
                <w:sz w:val="20"/>
                <w:szCs w:val="20"/>
              </w:rPr>
              <w:t>Consistent staff turnover that prevents formation of a therapeutic alliance between prescriber / dispenser</w:t>
            </w:r>
          </w:p>
        </w:tc>
      </w:tr>
      <w:tr w:rsidR="00A31695" w:rsidRPr="00EA3458" w14:paraId="0FDBBD29" w14:textId="77777777" w:rsidTr="00CE03C3">
        <w:tc>
          <w:tcPr>
            <w:tcW w:w="1418" w:type="dxa"/>
            <w:tcBorders>
              <w:top w:val="dotted" w:sz="4" w:space="0" w:color="auto"/>
              <w:left w:val="single" w:sz="4" w:space="0" w:color="7F7F7F" w:themeColor="text1" w:themeTint="80"/>
              <w:bottom w:val="dotted" w:sz="4" w:space="0" w:color="auto"/>
              <w:right w:val="single" w:sz="4" w:space="0" w:color="7F7F7F" w:themeColor="text1" w:themeTint="80"/>
            </w:tcBorders>
          </w:tcPr>
          <w:p w14:paraId="2448B0BD" w14:textId="77777777" w:rsidR="00A31695" w:rsidRPr="00EA3458" w:rsidRDefault="00A31695" w:rsidP="00A80FD6">
            <w:pPr>
              <w:jc w:val="left"/>
              <w:rPr>
                <w:color w:val="2F5496" w:themeColor="accent1" w:themeShade="BF"/>
              </w:rPr>
            </w:pPr>
            <w:r w:rsidRPr="00EA3458">
              <w:rPr>
                <w:sz w:val="20"/>
                <w:szCs w:val="20"/>
              </w:rPr>
              <w:t>Prescribers</w:t>
            </w:r>
          </w:p>
        </w:tc>
        <w:tc>
          <w:tcPr>
            <w:tcW w:w="3686" w:type="dxa"/>
            <w:tcBorders>
              <w:top w:val="dotted" w:sz="4" w:space="0" w:color="auto"/>
              <w:left w:val="single" w:sz="4" w:space="0" w:color="7F7F7F" w:themeColor="text1" w:themeTint="80"/>
              <w:bottom w:val="dotted" w:sz="4" w:space="0" w:color="auto"/>
              <w:right w:val="single" w:sz="4" w:space="0" w:color="7F7F7F" w:themeColor="text1" w:themeTint="80"/>
            </w:tcBorders>
          </w:tcPr>
          <w:p w14:paraId="13B11622" w14:textId="77777777" w:rsidR="00A31695" w:rsidRPr="00EA3458" w:rsidRDefault="00A31695" w:rsidP="007E3DC8">
            <w:pPr>
              <w:pStyle w:val="ListParagraph"/>
              <w:numPr>
                <w:ilvl w:val="0"/>
                <w:numId w:val="15"/>
              </w:numPr>
              <w:spacing w:after="0" w:line="240" w:lineRule="auto"/>
              <w:jc w:val="left"/>
              <w:rPr>
                <w:sz w:val="20"/>
                <w:szCs w:val="20"/>
              </w:rPr>
            </w:pPr>
            <w:r w:rsidRPr="00EA3458">
              <w:rPr>
                <w:sz w:val="20"/>
                <w:szCs w:val="20"/>
              </w:rPr>
              <w:t xml:space="preserve">Interdisciplinary support and collaboration </w:t>
            </w:r>
          </w:p>
          <w:p w14:paraId="0BAAD72B" w14:textId="079F9DC8" w:rsidR="00A31695" w:rsidRPr="00EA3458" w:rsidRDefault="00A31695" w:rsidP="007E3DC8">
            <w:pPr>
              <w:pStyle w:val="ListParagraph"/>
              <w:numPr>
                <w:ilvl w:val="0"/>
                <w:numId w:val="15"/>
              </w:numPr>
              <w:spacing w:after="0" w:line="240" w:lineRule="auto"/>
              <w:jc w:val="left"/>
              <w:rPr>
                <w:sz w:val="20"/>
                <w:szCs w:val="20"/>
              </w:rPr>
            </w:pPr>
            <w:r w:rsidRPr="00EA3458">
              <w:rPr>
                <w:sz w:val="20"/>
                <w:szCs w:val="20"/>
              </w:rPr>
              <w:t>Recognition of O</w:t>
            </w:r>
            <w:r w:rsidR="00313D57">
              <w:rPr>
                <w:sz w:val="20"/>
                <w:szCs w:val="20"/>
              </w:rPr>
              <w:t>D</w:t>
            </w:r>
            <w:r w:rsidRPr="00EA3458">
              <w:rPr>
                <w:sz w:val="20"/>
                <w:szCs w:val="20"/>
              </w:rPr>
              <w:t>T</w:t>
            </w:r>
            <w:r w:rsidR="00313D57">
              <w:rPr>
                <w:sz w:val="20"/>
                <w:szCs w:val="20"/>
              </w:rPr>
              <w:t xml:space="preserve"> medicines</w:t>
            </w:r>
            <w:r w:rsidRPr="00EA3458">
              <w:rPr>
                <w:sz w:val="20"/>
                <w:szCs w:val="20"/>
              </w:rPr>
              <w:t xml:space="preserve"> as a necessary treatment</w:t>
            </w:r>
          </w:p>
          <w:p w14:paraId="340D44AB" w14:textId="77777777" w:rsidR="00A31695" w:rsidRPr="00EA3458" w:rsidRDefault="00A31695" w:rsidP="007E3DC8">
            <w:pPr>
              <w:pStyle w:val="ListParagraph"/>
              <w:numPr>
                <w:ilvl w:val="0"/>
                <w:numId w:val="15"/>
              </w:numPr>
              <w:spacing w:after="0" w:line="240" w:lineRule="auto"/>
              <w:jc w:val="left"/>
              <w:rPr>
                <w:sz w:val="20"/>
                <w:szCs w:val="20"/>
              </w:rPr>
            </w:pPr>
            <w:r w:rsidRPr="00EA3458">
              <w:rPr>
                <w:sz w:val="20"/>
                <w:szCs w:val="20"/>
              </w:rPr>
              <w:t xml:space="preserve">Education </w:t>
            </w:r>
          </w:p>
          <w:p w14:paraId="7C1028DD" w14:textId="77777777" w:rsidR="00A31695" w:rsidRPr="00EA3458" w:rsidRDefault="00A31695" w:rsidP="007E3DC8">
            <w:pPr>
              <w:pStyle w:val="ListParagraph"/>
              <w:numPr>
                <w:ilvl w:val="0"/>
                <w:numId w:val="15"/>
              </w:numPr>
              <w:spacing w:after="0" w:line="240" w:lineRule="auto"/>
              <w:jc w:val="left"/>
              <w:rPr>
                <w:sz w:val="20"/>
                <w:szCs w:val="20"/>
              </w:rPr>
            </w:pPr>
            <w:r w:rsidRPr="00EA3458">
              <w:rPr>
                <w:sz w:val="20"/>
                <w:szCs w:val="20"/>
              </w:rPr>
              <w:t>Financial incentives</w:t>
            </w:r>
          </w:p>
        </w:tc>
        <w:tc>
          <w:tcPr>
            <w:tcW w:w="4252" w:type="dxa"/>
            <w:tcBorders>
              <w:top w:val="dotted" w:sz="4" w:space="0" w:color="auto"/>
              <w:left w:val="single" w:sz="4" w:space="0" w:color="7F7F7F" w:themeColor="text1" w:themeTint="80"/>
              <w:bottom w:val="dotted" w:sz="4" w:space="0" w:color="auto"/>
              <w:right w:val="single" w:sz="4" w:space="0" w:color="7F7F7F" w:themeColor="text1" w:themeTint="80"/>
            </w:tcBorders>
          </w:tcPr>
          <w:p w14:paraId="12FC90D6" w14:textId="3F3ECA6E" w:rsidR="00A31695" w:rsidRPr="00EA3458" w:rsidRDefault="00A31695" w:rsidP="007E3DC8">
            <w:pPr>
              <w:pStyle w:val="ListParagraph"/>
              <w:numPr>
                <w:ilvl w:val="0"/>
                <w:numId w:val="15"/>
              </w:numPr>
              <w:spacing w:after="0" w:line="240" w:lineRule="auto"/>
              <w:jc w:val="left"/>
              <w:rPr>
                <w:sz w:val="20"/>
                <w:szCs w:val="20"/>
              </w:rPr>
            </w:pPr>
            <w:r w:rsidRPr="00EA3458">
              <w:rPr>
                <w:sz w:val="20"/>
                <w:szCs w:val="20"/>
              </w:rPr>
              <w:t>Stigma and related doubts about the validity of O</w:t>
            </w:r>
            <w:r w:rsidR="00313D57">
              <w:rPr>
                <w:sz w:val="20"/>
                <w:szCs w:val="20"/>
              </w:rPr>
              <w:t>D</w:t>
            </w:r>
            <w:r w:rsidRPr="00EA3458">
              <w:rPr>
                <w:sz w:val="20"/>
                <w:szCs w:val="20"/>
              </w:rPr>
              <w:t>T</w:t>
            </w:r>
            <w:r w:rsidR="00313D57">
              <w:rPr>
                <w:sz w:val="20"/>
                <w:szCs w:val="20"/>
              </w:rPr>
              <w:t xml:space="preserve"> medicines</w:t>
            </w:r>
          </w:p>
          <w:p w14:paraId="7E4D209B" w14:textId="7FFCF300" w:rsidR="00A31695" w:rsidRPr="00EA3458" w:rsidRDefault="00A31695" w:rsidP="007E3DC8">
            <w:pPr>
              <w:pStyle w:val="ListParagraph"/>
              <w:numPr>
                <w:ilvl w:val="0"/>
                <w:numId w:val="15"/>
              </w:numPr>
              <w:spacing w:after="0" w:line="240" w:lineRule="auto"/>
              <w:jc w:val="left"/>
              <w:rPr>
                <w:sz w:val="20"/>
                <w:szCs w:val="20"/>
              </w:rPr>
            </w:pPr>
            <w:r w:rsidRPr="00EA3458">
              <w:rPr>
                <w:sz w:val="20"/>
                <w:szCs w:val="20"/>
              </w:rPr>
              <w:t>Time consumed as part of prescribing O</w:t>
            </w:r>
            <w:r w:rsidR="00313D57">
              <w:rPr>
                <w:sz w:val="20"/>
                <w:szCs w:val="20"/>
              </w:rPr>
              <w:t>D</w:t>
            </w:r>
            <w:r w:rsidRPr="00EA3458">
              <w:rPr>
                <w:sz w:val="20"/>
                <w:szCs w:val="20"/>
              </w:rPr>
              <w:t>T</w:t>
            </w:r>
            <w:r w:rsidR="00313D57">
              <w:rPr>
                <w:sz w:val="20"/>
                <w:szCs w:val="20"/>
              </w:rPr>
              <w:t xml:space="preserve"> medicines</w:t>
            </w:r>
            <w:r w:rsidRPr="00EA3458">
              <w:rPr>
                <w:sz w:val="20"/>
                <w:szCs w:val="20"/>
              </w:rPr>
              <w:t xml:space="preserve"> </w:t>
            </w:r>
          </w:p>
          <w:p w14:paraId="6FE8C35B" w14:textId="67FCA3AA" w:rsidR="00A31695" w:rsidRPr="00EA3458" w:rsidRDefault="00A31695" w:rsidP="007E3DC8">
            <w:pPr>
              <w:pStyle w:val="ListParagraph"/>
              <w:numPr>
                <w:ilvl w:val="0"/>
                <w:numId w:val="15"/>
              </w:numPr>
              <w:spacing w:after="0" w:line="240" w:lineRule="auto"/>
              <w:jc w:val="left"/>
              <w:rPr>
                <w:sz w:val="20"/>
                <w:szCs w:val="20"/>
              </w:rPr>
            </w:pPr>
            <w:r w:rsidRPr="00EA3458">
              <w:rPr>
                <w:sz w:val="20"/>
                <w:szCs w:val="20"/>
              </w:rPr>
              <w:t>Lack of knowledge regarding O</w:t>
            </w:r>
            <w:r w:rsidR="00313D57">
              <w:rPr>
                <w:sz w:val="20"/>
                <w:szCs w:val="20"/>
              </w:rPr>
              <w:t>D</w:t>
            </w:r>
            <w:r w:rsidRPr="00EA3458">
              <w:rPr>
                <w:sz w:val="20"/>
                <w:szCs w:val="20"/>
              </w:rPr>
              <w:t>T</w:t>
            </w:r>
            <w:r w:rsidR="00313D57">
              <w:rPr>
                <w:sz w:val="20"/>
                <w:szCs w:val="20"/>
              </w:rPr>
              <w:t xml:space="preserve"> medicines</w:t>
            </w:r>
          </w:p>
          <w:p w14:paraId="4F9B6D5F" w14:textId="7136595A" w:rsidR="00A31695" w:rsidRPr="00EA3458" w:rsidRDefault="00A31695" w:rsidP="007E3DC8">
            <w:pPr>
              <w:pStyle w:val="ListParagraph"/>
              <w:numPr>
                <w:ilvl w:val="0"/>
                <w:numId w:val="15"/>
              </w:numPr>
              <w:spacing w:after="0" w:line="240" w:lineRule="auto"/>
              <w:jc w:val="left"/>
              <w:rPr>
                <w:sz w:val="20"/>
                <w:szCs w:val="20"/>
              </w:rPr>
            </w:pPr>
            <w:r w:rsidRPr="00EA3458">
              <w:rPr>
                <w:sz w:val="20"/>
                <w:szCs w:val="20"/>
              </w:rPr>
              <w:t>Behaviour of O</w:t>
            </w:r>
            <w:r w:rsidR="00313D57">
              <w:rPr>
                <w:sz w:val="20"/>
                <w:szCs w:val="20"/>
              </w:rPr>
              <w:t>D</w:t>
            </w:r>
            <w:r w:rsidRPr="00EA3458">
              <w:rPr>
                <w:sz w:val="20"/>
                <w:szCs w:val="20"/>
              </w:rPr>
              <w:t>T</w:t>
            </w:r>
            <w:r w:rsidR="00313D57">
              <w:rPr>
                <w:sz w:val="20"/>
                <w:szCs w:val="20"/>
              </w:rPr>
              <w:t xml:space="preserve"> medicine</w:t>
            </w:r>
            <w:r w:rsidRPr="00EA3458">
              <w:rPr>
                <w:sz w:val="20"/>
                <w:szCs w:val="20"/>
              </w:rPr>
              <w:t xml:space="preserve"> </w:t>
            </w:r>
            <w:r w:rsidR="00441126" w:rsidRPr="00EA3458">
              <w:rPr>
                <w:sz w:val="20"/>
                <w:szCs w:val="20"/>
              </w:rPr>
              <w:t>consumer</w:t>
            </w:r>
            <w:r w:rsidRPr="00EA3458">
              <w:rPr>
                <w:sz w:val="20"/>
                <w:szCs w:val="20"/>
              </w:rPr>
              <w:t>s</w:t>
            </w:r>
          </w:p>
          <w:p w14:paraId="18BFC455" w14:textId="77777777" w:rsidR="00A31695" w:rsidRPr="00EA3458" w:rsidRDefault="00A31695" w:rsidP="007E3DC8">
            <w:pPr>
              <w:pStyle w:val="ListParagraph"/>
              <w:numPr>
                <w:ilvl w:val="0"/>
                <w:numId w:val="15"/>
              </w:numPr>
              <w:spacing w:after="0" w:line="240" w:lineRule="auto"/>
              <w:jc w:val="left"/>
              <w:rPr>
                <w:sz w:val="20"/>
                <w:szCs w:val="20"/>
              </w:rPr>
            </w:pPr>
            <w:r w:rsidRPr="00EA3458">
              <w:rPr>
                <w:sz w:val="20"/>
                <w:szCs w:val="20"/>
              </w:rPr>
              <w:t>Poor financial remuneration</w:t>
            </w:r>
          </w:p>
        </w:tc>
      </w:tr>
      <w:tr w:rsidR="00A31695" w:rsidRPr="00EA3458" w14:paraId="43F73671" w14:textId="77777777" w:rsidTr="00CE03C3">
        <w:tc>
          <w:tcPr>
            <w:tcW w:w="1418" w:type="dxa"/>
            <w:tcBorders>
              <w:top w:val="dotted" w:sz="4" w:space="0" w:color="auto"/>
              <w:left w:val="single" w:sz="4" w:space="0" w:color="7F7F7F" w:themeColor="text1" w:themeTint="80"/>
              <w:bottom w:val="dotted" w:sz="4" w:space="0" w:color="auto"/>
              <w:right w:val="single" w:sz="4" w:space="0" w:color="7F7F7F" w:themeColor="text1" w:themeTint="80"/>
            </w:tcBorders>
          </w:tcPr>
          <w:p w14:paraId="7BF47DEC" w14:textId="77777777" w:rsidR="00A31695" w:rsidRPr="00EA3458" w:rsidRDefault="00A31695" w:rsidP="00A80FD6">
            <w:pPr>
              <w:jc w:val="left"/>
              <w:rPr>
                <w:color w:val="2F5496" w:themeColor="accent1" w:themeShade="BF"/>
              </w:rPr>
            </w:pPr>
            <w:r w:rsidRPr="00EA3458">
              <w:rPr>
                <w:sz w:val="20"/>
                <w:szCs w:val="20"/>
              </w:rPr>
              <w:t>Dispensing pharmacists</w:t>
            </w:r>
          </w:p>
        </w:tc>
        <w:tc>
          <w:tcPr>
            <w:tcW w:w="3686" w:type="dxa"/>
            <w:tcBorders>
              <w:top w:val="dotted" w:sz="4" w:space="0" w:color="auto"/>
              <w:left w:val="single" w:sz="4" w:space="0" w:color="7F7F7F" w:themeColor="text1" w:themeTint="80"/>
              <w:bottom w:val="dotted" w:sz="4" w:space="0" w:color="auto"/>
              <w:right w:val="single" w:sz="4" w:space="0" w:color="7F7F7F" w:themeColor="text1" w:themeTint="80"/>
            </w:tcBorders>
          </w:tcPr>
          <w:p w14:paraId="6D8FB121" w14:textId="77777777" w:rsidR="00A31695" w:rsidRPr="00EA3458" w:rsidRDefault="00A31695" w:rsidP="007E3DC8">
            <w:pPr>
              <w:pStyle w:val="ListParagraph"/>
              <w:numPr>
                <w:ilvl w:val="0"/>
                <w:numId w:val="16"/>
              </w:numPr>
              <w:spacing w:after="0" w:line="240" w:lineRule="auto"/>
              <w:jc w:val="left"/>
              <w:rPr>
                <w:sz w:val="20"/>
                <w:szCs w:val="20"/>
              </w:rPr>
            </w:pPr>
            <w:r w:rsidRPr="00EA3458">
              <w:rPr>
                <w:sz w:val="20"/>
                <w:szCs w:val="20"/>
              </w:rPr>
              <w:t>Financial incentives</w:t>
            </w:r>
          </w:p>
          <w:p w14:paraId="3C8B3C7E" w14:textId="7A7EA4FD" w:rsidR="00A31695" w:rsidRPr="00EA3458" w:rsidRDefault="00A31695" w:rsidP="007E3DC8">
            <w:pPr>
              <w:pStyle w:val="ListParagraph"/>
              <w:numPr>
                <w:ilvl w:val="0"/>
                <w:numId w:val="16"/>
              </w:numPr>
              <w:spacing w:after="0" w:line="240" w:lineRule="auto"/>
              <w:jc w:val="left"/>
              <w:rPr>
                <w:sz w:val="20"/>
                <w:szCs w:val="20"/>
              </w:rPr>
            </w:pPr>
            <w:r w:rsidRPr="00EA3458">
              <w:rPr>
                <w:sz w:val="20"/>
                <w:szCs w:val="20"/>
              </w:rPr>
              <w:t>Positive attitudes towards O</w:t>
            </w:r>
            <w:r w:rsidR="00313D57">
              <w:rPr>
                <w:sz w:val="20"/>
                <w:szCs w:val="20"/>
              </w:rPr>
              <w:t>D</w:t>
            </w:r>
            <w:r w:rsidRPr="00EA3458">
              <w:rPr>
                <w:sz w:val="20"/>
                <w:szCs w:val="20"/>
              </w:rPr>
              <w:t>T</w:t>
            </w:r>
            <w:r w:rsidR="00313D57">
              <w:rPr>
                <w:sz w:val="20"/>
                <w:szCs w:val="20"/>
              </w:rPr>
              <w:t xml:space="preserve"> medicine</w:t>
            </w:r>
            <w:r w:rsidRPr="00EA3458">
              <w:rPr>
                <w:sz w:val="20"/>
                <w:szCs w:val="20"/>
              </w:rPr>
              <w:t xml:space="preserve"> </w:t>
            </w:r>
            <w:r w:rsidR="00441126" w:rsidRPr="00EA3458">
              <w:rPr>
                <w:sz w:val="20"/>
                <w:szCs w:val="20"/>
              </w:rPr>
              <w:t>consumer</w:t>
            </w:r>
            <w:r w:rsidRPr="00EA3458">
              <w:rPr>
                <w:sz w:val="20"/>
                <w:szCs w:val="20"/>
              </w:rPr>
              <w:t>s</w:t>
            </w:r>
          </w:p>
          <w:p w14:paraId="449C9134" w14:textId="77777777" w:rsidR="00A31695" w:rsidRPr="00EA3458" w:rsidRDefault="00A31695" w:rsidP="007E3DC8">
            <w:pPr>
              <w:pStyle w:val="ListParagraph"/>
              <w:numPr>
                <w:ilvl w:val="0"/>
                <w:numId w:val="16"/>
              </w:numPr>
              <w:spacing w:after="0" w:line="240" w:lineRule="auto"/>
              <w:jc w:val="left"/>
              <w:rPr>
                <w:sz w:val="20"/>
                <w:szCs w:val="20"/>
              </w:rPr>
            </w:pPr>
            <w:r w:rsidRPr="00EA3458">
              <w:rPr>
                <w:sz w:val="20"/>
                <w:szCs w:val="20"/>
              </w:rPr>
              <w:t>Increasing the number of dispensing sites to evenly distribute the workload</w:t>
            </w:r>
          </w:p>
          <w:p w14:paraId="457B5327" w14:textId="1C03A2D3" w:rsidR="00A31695" w:rsidRPr="00EA3458" w:rsidRDefault="00A31695" w:rsidP="007E3DC8">
            <w:pPr>
              <w:pStyle w:val="ListParagraph"/>
              <w:numPr>
                <w:ilvl w:val="0"/>
                <w:numId w:val="16"/>
              </w:numPr>
              <w:spacing w:after="0" w:line="240" w:lineRule="auto"/>
              <w:jc w:val="left"/>
              <w:rPr>
                <w:sz w:val="20"/>
                <w:szCs w:val="20"/>
              </w:rPr>
            </w:pPr>
            <w:r w:rsidRPr="00EA3458">
              <w:rPr>
                <w:sz w:val="20"/>
                <w:szCs w:val="20"/>
              </w:rPr>
              <w:t xml:space="preserve">Feeling a sense of professional or community satisfaction from providing </w:t>
            </w:r>
            <w:r w:rsidR="00313D57">
              <w:rPr>
                <w:sz w:val="20"/>
                <w:szCs w:val="20"/>
              </w:rPr>
              <w:t>OD</w:t>
            </w:r>
            <w:r w:rsidRPr="00EA3458">
              <w:rPr>
                <w:sz w:val="20"/>
                <w:szCs w:val="20"/>
              </w:rPr>
              <w:t>T</w:t>
            </w:r>
            <w:r w:rsidR="00313D57">
              <w:rPr>
                <w:sz w:val="20"/>
                <w:szCs w:val="20"/>
              </w:rPr>
              <w:t xml:space="preserve"> medicines</w:t>
            </w:r>
          </w:p>
        </w:tc>
        <w:tc>
          <w:tcPr>
            <w:tcW w:w="4252" w:type="dxa"/>
            <w:tcBorders>
              <w:top w:val="dotted" w:sz="4" w:space="0" w:color="auto"/>
              <w:left w:val="single" w:sz="4" w:space="0" w:color="7F7F7F" w:themeColor="text1" w:themeTint="80"/>
              <w:bottom w:val="dotted" w:sz="4" w:space="0" w:color="auto"/>
              <w:right w:val="single" w:sz="4" w:space="0" w:color="7F7F7F" w:themeColor="text1" w:themeTint="80"/>
            </w:tcBorders>
          </w:tcPr>
          <w:p w14:paraId="2731E226" w14:textId="77777777" w:rsidR="00A31695" w:rsidRPr="00EA3458" w:rsidRDefault="00A31695" w:rsidP="007E3DC8">
            <w:pPr>
              <w:pStyle w:val="ListParagraph"/>
              <w:numPr>
                <w:ilvl w:val="0"/>
                <w:numId w:val="16"/>
              </w:numPr>
              <w:spacing w:after="0" w:line="240" w:lineRule="auto"/>
              <w:jc w:val="left"/>
              <w:rPr>
                <w:sz w:val="20"/>
                <w:szCs w:val="20"/>
              </w:rPr>
            </w:pPr>
            <w:r w:rsidRPr="00EA3458">
              <w:rPr>
                <w:sz w:val="20"/>
                <w:szCs w:val="20"/>
              </w:rPr>
              <w:t>Lack of financial or general support</w:t>
            </w:r>
          </w:p>
          <w:p w14:paraId="3FBDA39F" w14:textId="22C2120B" w:rsidR="00A31695" w:rsidRPr="00EA3458" w:rsidRDefault="00A31695" w:rsidP="007E3DC8">
            <w:pPr>
              <w:pStyle w:val="ListParagraph"/>
              <w:numPr>
                <w:ilvl w:val="0"/>
                <w:numId w:val="16"/>
              </w:numPr>
              <w:spacing w:after="0" w:line="240" w:lineRule="auto"/>
              <w:jc w:val="left"/>
              <w:rPr>
                <w:sz w:val="20"/>
                <w:szCs w:val="20"/>
              </w:rPr>
            </w:pPr>
            <w:r w:rsidRPr="00EA3458">
              <w:rPr>
                <w:sz w:val="20"/>
                <w:szCs w:val="20"/>
              </w:rPr>
              <w:t xml:space="preserve">The expectation that aggressive </w:t>
            </w:r>
            <w:r w:rsidR="00441126" w:rsidRPr="00EA3458">
              <w:rPr>
                <w:sz w:val="20"/>
                <w:szCs w:val="20"/>
              </w:rPr>
              <w:t>consumer</w:t>
            </w:r>
            <w:r w:rsidRPr="00EA3458">
              <w:rPr>
                <w:sz w:val="20"/>
                <w:szCs w:val="20"/>
              </w:rPr>
              <w:t xml:space="preserve"> behaviour would lead to theft, </w:t>
            </w:r>
            <w:r w:rsidR="00922B44" w:rsidRPr="00EA3458">
              <w:rPr>
                <w:sz w:val="20"/>
                <w:szCs w:val="20"/>
              </w:rPr>
              <w:t>violence,</w:t>
            </w:r>
            <w:r w:rsidRPr="00EA3458">
              <w:rPr>
                <w:sz w:val="20"/>
                <w:szCs w:val="20"/>
              </w:rPr>
              <w:t xml:space="preserve"> or deterrence of other </w:t>
            </w:r>
            <w:r w:rsidR="00441126" w:rsidRPr="00EA3458">
              <w:rPr>
                <w:sz w:val="20"/>
                <w:szCs w:val="20"/>
              </w:rPr>
              <w:t>customers</w:t>
            </w:r>
          </w:p>
          <w:p w14:paraId="693AE01A" w14:textId="77777777" w:rsidR="00A31695" w:rsidRPr="00EA3458" w:rsidRDefault="00A31695" w:rsidP="007E3DC8">
            <w:pPr>
              <w:pStyle w:val="ListParagraph"/>
              <w:numPr>
                <w:ilvl w:val="0"/>
                <w:numId w:val="16"/>
              </w:numPr>
              <w:spacing w:after="0" w:line="240" w:lineRule="auto"/>
              <w:jc w:val="left"/>
              <w:rPr>
                <w:sz w:val="20"/>
                <w:szCs w:val="20"/>
              </w:rPr>
            </w:pPr>
            <w:r w:rsidRPr="00EA3458">
              <w:rPr>
                <w:sz w:val="20"/>
                <w:szCs w:val="20"/>
              </w:rPr>
              <w:t>Increased workload</w:t>
            </w:r>
          </w:p>
          <w:p w14:paraId="12B44161" w14:textId="328AE283" w:rsidR="00A31695" w:rsidRPr="00EA3458" w:rsidRDefault="00A31695" w:rsidP="007E3DC8">
            <w:pPr>
              <w:pStyle w:val="ListParagraph"/>
              <w:numPr>
                <w:ilvl w:val="0"/>
                <w:numId w:val="16"/>
              </w:numPr>
              <w:spacing w:after="0" w:line="240" w:lineRule="auto"/>
              <w:jc w:val="left"/>
              <w:rPr>
                <w:sz w:val="20"/>
                <w:szCs w:val="20"/>
              </w:rPr>
            </w:pPr>
            <w:r w:rsidRPr="00EA3458">
              <w:rPr>
                <w:sz w:val="20"/>
                <w:szCs w:val="20"/>
              </w:rPr>
              <w:t xml:space="preserve">Unpaid dispensing bills creating duty of care dilemmas and straining the </w:t>
            </w:r>
            <w:r w:rsidR="00441126" w:rsidRPr="00EA3458">
              <w:rPr>
                <w:sz w:val="20"/>
                <w:szCs w:val="20"/>
              </w:rPr>
              <w:t>consumer</w:t>
            </w:r>
            <w:r w:rsidRPr="00EA3458">
              <w:rPr>
                <w:sz w:val="20"/>
                <w:szCs w:val="20"/>
              </w:rPr>
              <w:t>-dispenser relationship</w:t>
            </w:r>
          </w:p>
          <w:p w14:paraId="283CEA5A" w14:textId="77777777" w:rsidR="00A31695" w:rsidRPr="00EA3458" w:rsidRDefault="00A31695" w:rsidP="007E3DC8">
            <w:pPr>
              <w:pStyle w:val="ListParagraph"/>
              <w:numPr>
                <w:ilvl w:val="0"/>
                <w:numId w:val="16"/>
              </w:numPr>
              <w:spacing w:after="0" w:line="240" w:lineRule="auto"/>
              <w:jc w:val="left"/>
              <w:rPr>
                <w:sz w:val="20"/>
                <w:szCs w:val="20"/>
              </w:rPr>
            </w:pPr>
            <w:r w:rsidRPr="00EA3458">
              <w:rPr>
                <w:sz w:val="20"/>
                <w:szCs w:val="20"/>
              </w:rPr>
              <w:t>A lack of education</w:t>
            </w:r>
          </w:p>
        </w:tc>
      </w:tr>
      <w:tr w:rsidR="00A31695" w:rsidRPr="00EA3458" w14:paraId="37DBAA4E" w14:textId="77777777" w:rsidTr="00CE03C3">
        <w:tc>
          <w:tcPr>
            <w:tcW w:w="1418" w:type="dxa"/>
            <w:tcBorders>
              <w:top w:val="dotted" w:sz="4" w:space="0" w:color="auto"/>
              <w:left w:val="single" w:sz="4" w:space="0" w:color="7F7F7F" w:themeColor="text1" w:themeTint="80"/>
              <w:bottom w:val="single" w:sz="4" w:space="0" w:color="7F7F7F" w:themeColor="text1" w:themeTint="80"/>
              <w:right w:val="single" w:sz="4" w:space="0" w:color="7F7F7F" w:themeColor="text1" w:themeTint="80"/>
            </w:tcBorders>
          </w:tcPr>
          <w:p w14:paraId="7DF06C48" w14:textId="77777777" w:rsidR="00A31695" w:rsidRPr="00EA3458" w:rsidRDefault="00A31695" w:rsidP="00A80FD6">
            <w:pPr>
              <w:jc w:val="left"/>
              <w:rPr>
                <w:color w:val="2F5496" w:themeColor="accent1" w:themeShade="BF"/>
              </w:rPr>
            </w:pPr>
            <w:r w:rsidRPr="00EA3458">
              <w:rPr>
                <w:sz w:val="20"/>
                <w:szCs w:val="20"/>
              </w:rPr>
              <w:t>Other healthcare workers</w:t>
            </w:r>
          </w:p>
        </w:tc>
        <w:tc>
          <w:tcPr>
            <w:tcW w:w="3686" w:type="dxa"/>
            <w:tcBorders>
              <w:top w:val="dotted" w:sz="4" w:space="0" w:color="auto"/>
              <w:left w:val="single" w:sz="4" w:space="0" w:color="7F7F7F" w:themeColor="text1" w:themeTint="80"/>
              <w:bottom w:val="single" w:sz="4" w:space="0" w:color="7F7F7F" w:themeColor="text1" w:themeTint="80"/>
              <w:right w:val="single" w:sz="4" w:space="0" w:color="7F7F7F" w:themeColor="text1" w:themeTint="80"/>
            </w:tcBorders>
          </w:tcPr>
          <w:p w14:paraId="0B770131" w14:textId="77777777" w:rsidR="00A31695" w:rsidRPr="00EA3458" w:rsidRDefault="00A31695" w:rsidP="007E3DC8">
            <w:pPr>
              <w:pStyle w:val="ListParagraph"/>
              <w:numPr>
                <w:ilvl w:val="0"/>
                <w:numId w:val="17"/>
              </w:numPr>
              <w:spacing w:after="0" w:line="240" w:lineRule="auto"/>
              <w:jc w:val="left"/>
              <w:rPr>
                <w:sz w:val="20"/>
                <w:szCs w:val="20"/>
              </w:rPr>
            </w:pPr>
            <w:r w:rsidRPr="00EA3458">
              <w:rPr>
                <w:sz w:val="20"/>
                <w:szCs w:val="20"/>
              </w:rPr>
              <w:t xml:space="preserve">Supervised dosing as a means of providing stability and enhancing the formation of a therapeutic relationship </w:t>
            </w:r>
          </w:p>
          <w:p w14:paraId="6F75722A" w14:textId="77777777" w:rsidR="00A31695" w:rsidRPr="00EA3458" w:rsidRDefault="00A31695" w:rsidP="007E3DC8">
            <w:pPr>
              <w:pStyle w:val="ListParagraph"/>
              <w:numPr>
                <w:ilvl w:val="0"/>
                <w:numId w:val="17"/>
              </w:numPr>
              <w:spacing w:after="0" w:line="240" w:lineRule="auto"/>
              <w:jc w:val="left"/>
              <w:rPr>
                <w:sz w:val="20"/>
                <w:szCs w:val="20"/>
              </w:rPr>
            </w:pPr>
            <w:r w:rsidRPr="00EA3458">
              <w:rPr>
                <w:sz w:val="20"/>
                <w:szCs w:val="20"/>
              </w:rPr>
              <w:t>Flexible attendance policies</w:t>
            </w:r>
          </w:p>
          <w:p w14:paraId="07A9AC66" w14:textId="77777777" w:rsidR="00A31695" w:rsidRPr="00EA3458" w:rsidRDefault="00A31695" w:rsidP="007E3DC8">
            <w:pPr>
              <w:pStyle w:val="ListParagraph"/>
              <w:numPr>
                <w:ilvl w:val="0"/>
                <w:numId w:val="17"/>
              </w:numPr>
              <w:spacing w:after="0" w:line="240" w:lineRule="auto"/>
              <w:jc w:val="left"/>
              <w:rPr>
                <w:sz w:val="20"/>
                <w:szCs w:val="20"/>
              </w:rPr>
            </w:pPr>
            <w:r w:rsidRPr="00EA3458">
              <w:rPr>
                <w:sz w:val="20"/>
                <w:szCs w:val="20"/>
              </w:rPr>
              <w:t>Non-punitive stance toward drug use</w:t>
            </w:r>
          </w:p>
        </w:tc>
        <w:tc>
          <w:tcPr>
            <w:tcW w:w="4252" w:type="dxa"/>
            <w:tcBorders>
              <w:top w:val="dotted" w:sz="4" w:space="0" w:color="auto"/>
              <w:left w:val="single" w:sz="4" w:space="0" w:color="7F7F7F" w:themeColor="text1" w:themeTint="80"/>
              <w:bottom w:val="single" w:sz="4" w:space="0" w:color="7F7F7F" w:themeColor="text1" w:themeTint="80"/>
              <w:right w:val="single" w:sz="4" w:space="0" w:color="7F7F7F" w:themeColor="text1" w:themeTint="80"/>
            </w:tcBorders>
          </w:tcPr>
          <w:p w14:paraId="13477157" w14:textId="77777777" w:rsidR="00A31695" w:rsidRPr="00EA3458" w:rsidRDefault="00A31695" w:rsidP="007E3DC8">
            <w:pPr>
              <w:pStyle w:val="ListParagraph"/>
              <w:numPr>
                <w:ilvl w:val="0"/>
                <w:numId w:val="17"/>
              </w:numPr>
              <w:spacing w:after="0" w:line="240" w:lineRule="auto"/>
              <w:jc w:val="left"/>
              <w:rPr>
                <w:sz w:val="20"/>
                <w:szCs w:val="20"/>
              </w:rPr>
            </w:pPr>
            <w:r w:rsidRPr="00EA3458">
              <w:rPr>
                <w:sz w:val="20"/>
                <w:szCs w:val="20"/>
              </w:rPr>
              <w:t>Lack of pharmacy providers</w:t>
            </w:r>
          </w:p>
          <w:p w14:paraId="36D3D77F" w14:textId="1AE1135D" w:rsidR="00A31695" w:rsidRPr="00EA3458" w:rsidRDefault="00A31695" w:rsidP="007E3DC8">
            <w:pPr>
              <w:pStyle w:val="ListParagraph"/>
              <w:numPr>
                <w:ilvl w:val="0"/>
                <w:numId w:val="17"/>
              </w:numPr>
              <w:spacing w:after="0" w:line="240" w:lineRule="auto"/>
              <w:jc w:val="left"/>
              <w:rPr>
                <w:sz w:val="20"/>
                <w:szCs w:val="20"/>
              </w:rPr>
            </w:pPr>
            <w:r w:rsidRPr="00EA3458">
              <w:rPr>
                <w:sz w:val="20"/>
                <w:szCs w:val="20"/>
              </w:rPr>
              <w:t xml:space="preserve">Demanding workloads preventing relationship forming with </w:t>
            </w:r>
            <w:r w:rsidR="00441126" w:rsidRPr="00EA3458">
              <w:rPr>
                <w:sz w:val="20"/>
                <w:szCs w:val="20"/>
              </w:rPr>
              <w:t>consumer</w:t>
            </w:r>
            <w:r w:rsidRPr="00EA3458">
              <w:rPr>
                <w:sz w:val="20"/>
                <w:szCs w:val="20"/>
              </w:rPr>
              <w:t xml:space="preserve">s </w:t>
            </w:r>
          </w:p>
          <w:p w14:paraId="77FEE226" w14:textId="1D60B668" w:rsidR="00A31695" w:rsidRPr="00EA3458" w:rsidRDefault="00A31695" w:rsidP="007E3DC8">
            <w:pPr>
              <w:pStyle w:val="ListParagraph"/>
              <w:numPr>
                <w:ilvl w:val="0"/>
                <w:numId w:val="17"/>
              </w:numPr>
              <w:spacing w:after="0" w:line="240" w:lineRule="auto"/>
              <w:jc w:val="left"/>
              <w:rPr>
                <w:sz w:val="20"/>
                <w:szCs w:val="20"/>
              </w:rPr>
            </w:pPr>
            <w:r w:rsidRPr="00EA3458">
              <w:rPr>
                <w:sz w:val="20"/>
                <w:szCs w:val="20"/>
              </w:rPr>
              <w:t>Complex medical needs of O</w:t>
            </w:r>
            <w:r w:rsidR="00313D57">
              <w:rPr>
                <w:sz w:val="20"/>
                <w:szCs w:val="20"/>
              </w:rPr>
              <w:t>D</w:t>
            </w:r>
            <w:r w:rsidRPr="00EA3458">
              <w:rPr>
                <w:sz w:val="20"/>
                <w:szCs w:val="20"/>
              </w:rPr>
              <w:t xml:space="preserve">T </w:t>
            </w:r>
            <w:r w:rsidR="00441126" w:rsidRPr="00EA3458">
              <w:rPr>
                <w:sz w:val="20"/>
                <w:szCs w:val="20"/>
              </w:rPr>
              <w:t>consumer</w:t>
            </w:r>
            <w:r w:rsidRPr="00EA3458">
              <w:rPr>
                <w:sz w:val="20"/>
                <w:szCs w:val="20"/>
              </w:rPr>
              <w:t>s</w:t>
            </w:r>
          </w:p>
          <w:p w14:paraId="0836C2CB" w14:textId="77777777" w:rsidR="00A31695" w:rsidRPr="00EA3458" w:rsidRDefault="00A31695" w:rsidP="007E3DC8">
            <w:pPr>
              <w:pStyle w:val="ListParagraph"/>
              <w:numPr>
                <w:ilvl w:val="0"/>
                <w:numId w:val="17"/>
              </w:numPr>
              <w:spacing w:after="0" w:line="240" w:lineRule="auto"/>
              <w:jc w:val="left"/>
              <w:rPr>
                <w:sz w:val="20"/>
                <w:szCs w:val="20"/>
              </w:rPr>
            </w:pPr>
            <w:r w:rsidRPr="00EA3458">
              <w:rPr>
                <w:sz w:val="20"/>
                <w:szCs w:val="20"/>
              </w:rPr>
              <w:t>Stigma associated with working in addiction medicine</w:t>
            </w:r>
          </w:p>
        </w:tc>
      </w:tr>
    </w:tbl>
    <w:p w14:paraId="012153E6" w14:textId="77777777" w:rsidR="00A31695" w:rsidRPr="00EA3458" w:rsidRDefault="00A31695" w:rsidP="00981550">
      <w:pPr>
        <w:spacing w:after="0"/>
      </w:pPr>
    </w:p>
    <w:p w14:paraId="769C3EB2" w14:textId="315797A4" w:rsidR="00A31695" w:rsidRPr="00EA3458" w:rsidRDefault="00E35714" w:rsidP="007E3DC8">
      <w:pPr>
        <w:pStyle w:val="Heading4"/>
        <w:numPr>
          <w:ilvl w:val="2"/>
          <w:numId w:val="45"/>
        </w:numPr>
      </w:pPr>
      <w:r w:rsidRPr="00EA3458">
        <w:t>Perspectives on facilitators and barriers from p</w:t>
      </w:r>
      <w:r w:rsidR="00A31695" w:rsidRPr="00EA3458">
        <w:t>eople with opioid dependence</w:t>
      </w:r>
    </w:p>
    <w:p w14:paraId="631E2FF2" w14:textId="765C1FC6" w:rsidR="00A31695" w:rsidRPr="00EA3458" w:rsidRDefault="00A31695" w:rsidP="00B54030">
      <w:pPr>
        <w:spacing w:line="276" w:lineRule="auto"/>
      </w:pPr>
      <w:r w:rsidRPr="00EA3458">
        <w:t xml:space="preserve">Facilitators and barriers to accessing and being retained on treatment were identified in 47 studies from the perspective of people with opioid use </w:t>
      </w:r>
      <w:r w:rsidRPr="00632DDD">
        <w:t xml:space="preserve">disorder (Table </w:t>
      </w:r>
      <w:r w:rsidR="00253486" w:rsidRPr="00632DDD">
        <w:t>9</w:t>
      </w:r>
      <w:r w:rsidRPr="00632DDD">
        <w:t>).</w:t>
      </w:r>
      <w:r w:rsidRPr="00EA3458">
        <w:t xml:space="preserve"> One study was from Wales, two studies were from Scotland, 13 from England, 19 from Canada and 12 from Australia.</w:t>
      </w:r>
    </w:p>
    <w:p w14:paraId="182230E8" w14:textId="256E6E3D" w:rsidR="00A31695" w:rsidRPr="00EA3458" w:rsidRDefault="00A31695">
      <w:pPr>
        <w:spacing w:line="276" w:lineRule="auto"/>
      </w:pPr>
      <w:r w:rsidRPr="00EA3458">
        <w:t xml:space="preserve">Facilitators to accessing or being retained in treatment can be grouped into three categories – flexibility in dispensing - dispensing sites working hours and dispensers who are flexible with dispensing fees; autonomy in treatment – treatment programs that are reflective of the </w:t>
      </w:r>
      <w:r w:rsidR="00441126" w:rsidRPr="00EA3458">
        <w:lastRenderedPageBreak/>
        <w:t>consumer</w:t>
      </w:r>
      <w:r w:rsidRPr="00EA3458">
        <w:t xml:space="preserve"> and the ability to engage in shared decision making, and discretion - both from the physical setting of the pharmacy allowing O</w:t>
      </w:r>
      <w:r w:rsidR="00313D57">
        <w:t>D</w:t>
      </w:r>
      <w:r w:rsidRPr="00EA3458">
        <w:t>T</w:t>
      </w:r>
      <w:r w:rsidR="00313D57">
        <w:t xml:space="preserve"> medicine</w:t>
      </w:r>
      <w:r w:rsidRPr="00EA3458">
        <w:t xml:space="preserve"> </w:t>
      </w:r>
      <w:r w:rsidR="00441126" w:rsidRPr="00EA3458">
        <w:t>consumer</w:t>
      </w:r>
      <w:r w:rsidRPr="00EA3458">
        <w:t xml:space="preserve">s to be indistinguishable from other pharmacy </w:t>
      </w:r>
      <w:r w:rsidR="00441126" w:rsidRPr="00EA3458">
        <w:t>consumer</w:t>
      </w:r>
      <w:r w:rsidRPr="00EA3458">
        <w:t xml:space="preserve">s and on behalf of the dispensing pharmacists. </w:t>
      </w:r>
    </w:p>
    <w:p w14:paraId="72BAED86" w14:textId="3E5F2DF3" w:rsidR="00A31695" w:rsidRPr="00EA3458" w:rsidRDefault="00A31695">
      <w:pPr>
        <w:spacing w:line="276" w:lineRule="auto"/>
      </w:pPr>
      <w:r w:rsidRPr="00EA3458">
        <w:t>Barriers to accessing treatment can be grouped in seven categories – stigma on behalf of prescribers and dispensers to</w:t>
      </w:r>
      <w:r w:rsidR="00313D57">
        <w:t>ward</w:t>
      </w:r>
      <w:r w:rsidRPr="00EA3458">
        <w:t xml:space="preserve"> O</w:t>
      </w:r>
      <w:r w:rsidR="00313D57">
        <w:t>D</w:t>
      </w:r>
      <w:r w:rsidRPr="00EA3458">
        <w:t>T</w:t>
      </w:r>
      <w:r w:rsidR="00313D57">
        <w:t xml:space="preserve"> medicine</w:t>
      </w:r>
      <w:r w:rsidRPr="00EA3458">
        <w:t xml:space="preserve"> </w:t>
      </w:r>
      <w:r w:rsidR="00441126" w:rsidRPr="00EA3458">
        <w:t>consumer</w:t>
      </w:r>
      <w:r w:rsidRPr="00EA3458">
        <w:t xml:space="preserve">s; logistical barriers such as inconveniently located prescribers, inconvenience of travelling to a pharmacy to be dosed and the time involved for supervision; restrictive and inflexible dosing schedules often resulting in doses being missed and also incompatibility with traditional working hours; a lack of knowledge about </w:t>
      </w:r>
      <w:r w:rsidR="00694A1A">
        <w:t>ODT medicines</w:t>
      </w:r>
      <w:r w:rsidR="00694A1A" w:rsidRPr="00EA3458">
        <w:t xml:space="preserve"> </w:t>
      </w:r>
      <w:r w:rsidRPr="00EA3458">
        <w:t xml:space="preserve">on behalf of the </w:t>
      </w:r>
      <w:r w:rsidR="00441126" w:rsidRPr="00EA3458">
        <w:t>consumer</w:t>
      </w:r>
      <w:r w:rsidRPr="00EA3458">
        <w:t xml:space="preserve">, prescriber, and dispenser; high staff turnover or inconsistencies with staff (both prescribers and dispensers) preventing the formation of a therapeutic relationship; a lack of discretion and privacy when dispensers are providing or discussing a </w:t>
      </w:r>
      <w:r w:rsidR="00441126" w:rsidRPr="00EA3458">
        <w:t>consumer</w:t>
      </w:r>
      <w:r w:rsidRPr="00EA3458">
        <w:t>s dose at a dispensing site and dosing sites, and queues at marketplaces to buy and sell drugs as well as reencountering people that could provoke relapse or reengagement in criminal activity.</w:t>
      </w:r>
    </w:p>
    <w:p w14:paraId="08372532" w14:textId="7FA0B670" w:rsidR="00A31695" w:rsidRPr="00EA3458" w:rsidRDefault="00A31695">
      <w:pPr>
        <w:spacing w:line="276" w:lineRule="auto"/>
        <w:rPr>
          <w:rFonts w:eastAsia="Calibri" w:cs="Calibri"/>
        </w:rPr>
      </w:pPr>
      <w:r w:rsidRPr="00EA3458">
        <w:t>The barriers identified by O</w:t>
      </w:r>
      <w:r w:rsidR="00313D57">
        <w:t>D</w:t>
      </w:r>
      <w:r w:rsidRPr="00EA3458">
        <w:t>T</w:t>
      </w:r>
      <w:r w:rsidR="00313D57">
        <w:t xml:space="preserve"> </w:t>
      </w:r>
      <w:r w:rsidR="00441126" w:rsidRPr="00EA3458">
        <w:t>consumer</w:t>
      </w:r>
      <w:r w:rsidRPr="00EA3458">
        <w:t xml:space="preserve">s receiving </w:t>
      </w:r>
      <w:r w:rsidR="00890963">
        <w:t xml:space="preserve">LAIB </w:t>
      </w:r>
      <w:r w:rsidRPr="00EA3458">
        <w:t>can be grouped into three categories – a lack of control including lack of control over the dosage, negative side effects and treatment as an implant or injection; a loss of social support and connection from monthly or weekly administration; and fear of premature “weaning off”.</w:t>
      </w:r>
    </w:p>
    <w:p w14:paraId="469A97DA" w14:textId="305670C7" w:rsidR="00A31695" w:rsidRPr="00EA3458" w:rsidRDefault="00A31695" w:rsidP="00DA0E77">
      <w:pPr>
        <w:pStyle w:val="Heading5"/>
      </w:pPr>
      <w:r w:rsidRPr="00EA3458">
        <w:t>Barriers and facilitators to O</w:t>
      </w:r>
      <w:r w:rsidR="00313D57">
        <w:t>D</w:t>
      </w:r>
      <w:r w:rsidRPr="00EA3458">
        <w:t>T</w:t>
      </w:r>
      <w:r w:rsidR="00313D57">
        <w:t xml:space="preserve"> medicines</w:t>
      </w:r>
      <w:r w:rsidRPr="00EA3458">
        <w:t>: The CoLAB community survey</w:t>
      </w:r>
    </w:p>
    <w:p w14:paraId="33C051E0" w14:textId="174CFE01" w:rsidR="00A31695" w:rsidRPr="00EA3458" w:rsidRDefault="00A31695" w:rsidP="00F22F00">
      <w:r w:rsidRPr="00EA3458">
        <w:t>The CoLAB community survey, a survey of 400 people regularly using opioids in NSW, VIC, and TAS, collected detailed information on the barriers and facilitators of O</w:t>
      </w:r>
      <w:r w:rsidR="00313D57">
        <w:t>D</w:t>
      </w:r>
      <w:r w:rsidRPr="00EA3458">
        <w:t>T</w:t>
      </w:r>
      <w:r w:rsidR="00313D57">
        <w:t xml:space="preserve"> medicine services</w:t>
      </w:r>
      <w:r w:rsidRPr="00EA3458">
        <w:t xml:space="preserve"> in 2018. Participants in the sample regularly used illicit opioids and just less than three-quarters of the sample (71%) was receiving O</w:t>
      </w:r>
      <w:r w:rsidR="00313D57">
        <w:t>D</w:t>
      </w:r>
      <w:r w:rsidRPr="00EA3458">
        <w:t>T</w:t>
      </w:r>
      <w:r w:rsidR="00313D57">
        <w:t xml:space="preserve"> medicines</w:t>
      </w:r>
      <w:r w:rsidRPr="00EA3458">
        <w:t xml:space="preserve"> at the time of the survey. The majority (90%) had lifetime experience with one or more form of O</w:t>
      </w:r>
      <w:r w:rsidR="00313D57">
        <w:t>D</w:t>
      </w:r>
      <w:r w:rsidRPr="00EA3458">
        <w:t>T</w:t>
      </w:r>
      <w:r w:rsidR="00313D57">
        <w:t xml:space="preserve"> medicine</w:t>
      </w:r>
      <w:r w:rsidRPr="00EA3458">
        <w:t xml:space="preserve"> (90%).</w:t>
      </w:r>
    </w:p>
    <w:p w14:paraId="7411C362" w14:textId="3DB5EEEA" w:rsidR="00A31695" w:rsidRPr="00EA3458" w:rsidRDefault="00A31695" w:rsidP="00F22F00">
      <w:r w:rsidRPr="00EA3458">
        <w:t>All participants were asked about a range of potential barriers or facilitators regarding treatment entry. Each participant responded with how likely or unlikely each factor would help or prevent them from entering</w:t>
      </w:r>
      <w:r w:rsidR="00313D57">
        <w:t xml:space="preserve"> treatment with</w:t>
      </w:r>
      <w:r w:rsidRPr="00EA3458">
        <w:t xml:space="preserve"> O</w:t>
      </w:r>
      <w:r w:rsidR="00313D57">
        <w:t>D</w:t>
      </w:r>
      <w:r w:rsidRPr="00EA3458">
        <w:t>T</w:t>
      </w:r>
      <w:r w:rsidR="00313D57">
        <w:t xml:space="preserve"> medicines</w:t>
      </w:r>
      <w:r w:rsidRPr="00EA3458">
        <w:t xml:space="preserve">. Figure </w:t>
      </w:r>
      <w:r w:rsidR="00CC17C2" w:rsidRPr="00EA3458">
        <w:t>2</w:t>
      </w:r>
      <w:r w:rsidRPr="00EA3458">
        <w:t xml:space="preserve"> displays the responses for each factor. </w:t>
      </w:r>
    </w:p>
    <w:p w14:paraId="68816B9A" w14:textId="59610670" w:rsidR="00A31695" w:rsidRPr="00EA3458" w:rsidRDefault="00A31695" w:rsidP="00F22F00">
      <w:r w:rsidRPr="00EA3458">
        <w:t xml:space="preserve">The financial costs of treatment were a clear barrier to treatment for participants, and free treatment was also noted as a facilitator. Respectful staff that understand the situation of the </w:t>
      </w:r>
      <w:r w:rsidR="00441126" w:rsidRPr="00EA3458">
        <w:t>consumer</w:t>
      </w:r>
      <w:r w:rsidRPr="00EA3458">
        <w:t xml:space="preserve"> was also noted as a treatment facilitator, as well as the ability to re-enter treatment easily if they dropped out. Improvement of personal life factors, including physical &amp; mental well-being, as well as relationships were also facilitators to entering treatment. Relationships were also noted as a potential barrier, if a treatment required disclosure to friends and family. Accessibility of treatment factors, such as a higher number of locations, lower travel costs, and immediate start were also noted as potential facilitators.</w:t>
      </w:r>
    </w:p>
    <w:p w14:paraId="20EFB0EC" w14:textId="5156F85F" w:rsidR="001C7C0F" w:rsidRDefault="00A31695" w:rsidP="00981550">
      <w:pPr>
        <w:spacing w:after="0"/>
        <w:rPr>
          <w:rFonts w:eastAsia="Times New Roman" w:cs="Calibri"/>
          <w:color w:val="000000"/>
          <w:lang w:eastAsia="en-AU"/>
        </w:rPr>
      </w:pPr>
      <w:r w:rsidRPr="00EA3458">
        <w:t>Participants in the CoLAB study with a history of</w:t>
      </w:r>
      <w:r w:rsidR="00313D57">
        <w:t xml:space="preserve"> receiving</w:t>
      </w:r>
      <w:r w:rsidRPr="00EA3458">
        <w:t xml:space="preserve"> O</w:t>
      </w:r>
      <w:r w:rsidR="00313D57">
        <w:t>D</w:t>
      </w:r>
      <w:r w:rsidRPr="00EA3458">
        <w:t xml:space="preserve">T </w:t>
      </w:r>
      <w:r w:rsidR="00313D57">
        <w:t xml:space="preserve">medicines </w:t>
      </w:r>
      <w:r w:rsidRPr="00EA3458">
        <w:t>shared their main goal prior to receiving O</w:t>
      </w:r>
      <w:r w:rsidR="00313D57">
        <w:t>D</w:t>
      </w:r>
      <w:r w:rsidRPr="00EA3458">
        <w:t>T</w:t>
      </w:r>
      <w:r w:rsidR="00313D57">
        <w:t xml:space="preserve"> medicines</w:t>
      </w:r>
      <w:r w:rsidRPr="00EA3458">
        <w:t>. The main goal of most participants was to stop or reduce opioid use (69%). Specifically, the most common treatment goal was to s</w:t>
      </w:r>
      <w:r w:rsidRPr="00EA3458">
        <w:rPr>
          <w:rFonts w:eastAsia="Times New Roman" w:cs="Calibri"/>
          <w:color w:val="000000" w:themeColor="text1"/>
          <w:lang w:eastAsia="en-AU"/>
        </w:rPr>
        <w:t>top using all opioids, including O</w:t>
      </w:r>
      <w:r w:rsidR="00313D57">
        <w:rPr>
          <w:rFonts w:eastAsia="Times New Roman" w:cs="Calibri"/>
          <w:color w:val="000000" w:themeColor="text1"/>
          <w:lang w:eastAsia="en-AU"/>
        </w:rPr>
        <w:t>D</w:t>
      </w:r>
      <w:r w:rsidRPr="00EA3458">
        <w:rPr>
          <w:rFonts w:eastAsia="Times New Roman" w:cs="Calibri"/>
          <w:color w:val="000000" w:themeColor="text1"/>
          <w:lang w:eastAsia="en-AU"/>
        </w:rPr>
        <w:t>T</w:t>
      </w:r>
      <w:r w:rsidR="00313D57">
        <w:rPr>
          <w:rFonts w:eastAsia="Times New Roman" w:cs="Calibri"/>
          <w:color w:val="000000" w:themeColor="text1"/>
          <w:lang w:eastAsia="en-AU"/>
        </w:rPr>
        <w:t xml:space="preserve"> medicines</w:t>
      </w:r>
      <w:r w:rsidRPr="00EA3458">
        <w:rPr>
          <w:rFonts w:eastAsia="Times New Roman" w:cs="Calibri"/>
          <w:color w:val="000000" w:themeColor="text1"/>
          <w:lang w:eastAsia="en-AU"/>
        </w:rPr>
        <w:t xml:space="preserve"> (31%), followed by stopping use of only illicit opioids (20%), </w:t>
      </w:r>
      <w:r w:rsidRPr="00EA3458">
        <w:rPr>
          <w:rFonts w:eastAsia="Times New Roman" w:cs="Calibri"/>
          <w:color w:val="000000" w:themeColor="text1"/>
          <w:lang w:eastAsia="en-AU"/>
        </w:rPr>
        <w:lastRenderedPageBreak/>
        <w:t xml:space="preserve">and reducing or controlling opioid use (18%). Less commonly reported treatment goals included regaining control over one’s life (10%), improving physical health (6%), reducing opioid cravings (3%), improving relationships (3%), and improving mental health and wellbeing (2%). </w:t>
      </w:r>
      <w:r w:rsidRPr="00EA3458">
        <w:rPr>
          <w:rFonts w:eastAsia="Times New Roman" w:cs="Calibri"/>
          <w:color w:val="000000"/>
          <w:lang w:eastAsia="en-AU"/>
        </w:rPr>
        <w:t xml:space="preserve">Figure </w:t>
      </w:r>
      <w:r w:rsidR="00CC17C2" w:rsidRPr="00EA3458">
        <w:rPr>
          <w:rFonts w:eastAsia="Times New Roman" w:cs="Calibri"/>
          <w:color w:val="000000"/>
          <w:lang w:eastAsia="en-AU"/>
        </w:rPr>
        <w:t>3</w:t>
      </w:r>
      <w:r w:rsidRPr="00EA3458">
        <w:rPr>
          <w:rFonts w:eastAsia="Times New Roman" w:cs="Calibri"/>
          <w:color w:val="000000"/>
          <w:lang w:eastAsia="en-AU"/>
        </w:rPr>
        <w:t xml:space="preserve"> displays the common treatment goals among the sample.</w:t>
      </w:r>
    </w:p>
    <w:p w14:paraId="7D7DADBF" w14:textId="77777777" w:rsidR="00981550" w:rsidRPr="00EA3458" w:rsidRDefault="00981550" w:rsidP="00981550">
      <w:pPr>
        <w:spacing w:after="0"/>
        <w:rPr>
          <w:rFonts w:eastAsia="Times New Roman" w:cs="Calibri"/>
          <w:color w:val="000000"/>
          <w:lang w:eastAsia="en-AU"/>
        </w:rPr>
      </w:pPr>
    </w:p>
    <w:p w14:paraId="3FE7544E" w14:textId="503FE6C8" w:rsidR="00A31695" w:rsidRPr="00EA3458" w:rsidRDefault="00A31695" w:rsidP="004139FC">
      <w:pPr>
        <w:pStyle w:val="FIgures"/>
        <w:spacing w:after="120"/>
      </w:pPr>
      <w:bookmarkStart w:id="386" w:name="_Toc132823442"/>
      <w:r w:rsidRPr="00EA3458">
        <w:t xml:space="preserve">Figure </w:t>
      </w:r>
      <w:r w:rsidR="00CC17C2" w:rsidRPr="00EA3458">
        <w:t>2</w:t>
      </w:r>
      <w:r w:rsidRPr="00EA3458">
        <w:t xml:space="preserve">. Perceived facilitators and barriers for entering </w:t>
      </w:r>
      <w:r w:rsidR="00313D57">
        <w:t xml:space="preserve">treatment with </w:t>
      </w:r>
      <w:r w:rsidRPr="00EA3458">
        <w:t>O</w:t>
      </w:r>
      <w:r w:rsidR="00313D57">
        <w:t>D</w:t>
      </w:r>
      <w:r w:rsidRPr="00EA3458">
        <w:t>T</w:t>
      </w:r>
      <w:r w:rsidR="00313D57">
        <w:t xml:space="preserve"> medicines</w:t>
      </w:r>
      <w:bookmarkEnd w:id="386"/>
    </w:p>
    <w:p w14:paraId="289A1405" w14:textId="240CD32C" w:rsidR="00A31695" w:rsidRPr="00EA3458" w:rsidRDefault="009F228F" w:rsidP="004139FC">
      <w:pPr>
        <w:spacing w:before="120"/>
      </w:pPr>
      <w:r>
        <w:rPr>
          <w:noProof/>
        </w:rPr>
        <w:drawing>
          <wp:inline distT="0" distB="0" distL="0" distR="0" wp14:anchorId="0618A85D" wp14:editId="10E5C290">
            <wp:extent cx="5724525" cy="4772025"/>
            <wp:effectExtent l="0" t="0" r="9525" b="9525"/>
            <wp:docPr id="5" name="Picture 5" descr="Participant responses to a range of potential barriers or facilitators regarding treatment entry. Responses indicate how likely or unlikely each factor would help or prevent participants from entering OD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articipant responses to a range of potential barriers or facilitators regarding treatment entry. Responses indicate how likely or unlikely each factor would help or prevent participants from entering ODT.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24525" cy="4772025"/>
                    </a:xfrm>
                    <a:prstGeom prst="rect">
                      <a:avLst/>
                    </a:prstGeom>
                    <a:noFill/>
                    <a:ln>
                      <a:noFill/>
                    </a:ln>
                  </pic:spPr>
                </pic:pic>
              </a:graphicData>
            </a:graphic>
          </wp:inline>
        </w:drawing>
      </w:r>
    </w:p>
    <w:p w14:paraId="39FEDBEF" w14:textId="77777777" w:rsidR="00A31695" w:rsidRPr="00EA3458" w:rsidRDefault="00A31695"/>
    <w:p w14:paraId="01482AAF" w14:textId="5E95F192" w:rsidR="00A31695" w:rsidRPr="00EA3458" w:rsidRDefault="00A31695">
      <w:pPr>
        <w:pStyle w:val="FIgures"/>
      </w:pPr>
      <w:bookmarkStart w:id="387" w:name="_Toc132823443"/>
      <w:r w:rsidRPr="00EA3458">
        <w:lastRenderedPageBreak/>
        <w:t xml:space="preserve">Figure </w:t>
      </w:r>
      <w:r w:rsidR="00CC17C2" w:rsidRPr="00EA3458">
        <w:t>3</w:t>
      </w:r>
      <w:r w:rsidRPr="00EA3458">
        <w:t xml:space="preserve">. Main treatment goal </w:t>
      </w:r>
      <w:r w:rsidR="00454721">
        <w:t>in</w:t>
      </w:r>
      <w:r w:rsidRPr="00EA3458">
        <w:t xml:space="preserve"> O</w:t>
      </w:r>
      <w:r w:rsidR="0012032B">
        <w:t>D</w:t>
      </w:r>
      <w:r w:rsidRPr="00EA3458">
        <w:t xml:space="preserve">T </w:t>
      </w:r>
      <w:r w:rsidR="00454721">
        <w:t>medicines</w:t>
      </w:r>
      <w:r w:rsidR="001204E8">
        <w:t xml:space="preserve"> </w:t>
      </w:r>
      <w:r w:rsidRPr="00EA3458">
        <w:t>reported by participants of the CoLAB study (n=400)</w:t>
      </w:r>
      <w:bookmarkEnd w:id="387"/>
    </w:p>
    <w:p w14:paraId="489A1A4B" w14:textId="77777777" w:rsidR="00A31695" w:rsidRPr="00EA3458" w:rsidRDefault="00A31695" w:rsidP="00464CB6">
      <w:pPr>
        <w:spacing w:before="120" w:after="0"/>
      </w:pPr>
      <w:r w:rsidRPr="00EA3458">
        <w:rPr>
          <w:noProof/>
        </w:rPr>
        <w:drawing>
          <wp:inline distT="0" distB="0" distL="0" distR="0" wp14:anchorId="5B99D434" wp14:editId="76D5B3F9">
            <wp:extent cx="5731933" cy="4585671"/>
            <wp:effectExtent l="0" t="0" r="2540" b="5715"/>
            <wp:docPr id="11" name="Picture 11" descr="Common treatment goals for entering with ODT medic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ommon treatment goals for entering with ODT medicines."/>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54805" cy="4603969"/>
                    </a:xfrm>
                    <a:prstGeom prst="rect">
                      <a:avLst/>
                    </a:prstGeom>
                  </pic:spPr>
                </pic:pic>
              </a:graphicData>
            </a:graphic>
          </wp:inline>
        </w:drawing>
      </w:r>
      <w:r w:rsidRPr="00EA3458">
        <w:t xml:space="preserve"> </w:t>
      </w:r>
    </w:p>
    <w:p w14:paraId="65C1BC66" w14:textId="77777777" w:rsidR="00464CB6" w:rsidRDefault="00464CB6" w:rsidP="00464CB6">
      <w:pPr>
        <w:spacing w:after="0"/>
        <w:rPr>
          <w:rFonts w:eastAsia="Times New Roman" w:cs="Calibri"/>
          <w:color w:val="000000" w:themeColor="text1"/>
          <w:lang w:eastAsia="en-AU"/>
        </w:rPr>
      </w:pPr>
    </w:p>
    <w:p w14:paraId="5AEF9B38" w14:textId="254D1D3E" w:rsidR="00A31695" w:rsidRPr="00EA3458" w:rsidRDefault="00A31695" w:rsidP="00B54030">
      <w:pPr>
        <w:rPr>
          <w:rFonts w:eastAsia="Times New Roman" w:cs="Calibri"/>
          <w:color w:val="000000" w:themeColor="text1"/>
          <w:lang w:eastAsia="en-AU"/>
        </w:rPr>
      </w:pPr>
      <w:r w:rsidRPr="00EA3458">
        <w:rPr>
          <w:rFonts w:eastAsia="Times New Roman" w:cs="Calibri"/>
          <w:color w:val="000000" w:themeColor="text1"/>
          <w:lang w:eastAsia="en-AU"/>
        </w:rPr>
        <w:t>Participants also shared their main motivation prior to receiving O</w:t>
      </w:r>
      <w:r w:rsidR="001204E8">
        <w:rPr>
          <w:rFonts w:eastAsia="Times New Roman" w:cs="Calibri"/>
          <w:color w:val="000000" w:themeColor="text1"/>
          <w:lang w:eastAsia="en-AU"/>
        </w:rPr>
        <w:t>D</w:t>
      </w:r>
      <w:r w:rsidRPr="00EA3458">
        <w:rPr>
          <w:rFonts w:eastAsia="Times New Roman" w:cs="Calibri"/>
          <w:color w:val="000000" w:themeColor="text1"/>
          <w:lang w:eastAsia="en-AU"/>
        </w:rPr>
        <w:t>T</w:t>
      </w:r>
      <w:r w:rsidR="001204E8">
        <w:rPr>
          <w:rFonts w:eastAsia="Times New Roman" w:cs="Calibri"/>
          <w:color w:val="000000" w:themeColor="text1"/>
          <w:lang w:eastAsia="en-AU"/>
        </w:rPr>
        <w:t xml:space="preserve"> </w:t>
      </w:r>
      <w:r w:rsidR="00454721">
        <w:rPr>
          <w:rFonts w:eastAsia="Times New Roman" w:cs="Calibri"/>
          <w:color w:val="000000" w:themeColor="text1"/>
          <w:lang w:eastAsia="en-AU"/>
        </w:rPr>
        <w:t>medicines</w:t>
      </w:r>
      <w:r w:rsidRPr="00EA3458">
        <w:rPr>
          <w:rFonts w:eastAsia="Times New Roman" w:cs="Calibri"/>
          <w:color w:val="000000" w:themeColor="text1"/>
          <w:lang w:eastAsia="en-AU"/>
        </w:rPr>
        <w:t xml:space="preserve"> (Figure </w:t>
      </w:r>
      <w:r w:rsidR="00CC17C2" w:rsidRPr="00EA3458">
        <w:rPr>
          <w:rFonts w:eastAsia="Times New Roman" w:cs="Calibri"/>
          <w:color w:val="000000" w:themeColor="text1"/>
          <w:lang w:eastAsia="en-AU"/>
        </w:rPr>
        <w:t>4</w:t>
      </w:r>
      <w:r w:rsidRPr="00EA3458">
        <w:rPr>
          <w:rFonts w:eastAsia="Times New Roman" w:cs="Calibri"/>
          <w:color w:val="000000" w:themeColor="text1"/>
          <w:lang w:eastAsia="en-AU"/>
        </w:rPr>
        <w:t>). The most common motivation for participants was to change their life or ‘turn their life around’ (41%). Family or custody issues were also a main motivation for one in five participants (19%). Other main motivations for entering treatment included a hospital stay (9%) and issues with mental health (7%), money (7%), and employment or study (6%).</w:t>
      </w:r>
    </w:p>
    <w:p w14:paraId="35228ED5" w14:textId="01D2AB89" w:rsidR="00A31695" w:rsidRPr="00EA3458" w:rsidRDefault="00A31695" w:rsidP="00DA0E77">
      <w:pPr>
        <w:rPr>
          <w:rFonts w:ascii="Segoe UI" w:hAnsi="Segoe UI" w:cs="Segoe UI"/>
          <w:sz w:val="18"/>
          <w:szCs w:val="18"/>
          <w:lang w:eastAsia="en-AU"/>
        </w:rPr>
      </w:pPr>
      <w:r w:rsidRPr="00EA3458">
        <w:rPr>
          <w:lang w:eastAsia="en-AU"/>
        </w:rPr>
        <w:t xml:space="preserve">Consumer perspectives on the potential facilitators of </w:t>
      </w:r>
      <w:r w:rsidR="00890963">
        <w:rPr>
          <w:lang w:eastAsia="en-AU"/>
        </w:rPr>
        <w:t xml:space="preserve">LAIB </w:t>
      </w:r>
      <w:r w:rsidRPr="00EA3458">
        <w:rPr>
          <w:lang w:eastAsia="en-AU"/>
        </w:rPr>
        <w:t>are summarised as follows: allows less frequent attendance to treatment services (76%), allows more time to do other things (69%), allows travel for work or holidays (66%), prevents cravings for opioids (64%), greater control of treatment (63%), suppresses withdrawal symptoms</w:t>
      </w:r>
      <w:r w:rsidR="008B0387">
        <w:rPr>
          <w:lang w:eastAsia="en-AU"/>
        </w:rPr>
        <w:t xml:space="preserve"> </w:t>
      </w:r>
      <w:r w:rsidRPr="00EA3458">
        <w:rPr>
          <w:lang w:eastAsia="en-AU"/>
        </w:rPr>
        <w:t>(62%), avoid regular contact with other people in drug treatment (59%), blocks the effects of other opioids (54%), reduces the need for willpower to stay in treatment and/or avoid using other opioids (54%), decreases risk of overdose (safety) (52%). </w:t>
      </w:r>
    </w:p>
    <w:p w14:paraId="09CE52E8" w14:textId="246E2406" w:rsidR="00A31695" w:rsidRPr="00EA3458" w:rsidRDefault="00A31695" w:rsidP="00F22F00">
      <w:r w:rsidRPr="00EA3458">
        <w:rPr>
          <w:lang w:eastAsia="en-AU"/>
        </w:rPr>
        <w:t xml:space="preserve">Consumer perspectives on the potential barriers of </w:t>
      </w:r>
      <w:r w:rsidR="00890963">
        <w:rPr>
          <w:lang w:eastAsia="en-AU"/>
        </w:rPr>
        <w:t xml:space="preserve">LAIB </w:t>
      </w:r>
      <w:r w:rsidRPr="00EA3458">
        <w:rPr>
          <w:lang w:eastAsia="en-AU"/>
        </w:rPr>
        <w:t>are summarised as follows: might not hold people for the whole period between doses (40%), blocks the effects of other opioids (26%), less treatment flexibility (17%), feel less in control of treatment (16%), dislike of having the drug/long-acting release profile (16%).</w:t>
      </w:r>
    </w:p>
    <w:p w14:paraId="4B4F335F" w14:textId="2D73D595" w:rsidR="00A31695" w:rsidRPr="00EA3458" w:rsidRDefault="00A31695" w:rsidP="00F22F00">
      <w:pPr>
        <w:pStyle w:val="FIgures"/>
      </w:pPr>
      <w:bookmarkStart w:id="388" w:name="_Toc99542117"/>
      <w:bookmarkStart w:id="389" w:name="_Toc132823444"/>
      <w:r w:rsidRPr="00EA3458">
        <w:lastRenderedPageBreak/>
        <w:t xml:space="preserve">Figure </w:t>
      </w:r>
      <w:r w:rsidR="00CC17C2" w:rsidRPr="00EA3458">
        <w:t>4</w:t>
      </w:r>
      <w:r w:rsidRPr="00EA3458">
        <w:t>.</w:t>
      </w:r>
      <w:r w:rsidRPr="00EA3458">
        <w:rPr>
          <w:bCs/>
        </w:rPr>
        <w:t xml:space="preserve"> </w:t>
      </w:r>
      <w:r w:rsidRPr="00EA3458">
        <w:t xml:space="preserve">Main motivation for entering </w:t>
      </w:r>
      <w:r w:rsidR="00454721">
        <w:t>treatment with ODT medicines</w:t>
      </w:r>
      <w:r w:rsidRPr="00EA3458">
        <w:t xml:space="preserve"> reported by participants of the CoLAB study (n=400)</w:t>
      </w:r>
      <w:bookmarkEnd w:id="388"/>
      <w:bookmarkEnd w:id="389"/>
    </w:p>
    <w:p w14:paraId="387299FB" w14:textId="115A9426" w:rsidR="00A31695" w:rsidRDefault="00A31695" w:rsidP="00464CB6">
      <w:pPr>
        <w:spacing w:before="120" w:after="0"/>
        <w:rPr>
          <w:rFonts w:eastAsia="Times New Roman" w:cs="Calibri"/>
          <w:color w:val="000000" w:themeColor="text1"/>
          <w:lang w:eastAsia="en-AU"/>
        </w:rPr>
      </w:pPr>
      <w:r w:rsidRPr="00EA3458">
        <w:rPr>
          <w:noProof/>
        </w:rPr>
        <w:drawing>
          <wp:inline distT="0" distB="0" distL="0" distR="0" wp14:anchorId="2D5FA7AE" wp14:editId="143240A9">
            <wp:extent cx="5524500" cy="4419720"/>
            <wp:effectExtent l="0" t="0" r="0" b="0"/>
            <wp:docPr id="12" name="Picture 12" descr="Participant motivation prior to receiving ODT medic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Participant motivation prior to receiving ODT medicines."/>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530790" cy="4424752"/>
                    </a:xfrm>
                    <a:prstGeom prst="rect">
                      <a:avLst/>
                    </a:prstGeom>
                  </pic:spPr>
                </pic:pic>
              </a:graphicData>
            </a:graphic>
          </wp:inline>
        </w:drawing>
      </w:r>
    </w:p>
    <w:p w14:paraId="5AF23AE3" w14:textId="77777777" w:rsidR="00632DDD" w:rsidRPr="00EA3458" w:rsidRDefault="00632DDD" w:rsidP="00464CB6">
      <w:pPr>
        <w:spacing w:before="120" w:after="0"/>
        <w:rPr>
          <w:rFonts w:eastAsia="Times New Roman" w:cs="Calibri"/>
          <w:color w:val="000000" w:themeColor="text1"/>
          <w:lang w:eastAsia="en-AU"/>
        </w:rPr>
      </w:pPr>
    </w:p>
    <w:p w14:paraId="1F89FD30" w14:textId="77777777" w:rsidR="00A31695" w:rsidRPr="00EA3458" w:rsidRDefault="00A31695" w:rsidP="007E3DC8">
      <w:pPr>
        <w:pStyle w:val="Heading4"/>
        <w:numPr>
          <w:ilvl w:val="2"/>
          <w:numId w:val="45"/>
        </w:numPr>
      </w:pPr>
      <w:r w:rsidRPr="00EA3458">
        <w:t>First Nations people</w:t>
      </w:r>
    </w:p>
    <w:p w14:paraId="0BC2ED76" w14:textId="58026E8A" w:rsidR="00A31695" w:rsidRPr="00EA3458" w:rsidRDefault="00A31695" w:rsidP="004139FC">
      <w:r w:rsidRPr="00EA3458">
        <w:t>While the participants of many studies included First Nation Australians, the literature review did not discover any qualitative studies that focused exclusively on describing the barriers and facilitators to O</w:t>
      </w:r>
      <w:r w:rsidR="00454721">
        <w:t>D</w:t>
      </w:r>
      <w:r w:rsidRPr="00EA3458">
        <w:t>T</w:t>
      </w:r>
      <w:r w:rsidR="00454721">
        <w:t xml:space="preserve"> medicines</w:t>
      </w:r>
      <w:r w:rsidRPr="00EA3458">
        <w:t xml:space="preserve"> from this perspective. Considering that First Nations people are overrepresented in the O</w:t>
      </w:r>
      <w:r w:rsidR="00454721">
        <w:t>D</w:t>
      </w:r>
      <w:r w:rsidRPr="00EA3458">
        <w:t>T</w:t>
      </w:r>
      <w:r w:rsidR="00454721">
        <w:t xml:space="preserve"> medicines</w:t>
      </w:r>
      <w:r w:rsidRPr="00EA3458">
        <w:t xml:space="preserve"> population (see </w:t>
      </w:r>
      <w:r w:rsidR="004275E8" w:rsidRPr="00EA3458">
        <w:t>Table 2</w:t>
      </w:r>
      <w:r w:rsidR="00FF617F" w:rsidRPr="00EA3458">
        <w:t>)</w:t>
      </w:r>
      <w:r w:rsidRPr="00EA3458">
        <w:t>, and that this population may face a distinct set of barriers and facilitators accessing and being retained on O</w:t>
      </w:r>
      <w:r w:rsidR="00454721">
        <w:t>D</w:t>
      </w:r>
      <w:r w:rsidRPr="00EA3458">
        <w:t>T</w:t>
      </w:r>
      <w:r w:rsidR="00454721">
        <w:t xml:space="preserve"> medicines</w:t>
      </w:r>
      <w:r w:rsidRPr="00EA3458">
        <w:t>, there is a need for research in this area.</w:t>
      </w:r>
    </w:p>
    <w:p w14:paraId="501C853C" w14:textId="7F00EABB" w:rsidR="00A31695" w:rsidRPr="00EA3458" w:rsidRDefault="00A31695" w:rsidP="007E3DC8">
      <w:pPr>
        <w:pStyle w:val="Heading4"/>
        <w:numPr>
          <w:ilvl w:val="2"/>
          <w:numId w:val="45"/>
        </w:numPr>
      </w:pPr>
      <w:r w:rsidRPr="00EA3458">
        <w:t>Prescribers of O</w:t>
      </w:r>
      <w:r w:rsidR="00454721">
        <w:t>D</w:t>
      </w:r>
      <w:r w:rsidRPr="00EA3458">
        <w:t>T medicines</w:t>
      </w:r>
    </w:p>
    <w:p w14:paraId="71301F91" w14:textId="2B76A76B" w:rsidR="00A31695" w:rsidRPr="00EA3458" w:rsidRDefault="00A31695">
      <w:r w:rsidRPr="00EA3458">
        <w:t>The facilitators and barriers experienced by prescribers of O</w:t>
      </w:r>
      <w:r w:rsidR="00454721">
        <w:t>D</w:t>
      </w:r>
      <w:r w:rsidRPr="00EA3458">
        <w:t>T</w:t>
      </w:r>
      <w:r w:rsidR="00454721">
        <w:t xml:space="preserve"> medicines</w:t>
      </w:r>
      <w:r w:rsidRPr="00EA3458">
        <w:t xml:space="preserve"> were identified in 16 studies. Four studies were from Australia, one from Scotland, two from England and nine from Canada. </w:t>
      </w:r>
    </w:p>
    <w:p w14:paraId="5E37F689" w14:textId="33A60368" w:rsidR="00A31695" w:rsidRPr="00EA3458" w:rsidRDefault="00A31695">
      <w:r w:rsidRPr="00EA3458">
        <w:t>The six categories for facilitators for prescribers of O</w:t>
      </w:r>
      <w:r w:rsidR="00454721">
        <w:t>D</w:t>
      </w:r>
      <w:r w:rsidRPr="00EA3458">
        <w:t>T</w:t>
      </w:r>
      <w:r w:rsidR="00454721">
        <w:t xml:space="preserve"> medicines</w:t>
      </w:r>
      <w:r w:rsidRPr="00EA3458">
        <w:t xml:space="preserve"> are interdisciplinary support and collaboration, including continuity of care; view of O</w:t>
      </w:r>
      <w:r w:rsidR="00454721">
        <w:t>D</w:t>
      </w:r>
      <w:r w:rsidRPr="00EA3458">
        <w:t>T</w:t>
      </w:r>
      <w:r w:rsidR="00454721">
        <w:t xml:space="preserve"> medication</w:t>
      </w:r>
      <w:r w:rsidRPr="00EA3458">
        <w:t xml:space="preserve"> as a necessary treatment and a duty to provide harm reduction; access to information about prescribing protocols, opioid </w:t>
      </w:r>
      <w:r w:rsidR="00922B44" w:rsidRPr="00EA3458">
        <w:t>dependence,</w:t>
      </w:r>
      <w:r w:rsidRPr="00EA3458">
        <w:t xml:space="preserve"> and O</w:t>
      </w:r>
      <w:r w:rsidR="00454721">
        <w:t>D</w:t>
      </w:r>
      <w:r w:rsidRPr="00EA3458">
        <w:t>T</w:t>
      </w:r>
      <w:r w:rsidR="00454721">
        <w:t xml:space="preserve"> medicines</w:t>
      </w:r>
      <w:r w:rsidRPr="00EA3458">
        <w:t>; financial incentives; access to ongoing educational opportunities; and O</w:t>
      </w:r>
      <w:r w:rsidR="00454721">
        <w:t>D</w:t>
      </w:r>
      <w:r w:rsidRPr="00EA3458">
        <w:t>T</w:t>
      </w:r>
      <w:r w:rsidR="00454721">
        <w:t xml:space="preserve"> medication</w:t>
      </w:r>
      <w:r w:rsidRPr="00EA3458">
        <w:t xml:space="preserve"> as a point of entry into addressing other areas of </w:t>
      </w:r>
      <w:r w:rsidR="00441126" w:rsidRPr="00EA3458">
        <w:t>consumer</w:t>
      </w:r>
      <w:r w:rsidRPr="00EA3458">
        <w:t xml:space="preserve">’s health. </w:t>
      </w:r>
    </w:p>
    <w:p w14:paraId="23F9BF29" w14:textId="7570BBBA" w:rsidR="00A31695" w:rsidRPr="00EA3458" w:rsidRDefault="00A31695" w:rsidP="00B54030">
      <w:pPr>
        <w:spacing w:after="240" w:line="276" w:lineRule="auto"/>
        <w:rPr>
          <w:rFonts w:eastAsia="Calibri" w:cs="Calibri"/>
          <w:color w:val="000000" w:themeColor="text1"/>
        </w:rPr>
      </w:pPr>
      <w:r w:rsidRPr="00EA3458">
        <w:rPr>
          <w:rFonts w:eastAsia="Calibri" w:cs="Calibri"/>
          <w:color w:val="000000" w:themeColor="text1"/>
        </w:rPr>
        <w:lastRenderedPageBreak/>
        <w:t>The barriers identified for prescribers of O</w:t>
      </w:r>
      <w:r w:rsidR="00454721">
        <w:rPr>
          <w:rFonts w:eastAsia="Calibri" w:cs="Calibri"/>
          <w:color w:val="000000" w:themeColor="text1"/>
        </w:rPr>
        <w:t>D</w:t>
      </w:r>
      <w:r w:rsidRPr="00EA3458">
        <w:rPr>
          <w:rFonts w:eastAsia="Calibri" w:cs="Calibri"/>
          <w:color w:val="000000" w:themeColor="text1"/>
        </w:rPr>
        <w:t>T</w:t>
      </w:r>
      <w:r w:rsidR="00454721">
        <w:rPr>
          <w:rFonts w:eastAsia="Calibri" w:cs="Calibri"/>
          <w:color w:val="000000" w:themeColor="text1"/>
        </w:rPr>
        <w:t xml:space="preserve"> medicines</w:t>
      </w:r>
      <w:r w:rsidRPr="00EA3458">
        <w:rPr>
          <w:rFonts w:eastAsia="Calibri" w:cs="Calibri"/>
          <w:color w:val="000000" w:themeColor="text1"/>
        </w:rPr>
        <w:t xml:space="preserve"> can be grouped in to six categories – negative previous experiences with O</w:t>
      </w:r>
      <w:r w:rsidR="00454721">
        <w:rPr>
          <w:rFonts w:eastAsia="Calibri" w:cs="Calibri"/>
          <w:color w:val="000000" w:themeColor="text1"/>
        </w:rPr>
        <w:t>D</w:t>
      </w:r>
      <w:r w:rsidRPr="00EA3458">
        <w:rPr>
          <w:rFonts w:eastAsia="Calibri" w:cs="Calibri"/>
          <w:color w:val="000000" w:themeColor="text1"/>
        </w:rPr>
        <w:t>T consumers; poor financial remuneration; not viewing O</w:t>
      </w:r>
      <w:r w:rsidR="00454721">
        <w:rPr>
          <w:rFonts w:eastAsia="Calibri" w:cs="Calibri"/>
          <w:color w:val="000000" w:themeColor="text1"/>
        </w:rPr>
        <w:t>D</w:t>
      </w:r>
      <w:r w:rsidRPr="00EA3458">
        <w:rPr>
          <w:rFonts w:eastAsia="Calibri" w:cs="Calibri"/>
          <w:color w:val="000000" w:themeColor="text1"/>
        </w:rPr>
        <w:t>T</w:t>
      </w:r>
      <w:r w:rsidR="00454721">
        <w:rPr>
          <w:rFonts w:eastAsia="Calibri" w:cs="Calibri"/>
          <w:color w:val="000000" w:themeColor="text1"/>
        </w:rPr>
        <w:t xml:space="preserve"> medication</w:t>
      </w:r>
      <w:r w:rsidRPr="00EA3458">
        <w:rPr>
          <w:rFonts w:eastAsia="Calibri" w:cs="Calibri"/>
          <w:color w:val="000000" w:themeColor="text1"/>
        </w:rPr>
        <w:t xml:space="preserve"> as a valid treatment; perception that the health needs of O</w:t>
      </w:r>
      <w:r w:rsidR="00454721">
        <w:rPr>
          <w:rFonts w:eastAsia="Calibri" w:cs="Calibri"/>
          <w:color w:val="000000" w:themeColor="text1"/>
        </w:rPr>
        <w:t>D</w:t>
      </w:r>
      <w:r w:rsidRPr="00EA3458">
        <w:rPr>
          <w:rFonts w:eastAsia="Calibri" w:cs="Calibri"/>
          <w:color w:val="000000" w:themeColor="text1"/>
        </w:rPr>
        <w:t>T consumers are too complex to address; previous behaviour of O</w:t>
      </w:r>
      <w:r w:rsidR="00454721">
        <w:rPr>
          <w:rFonts w:eastAsia="Calibri" w:cs="Calibri"/>
          <w:color w:val="000000" w:themeColor="text1"/>
        </w:rPr>
        <w:t>D</w:t>
      </w:r>
      <w:r w:rsidRPr="00EA3458">
        <w:rPr>
          <w:rFonts w:eastAsia="Calibri" w:cs="Calibri"/>
          <w:color w:val="000000" w:themeColor="text1"/>
        </w:rPr>
        <w:t xml:space="preserve">T </w:t>
      </w:r>
      <w:r w:rsidR="00441126" w:rsidRPr="00EA3458">
        <w:t>consumer</w:t>
      </w:r>
      <w:r w:rsidR="00D111AE">
        <w:t>s</w:t>
      </w:r>
      <w:r w:rsidRPr="00EA3458">
        <w:rPr>
          <w:rFonts w:eastAsia="Calibri" w:cs="Calibri"/>
          <w:color w:val="000000" w:themeColor="text1"/>
        </w:rPr>
        <w:t xml:space="preserve"> and the potential for the risk of violence; a lack of education and training surrounding drug use and treatment and lack of fellow prescribers with whom to ask advice and support.</w:t>
      </w:r>
    </w:p>
    <w:p w14:paraId="3F27561F" w14:textId="7B7658B7" w:rsidR="00A31695" w:rsidRPr="00EA3458" w:rsidRDefault="00A31695" w:rsidP="007E3DC8">
      <w:pPr>
        <w:pStyle w:val="Heading4"/>
        <w:numPr>
          <w:ilvl w:val="2"/>
          <w:numId w:val="45"/>
        </w:numPr>
        <w:rPr>
          <w:rFonts w:eastAsia="Calibri"/>
        </w:rPr>
      </w:pPr>
      <w:r w:rsidRPr="00EA3458">
        <w:rPr>
          <w:rFonts w:eastAsia="Calibri"/>
        </w:rPr>
        <w:t>Pharmacists dispensing O</w:t>
      </w:r>
      <w:r w:rsidR="00454721">
        <w:rPr>
          <w:rFonts w:eastAsia="Calibri"/>
        </w:rPr>
        <w:t>D</w:t>
      </w:r>
      <w:r w:rsidRPr="00EA3458">
        <w:rPr>
          <w:rFonts w:eastAsia="Calibri"/>
        </w:rPr>
        <w:t>T medicines</w:t>
      </w:r>
    </w:p>
    <w:p w14:paraId="631FAF03" w14:textId="6EB616CF" w:rsidR="00A31695" w:rsidRPr="00EA3458" w:rsidRDefault="00A31695" w:rsidP="00B54030">
      <w:pPr>
        <w:spacing w:line="276" w:lineRule="auto"/>
      </w:pPr>
      <w:r w:rsidRPr="00EA3458">
        <w:t>There were seven papers identified in the qualitative review describing the facilitators and barriers experienced by O</w:t>
      </w:r>
      <w:r w:rsidR="00454721">
        <w:t>D</w:t>
      </w:r>
      <w:r w:rsidRPr="00EA3458">
        <w:t xml:space="preserve">T dispensing pharmacists. Four papers were from Australia, two of which were from the perspective of rural pharmacists, one from Scotland, one from Canada and one from England. </w:t>
      </w:r>
    </w:p>
    <w:p w14:paraId="5189F86E" w14:textId="446EBEDB" w:rsidR="00A31695" w:rsidRPr="00EA3458" w:rsidRDefault="00A31695">
      <w:pPr>
        <w:spacing w:line="276" w:lineRule="auto"/>
      </w:pPr>
      <w:r w:rsidRPr="00EA3458">
        <w:t>Facilitators for dispensing O</w:t>
      </w:r>
      <w:r w:rsidR="00454721">
        <w:t>D</w:t>
      </w:r>
      <w:r w:rsidRPr="00EA3458">
        <w:t>T</w:t>
      </w:r>
      <w:r w:rsidR="00454721">
        <w:t xml:space="preserve"> medicines</w:t>
      </w:r>
      <w:r w:rsidRPr="00EA3458">
        <w:t xml:space="preserve"> can be grouped into four categories – financial incentives to increase the uptake of O</w:t>
      </w:r>
      <w:r w:rsidR="00454721">
        <w:t>D</w:t>
      </w:r>
      <w:r w:rsidRPr="00EA3458">
        <w:t>T</w:t>
      </w:r>
      <w:r w:rsidR="00454721">
        <w:t xml:space="preserve"> medication</w:t>
      </w:r>
      <w:r w:rsidRPr="00EA3458">
        <w:t xml:space="preserve"> dispensing sites; distribution of the workload by more pharmacies, and other sites such as hospitals, dispensing O</w:t>
      </w:r>
      <w:r w:rsidR="00454721">
        <w:t>D</w:t>
      </w:r>
      <w:r w:rsidRPr="00EA3458">
        <w:t>T</w:t>
      </w:r>
      <w:r w:rsidR="00454721">
        <w:t xml:space="preserve"> medicines</w:t>
      </w:r>
      <w:r w:rsidRPr="00EA3458">
        <w:t xml:space="preserve">; constant contact with </w:t>
      </w:r>
      <w:r w:rsidR="00441126" w:rsidRPr="00EA3458">
        <w:t>consumer</w:t>
      </w:r>
      <w:r w:rsidRPr="00EA3458">
        <w:t xml:space="preserve">s </w:t>
      </w:r>
      <w:r w:rsidR="00454721">
        <w:t xml:space="preserve">receiving ODT medicines </w:t>
      </w:r>
      <w:r w:rsidRPr="00EA3458">
        <w:t>allowing pharmacists to be better able to monitor their progress; and viewing O</w:t>
      </w:r>
      <w:r w:rsidR="00454721">
        <w:t>D</w:t>
      </w:r>
      <w:r w:rsidRPr="00EA3458">
        <w:t>T</w:t>
      </w:r>
      <w:r w:rsidR="00454721">
        <w:t xml:space="preserve"> medication</w:t>
      </w:r>
      <w:r w:rsidRPr="00EA3458">
        <w:t xml:space="preserve"> as a service to the community by providing harm reduction methods. </w:t>
      </w:r>
    </w:p>
    <w:p w14:paraId="75CC52B5" w14:textId="5F58EF9A" w:rsidR="00632DDD" w:rsidRDefault="00A31695" w:rsidP="00D22240">
      <w:pPr>
        <w:rPr>
          <w:rFonts w:asciiTheme="majorHAnsi" w:eastAsiaTheme="majorEastAsia" w:hAnsiTheme="majorHAnsi" w:cstheme="majorBidi"/>
          <w:i/>
          <w:iCs/>
          <w:color w:val="2F5496" w:themeColor="accent1" w:themeShade="BF"/>
        </w:rPr>
      </w:pPr>
      <w:r w:rsidRPr="00EA3458">
        <w:t>Barriers can be grouped into five categories – inadequate financial remuneration or ability to recoup dispensing fees and associated costs with dispensing; stigma toward O</w:t>
      </w:r>
      <w:r w:rsidR="00454721">
        <w:t>D</w:t>
      </w:r>
      <w:r w:rsidRPr="00EA3458">
        <w:t>T consumers and concerns about O</w:t>
      </w:r>
      <w:r w:rsidR="00454721">
        <w:t>D</w:t>
      </w:r>
      <w:r w:rsidRPr="00EA3458">
        <w:t>T provision deterring non-O</w:t>
      </w:r>
      <w:r w:rsidR="00454721">
        <w:t>D</w:t>
      </w:r>
      <w:r w:rsidRPr="00EA3458">
        <w:t xml:space="preserve">T </w:t>
      </w:r>
      <w:r w:rsidR="00441126" w:rsidRPr="00EA3458">
        <w:t>consumer</w:t>
      </w:r>
      <w:r w:rsidR="00D111AE">
        <w:t>s</w:t>
      </w:r>
      <w:r w:rsidRPr="00EA3458">
        <w:t>; lack of knowledge and training on O</w:t>
      </w:r>
      <w:r w:rsidR="00454721">
        <w:t>D</w:t>
      </w:r>
      <w:r w:rsidRPr="00EA3458">
        <w:t>T</w:t>
      </w:r>
      <w:r w:rsidR="00454721">
        <w:t xml:space="preserve"> medication</w:t>
      </w:r>
      <w:r w:rsidRPr="00EA3458">
        <w:t xml:space="preserve"> programs; managing the difficult behaviour of consumers; and time commitment and workload associated with dispensing O</w:t>
      </w:r>
      <w:r w:rsidR="00454721">
        <w:t>D</w:t>
      </w:r>
      <w:r w:rsidRPr="00EA3458">
        <w:t>T</w:t>
      </w:r>
      <w:r w:rsidR="00454721">
        <w:t xml:space="preserve"> medicines</w:t>
      </w:r>
      <w:r w:rsidRPr="00EA3458">
        <w:t xml:space="preserve"> that can detract from other pharmacy work.</w:t>
      </w:r>
      <w:r w:rsidR="00D22240">
        <w:t xml:space="preserve"> </w:t>
      </w:r>
      <w:r w:rsidR="00632DDD">
        <w:br w:type="page"/>
      </w:r>
    </w:p>
    <w:p w14:paraId="39EB56FD" w14:textId="48548EC9" w:rsidR="00A31695" w:rsidRPr="00EA3458" w:rsidRDefault="00A31695" w:rsidP="007E3DC8">
      <w:pPr>
        <w:pStyle w:val="Heading4"/>
        <w:numPr>
          <w:ilvl w:val="2"/>
          <w:numId w:val="45"/>
        </w:numPr>
      </w:pPr>
      <w:r w:rsidRPr="00EA3458">
        <w:lastRenderedPageBreak/>
        <w:t>O</w:t>
      </w:r>
      <w:r w:rsidR="0046420B">
        <w:t>D</w:t>
      </w:r>
      <w:r w:rsidRPr="00EA3458">
        <w:t>T</w:t>
      </w:r>
      <w:r w:rsidR="0046420B">
        <w:t xml:space="preserve"> medicines</w:t>
      </w:r>
      <w:r w:rsidRPr="00EA3458">
        <w:t xml:space="preserve"> in rural settings</w:t>
      </w:r>
    </w:p>
    <w:p w14:paraId="5077E41E" w14:textId="3DAEFF85" w:rsidR="00E272A9" w:rsidRPr="00EA3458" w:rsidRDefault="00E272A9" w:rsidP="00F22F00">
      <w:bookmarkStart w:id="390" w:name="_Toc99542092"/>
      <w:r w:rsidRPr="00EA3458">
        <w:t xml:space="preserve">The </w:t>
      </w:r>
      <w:r w:rsidR="00843009">
        <w:t>TOR</w:t>
      </w:r>
      <w:r w:rsidRPr="00EA3458">
        <w:t xml:space="preserve"> specifically highlighted </w:t>
      </w:r>
      <w:r w:rsidR="00EF68D7" w:rsidRPr="00EA3458">
        <w:t xml:space="preserve">geographical barriers to access which have been specifically </w:t>
      </w:r>
      <w:r w:rsidR="00FF31B2">
        <w:t>considered</w:t>
      </w:r>
      <w:r w:rsidR="00EF68D7" w:rsidRPr="00EA3458">
        <w:t xml:space="preserve"> below. </w:t>
      </w:r>
    </w:p>
    <w:p w14:paraId="1474FD8E" w14:textId="06034FC2" w:rsidR="00A31695" w:rsidRPr="00EA3458" w:rsidRDefault="00A31695" w:rsidP="00F22F00">
      <w:pPr>
        <w:pStyle w:val="Tables"/>
        <w:spacing w:after="120"/>
      </w:pPr>
      <w:bookmarkStart w:id="391" w:name="_Toc120183442"/>
      <w:bookmarkStart w:id="392" w:name="_Toc132823430"/>
      <w:r w:rsidRPr="00EA3458">
        <w:t xml:space="preserve">Table </w:t>
      </w:r>
      <w:r w:rsidR="00253486">
        <w:t>10</w:t>
      </w:r>
      <w:r w:rsidRPr="00EA3458">
        <w:t>. Barriers and facilitators to O</w:t>
      </w:r>
      <w:r w:rsidR="0046420B">
        <w:t>D</w:t>
      </w:r>
      <w:r w:rsidRPr="00EA3458">
        <w:t>T</w:t>
      </w:r>
      <w:r w:rsidR="0046420B">
        <w:t xml:space="preserve"> medicines</w:t>
      </w:r>
      <w:r w:rsidRPr="00EA3458">
        <w:t xml:space="preserve"> for rural and remote communities</w:t>
      </w:r>
      <w:bookmarkEnd w:id="390"/>
      <w:bookmarkEnd w:id="391"/>
      <w:bookmarkEnd w:id="392"/>
    </w:p>
    <w:tbl>
      <w:tblPr>
        <w:tblStyle w:val="TableGrid"/>
        <w:tblW w:w="893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3626"/>
        <w:gridCol w:w="3955"/>
      </w:tblGrid>
      <w:tr w:rsidR="00A31695" w:rsidRPr="00EA3458" w14:paraId="0C5FDFCA" w14:textId="77777777" w:rsidTr="00CE03C3">
        <w:tc>
          <w:tcPr>
            <w:tcW w:w="13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672FFBA9" w14:textId="77777777" w:rsidR="00A31695" w:rsidRPr="007A01A8" w:rsidRDefault="00A31695" w:rsidP="004139FC">
            <w:pPr>
              <w:rPr>
                <w:color w:val="2F5496" w:themeColor="accent1" w:themeShade="BF"/>
                <w:sz w:val="20"/>
                <w:szCs w:val="20"/>
              </w:rPr>
            </w:pPr>
            <w:r w:rsidRPr="007A01A8">
              <w:rPr>
                <w:b/>
                <w:sz w:val="20"/>
                <w:szCs w:val="20"/>
              </w:rPr>
              <w:t>Perspective</w:t>
            </w:r>
          </w:p>
        </w:tc>
        <w:tc>
          <w:tcPr>
            <w:tcW w:w="36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36D682BF" w14:textId="77777777" w:rsidR="00A31695" w:rsidRPr="007A01A8" w:rsidRDefault="00A31695" w:rsidP="004139FC">
            <w:pPr>
              <w:rPr>
                <w:color w:val="2F5496" w:themeColor="accent1" w:themeShade="BF"/>
                <w:sz w:val="20"/>
                <w:szCs w:val="20"/>
              </w:rPr>
            </w:pPr>
            <w:r w:rsidRPr="007A01A8">
              <w:rPr>
                <w:b/>
                <w:sz w:val="20"/>
                <w:szCs w:val="20"/>
              </w:rPr>
              <w:t>Facilitators to treatment</w:t>
            </w:r>
          </w:p>
        </w:tc>
        <w:tc>
          <w:tcPr>
            <w:tcW w:w="395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5E62B8FE" w14:textId="77777777" w:rsidR="00A31695" w:rsidRPr="007A01A8" w:rsidRDefault="00A31695">
            <w:pPr>
              <w:rPr>
                <w:color w:val="2F5496" w:themeColor="accent1" w:themeShade="BF"/>
                <w:sz w:val="20"/>
                <w:szCs w:val="20"/>
              </w:rPr>
            </w:pPr>
            <w:r w:rsidRPr="007A01A8">
              <w:rPr>
                <w:b/>
                <w:sz w:val="20"/>
                <w:szCs w:val="20"/>
              </w:rPr>
              <w:t>Barriers to treatment</w:t>
            </w:r>
          </w:p>
        </w:tc>
      </w:tr>
      <w:tr w:rsidR="00A31695" w:rsidRPr="00EA3458" w14:paraId="30D7A87A" w14:textId="77777777" w:rsidTr="00CE03C3">
        <w:tc>
          <w:tcPr>
            <w:tcW w:w="1350" w:type="dxa"/>
            <w:tcBorders>
              <w:top w:val="single" w:sz="4" w:space="0" w:color="7F7F7F" w:themeColor="text1" w:themeTint="80"/>
              <w:left w:val="single" w:sz="4" w:space="0" w:color="7F7F7F" w:themeColor="text1" w:themeTint="80"/>
              <w:bottom w:val="dotted" w:sz="4" w:space="0" w:color="auto"/>
              <w:right w:val="single" w:sz="4" w:space="0" w:color="7F7F7F" w:themeColor="text1" w:themeTint="80"/>
            </w:tcBorders>
          </w:tcPr>
          <w:p w14:paraId="5518F0FE" w14:textId="77777777" w:rsidR="00A31695" w:rsidRPr="00FF31B2" w:rsidRDefault="00A31695" w:rsidP="00FF31B2">
            <w:pPr>
              <w:spacing w:after="0" w:line="240" w:lineRule="auto"/>
              <w:jc w:val="left"/>
              <w:rPr>
                <w:sz w:val="20"/>
                <w:szCs w:val="20"/>
              </w:rPr>
            </w:pPr>
            <w:r w:rsidRPr="00FF31B2">
              <w:rPr>
                <w:sz w:val="20"/>
                <w:szCs w:val="20"/>
              </w:rPr>
              <w:t>People with opioid use disorder</w:t>
            </w:r>
          </w:p>
        </w:tc>
        <w:tc>
          <w:tcPr>
            <w:tcW w:w="3626" w:type="dxa"/>
            <w:tcBorders>
              <w:top w:val="single" w:sz="4" w:space="0" w:color="7F7F7F" w:themeColor="text1" w:themeTint="80"/>
              <w:left w:val="single" w:sz="4" w:space="0" w:color="7F7F7F" w:themeColor="text1" w:themeTint="80"/>
              <w:bottom w:val="dotted" w:sz="4" w:space="0" w:color="auto"/>
              <w:right w:val="single" w:sz="4" w:space="0" w:color="7F7F7F" w:themeColor="text1" w:themeTint="80"/>
            </w:tcBorders>
          </w:tcPr>
          <w:p w14:paraId="38E22B59" w14:textId="77777777" w:rsidR="00A31695" w:rsidRPr="007A01A8" w:rsidRDefault="00A31695" w:rsidP="007E3DC8">
            <w:pPr>
              <w:pStyle w:val="ListParagraph"/>
              <w:numPr>
                <w:ilvl w:val="0"/>
                <w:numId w:val="14"/>
              </w:numPr>
              <w:spacing w:after="0" w:line="240" w:lineRule="auto"/>
              <w:jc w:val="left"/>
              <w:rPr>
                <w:sz w:val="20"/>
                <w:szCs w:val="20"/>
              </w:rPr>
            </w:pPr>
            <w:r w:rsidRPr="007A01A8">
              <w:rPr>
                <w:sz w:val="20"/>
                <w:szCs w:val="20"/>
              </w:rPr>
              <w:t>The establishment of private dosing areas to reduce the chances of identification and stigma from members of the community</w:t>
            </w:r>
          </w:p>
          <w:p w14:paraId="57A5BE76" w14:textId="77777777" w:rsidR="00A31695" w:rsidRPr="007A01A8" w:rsidRDefault="00A31695" w:rsidP="007E3DC8">
            <w:pPr>
              <w:pStyle w:val="ListParagraph"/>
              <w:numPr>
                <w:ilvl w:val="0"/>
                <w:numId w:val="14"/>
              </w:numPr>
              <w:spacing w:after="0" w:line="240" w:lineRule="auto"/>
              <w:jc w:val="left"/>
              <w:rPr>
                <w:sz w:val="20"/>
                <w:szCs w:val="20"/>
              </w:rPr>
            </w:pPr>
            <w:r w:rsidRPr="007A01A8">
              <w:rPr>
                <w:sz w:val="20"/>
                <w:szCs w:val="20"/>
              </w:rPr>
              <w:t>Takeaway dosing to enable travel and reduce the amount of time and money spent collecting medicine</w:t>
            </w:r>
          </w:p>
          <w:p w14:paraId="0C889980" w14:textId="77777777" w:rsidR="00A31695" w:rsidRPr="007A01A8" w:rsidRDefault="00A31695" w:rsidP="00681AF4">
            <w:pPr>
              <w:pStyle w:val="ListParagraph"/>
              <w:spacing w:after="0" w:line="240" w:lineRule="auto"/>
              <w:ind w:left="360"/>
              <w:jc w:val="left"/>
              <w:rPr>
                <w:sz w:val="20"/>
                <w:szCs w:val="20"/>
              </w:rPr>
            </w:pPr>
          </w:p>
        </w:tc>
        <w:tc>
          <w:tcPr>
            <w:tcW w:w="3955" w:type="dxa"/>
            <w:tcBorders>
              <w:top w:val="single" w:sz="4" w:space="0" w:color="7F7F7F" w:themeColor="text1" w:themeTint="80"/>
              <w:left w:val="single" w:sz="4" w:space="0" w:color="7F7F7F" w:themeColor="text1" w:themeTint="80"/>
              <w:bottom w:val="dotted" w:sz="4" w:space="0" w:color="auto"/>
              <w:right w:val="single" w:sz="4" w:space="0" w:color="7F7F7F" w:themeColor="text1" w:themeTint="80"/>
            </w:tcBorders>
          </w:tcPr>
          <w:p w14:paraId="6F7574CD" w14:textId="4637A972" w:rsidR="00A31695" w:rsidRPr="007A01A8" w:rsidRDefault="00A31695" w:rsidP="007E3DC8">
            <w:pPr>
              <w:pStyle w:val="ListParagraph"/>
              <w:numPr>
                <w:ilvl w:val="0"/>
                <w:numId w:val="14"/>
              </w:numPr>
              <w:spacing w:after="0" w:line="240" w:lineRule="auto"/>
              <w:jc w:val="left"/>
              <w:rPr>
                <w:sz w:val="20"/>
                <w:szCs w:val="20"/>
              </w:rPr>
            </w:pPr>
            <w:r w:rsidRPr="007A01A8">
              <w:rPr>
                <w:sz w:val="20"/>
                <w:szCs w:val="20"/>
              </w:rPr>
              <w:t>A lack of privacy in the dosing process, leading to fears of being identified and stigmatised as an O</w:t>
            </w:r>
            <w:r w:rsidR="0046420B">
              <w:rPr>
                <w:sz w:val="20"/>
                <w:szCs w:val="20"/>
              </w:rPr>
              <w:t>D</w:t>
            </w:r>
            <w:r w:rsidRPr="007A01A8">
              <w:rPr>
                <w:sz w:val="20"/>
                <w:szCs w:val="20"/>
              </w:rPr>
              <w:t xml:space="preserve">T </w:t>
            </w:r>
            <w:r w:rsidR="00441126" w:rsidRPr="007A01A8">
              <w:rPr>
                <w:sz w:val="20"/>
                <w:szCs w:val="20"/>
              </w:rPr>
              <w:t>consumer</w:t>
            </w:r>
            <w:r w:rsidRPr="007A01A8">
              <w:rPr>
                <w:sz w:val="20"/>
                <w:szCs w:val="20"/>
              </w:rPr>
              <w:t xml:space="preserve"> by those in the community</w:t>
            </w:r>
          </w:p>
          <w:p w14:paraId="080ECA3F" w14:textId="77777777" w:rsidR="00A31695" w:rsidRPr="007A01A8" w:rsidRDefault="00A31695" w:rsidP="007E3DC8">
            <w:pPr>
              <w:pStyle w:val="ListParagraph"/>
              <w:numPr>
                <w:ilvl w:val="0"/>
                <w:numId w:val="14"/>
              </w:numPr>
              <w:spacing w:after="0" w:line="240" w:lineRule="auto"/>
              <w:jc w:val="left"/>
              <w:rPr>
                <w:sz w:val="20"/>
                <w:szCs w:val="20"/>
              </w:rPr>
            </w:pPr>
            <w:r w:rsidRPr="007A01A8">
              <w:rPr>
                <w:sz w:val="20"/>
                <w:szCs w:val="20"/>
              </w:rPr>
              <w:t xml:space="preserve">Daily dosing as a requirement that restricts the freedom to travel to other areas for employment or holiday </w:t>
            </w:r>
          </w:p>
          <w:p w14:paraId="3A718A69" w14:textId="77777777" w:rsidR="00A31695" w:rsidRPr="007A01A8" w:rsidRDefault="00A31695" w:rsidP="007E3DC8">
            <w:pPr>
              <w:pStyle w:val="ListParagraph"/>
              <w:numPr>
                <w:ilvl w:val="0"/>
                <w:numId w:val="14"/>
              </w:numPr>
              <w:spacing w:after="0" w:line="240" w:lineRule="auto"/>
              <w:jc w:val="left"/>
              <w:rPr>
                <w:sz w:val="20"/>
                <w:szCs w:val="20"/>
              </w:rPr>
            </w:pPr>
            <w:r w:rsidRPr="007A01A8">
              <w:rPr>
                <w:sz w:val="20"/>
                <w:szCs w:val="20"/>
              </w:rPr>
              <w:t>The time or financial cost associated with travelling to treatment</w:t>
            </w:r>
          </w:p>
        </w:tc>
      </w:tr>
      <w:tr w:rsidR="00A31695" w:rsidRPr="00EA3458" w14:paraId="771400FF" w14:textId="77777777" w:rsidTr="00CE03C3">
        <w:trPr>
          <w:trHeight w:val="2487"/>
        </w:trPr>
        <w:tc>
          <w:tcPr>
            <w:tcW w:w="1350" w:type="dxa"/>
            <w:tcBorders>
              <w:top w:val="dotted" w:sz="4" w:space="0" w:color="auto"/>
              <w:left w:val="single" w:sz="4" w:space="0" w:color="7F7F7F" w:themeColor="text1" w:themeTint="80"/>
              <w:bottom w:val="single" w:sz="4" w:space="0" w:color="7F7F7F" w:themeColor="text1" w:themeTint="80"/>
              <w:right w:val="single" w:sz="4" w:space="0" w:color="7F7F7F" w:themeColor="text1" w:themeTint="80"/>
            </w:tcBorders>
          </w:tcPr>
          <w:p w14:paraId="5C670AFD" w14:textId="77777777" w:rsidR="00A31695" w:rsidRPr="00FF31B2" w:rsidRDefault="00A31695" w:rsidP="00FF31B2">
            <w:pPr>
              <w:spacing w:after="0" w:line="240" w:lineRule="auto"/>
              <w:jc w:val="left"/>
              <w:rPr>
                <w:sz w:val="20"/>
                <w:szCs w:val="20"/>
              </w:rPr>
            </w:pPr>
            <w:r w:rsidRPr="00FF31B2">
              <w:rPr>
                <w:sz w:val="20"/>
                <w:szCs w:val="20"/>
              </w:rPr>
              <w:t>Dispensing pharmacists</w:t>
            </w:r>
          </w:p>
        </w:tc>
        <w:tc>
          <w:tcPr>
            <w:tcW w:w="3626" w:type="dxa"/>
            <w:tcBorders>
              <w:top w:val="dotted" w:sz="4" w:space="0" w:color="auto"/>
              <w:left w:val="single" w:sz="4" w:space="0" w:color="7F7F7F" w:themeColor="text1" w:themeTint="80"/>
              <w:bottom w:val="single" w:sz="4" w:space="0" w:color="7F7F7F" w:themeColor="text1" w:themeTint="80"/>
              <w:right w:val="single" w:sz="4" w:space="0" w:color="7F7F7F" w:themeColor="text1" w:themeTint="80"/>
            </w:tcBorders>
          </w:tcPr>
          <w:p w14:paraId="781D6E5D" w14:textId="00C1F4FA" w:rsidR="00A31695" w:rsidRPr="007A01A8" w:rsidRDefault="00A31695" w:rsidP="007E3DC8">
            <w:pPr>
              <w:pStyle w:val="ListParagraph"/>
              <w:numPr>
                <w:ilvl w:val="0"/>
                <w:numId w:val="14"/>
              </w:numPr>
              <w:spacing w:after="0" w:line="240" w:lineRule="auto"/>
              <w:jc w:val="left"/>
              <w:rPr>
                <w:sz w:val="20"/>
                <w:szCs w:val="20"/>
              </w:rPr>
            </w:pPr>
            <w:r w:rsidRPr="007A01A8">
              <w:rPr>
                <w:sz w:val="20"/>
                <w:szCs w:val="20"/>
              </w:rPr>
              <w:t>Additional dosing sites to share the O</w:t>
            </w:r>
            <w:r w:rsidR="0046420B">
              <w:rPr>
                <w:sz w:val="20"/>
                <w:szCs w:val="20"/>
              </w:rPr>
              <w:t>D</w:t>
            </w:r>
            <w:r w:rsidRPr="007A01A8">
              <w:rPr>
                <w:sz w:val="20"/>
                <w:szCs w:val="20"/>
              </w:rPr>
              <w:t>T</w:t>
            </w:r>
            <w:r w:rsidR="0046420B">
              <w:rPr>
                <w:sz w:val="20"/>
                <w:szCs w:val="20"/>
              </w:rPr>
              <w:t xml:space="preserve"> medicine</w:t>
            </w:r>
            <w:r w:rsidRPr="007A01A8">
              <w:rPr>
                <w:sz w:val="20"/>
                <w:szCs w:val="20"/>
              </w:rPr>
              <w:t xml:space="preserve"> dispensing workload in rural areas more evenly</w:t>
            </w:r>
          </w:p>
          <w:p w14:paraId="1C1FD98D" w14:textId="13FAE174" w:rsidR="00A31695" w:rsidRPr="007A01A8" w:rsidRDefault="00A31695" w:rsidP="007E3DC8">
            <w:pPr>
              <w:pStyle w:val="ListParagraph"/>
              <w:numPr>
                <w:ilvl w:val="0"/>
                <w:numId w:val="14"/>
              </w:numPr>
              <w:spacing w:after="0" w:line="240" w:lineRule="auto"/>
              <w:jc w:val="left"/>
              <w:rPr>
                <w:sz w:val="20"/>
                <w:szCs w:val="20"/>
              </w:rPr>
            </w:pPr>
            <w:r w:rsidRPr="007A01A8">
              <w:rPr>
                <w:sz w:val="20"/>
                <w:szCs w:val="20"/>
              </w:rPr>
              <w:t>The perception that as the only pharmacist in the area, dispensers have no choice but to provide O</w:t>
            </w:r>
            <w:r w:rsidR="0046420B">
              <w:rPr>
                <w:sz w:val="20"/>
                <w:szCs w:val="20"/>
              </w:rPr>
              <w:t>D</w:t>
            </w:r>
            <w:r w:rsidRPr="007A01A8">
              <w:rPr>
                <w:sz w:val="20"/>
                <w:szCs w:val="20"/>
              </w:rPr>
              <w:t>T</w:t>
            </w:r>
            <w:r w:rsidR="0046420B">
              <w:rPr>
                <w:sz w:val="20"/>
                <w:szCs w:val="20"/>
              </w:rPr>
              <w:t xml:space="preserve"> medicines</w:t>
            </w:r>
          </w:p>
          <w:p w14:paraId="0CE9C221" w14:textId="77777777" w:rsidR="00A31695" w:rsidRPr="007A01A8" w:rsidRDefault="00A31695" w:rsidP="007E3DC8">
            <w:pPr>
              <w:pStyle w:val="ListParagraph"/>
              <w:numPr>
                <w:ilvl w:val="0"/>
                <w:numId w:val="14"/>
              </w:numPr>
              <w:spacing w:after="0" w:line="240" w:lineRule="auto"/>
              <w:jc w:val="left"/>
              <w:rPr>
                <w:sz w:val="20"/>
                <w:szCs w:val="20"/>
              </w:rPr>
            </w:pPr>
            <w:r w:rsidRPr="007A01A8">
              <w:rPr>
                <w:sz w:val="20"/>
                <w:szCs w:val="20"/>
              </w:rPr>
              <w:t>A sense of contributing to the community through harm reduction</w:t>
            </w:r>
          </w:p>
        </w:tc>
        <w:tc>
          <w:tcPr>
            <w:tcW w:w="3955" w:type="dxa"/>
            <w:tcBorders>
              <w:top w:val="dotted" w:sz="4" w:space="0" w:color="auto"/>
              <w:left w:val="single" w:sz="4" w:space="0" w:color="7F7F7F" w:themeColor="text1" w:themeTint="80"/>
              <w:bottom w:val="single" w:sz="4" w:space="0" w:color="7F7F7F" w:themeColor="text1" w:themeTint="80"/>
              <w:right w:val="single" w:sz="4" w:space="0" w:color="7F7F7F" w:themeColor="text1" w:themeTint="80"/>
            </w:tcBorders>
          </w:tcPr>
          <w:p w14:paraId="7EC91F89" w14:textId="345C90A5" w:rsidR="00A31695" w:rsidRPr="007A01A8" w:rsidRDefault="00A31695" w:rsidP="007E3DC8">
            <w:pPr>
              <w:pStyle w:val="ListParagraph"/>
              <w:numPr>
                <w:ilvl w:val="0"/>
                <w:numId w:val="14"/>
              </w:numPr>
              <w:spacing w:after="0" w:line="240" w:lineRule="auto"/>
              <w:jc w:val="left"/>
              <w:rPr>
                <w:sz w:val="20"/>
                <w:szCs w:val="20"/>
              </w:rPr>
            </w:pPr>
            <w:r w:rsidRPr="007A01A8">
              <w:rPr>
                <w:sz w:val="20"/>
                <w:szCs w:val="20"/>
              </w:rPr>
              <w:t>Difficulty finding staff trained in O</w:t>
            </w:r>
            <w:r w:rsidR="0046420B">
              <w:rPr>
                <w:sz w:val="20"/>
                <w:szCs w:val="20"/>
              </w:rPr>
              <w:t>D</w:t>
            </w:r>
            <w:r w:rsidRPr="007A01A8">
              <w:rPr>
                <w:sz w:val="20"/>
                <w:szCs w:val="20"/>
              </w:rPr>
              <w:t>T to assist with the increased workload that is borne by pharmacists providing the treatment</w:t>
            </w:r>
          </w:p>
          <w:p w14:paraId="04CBC9C7" w14:textId="3692032E" w:rsidR="00A31695" w:rsidRPr="007A01A8" w:rsidRDefault="00A31695" w:rsidP="007E3DC8">
            <w:pPr>
              <w:pStyle w:val="ListParagraph"/>
              <w:numPr>
                <w:ilvl w:val="0"/>
                <w:numId w:val="14"/>
              </w:numPr>
              <w:spacing w:after="0" w:line="240" w:lineRule="auto"/>
              <w:jc w:val="left"/>
              <w:rPr>
                <w:sz w:val="20"/>
                <w:szCs w:val="20"/>
              </w:rPr>
            </w:pPr>
            <w:r w:rsidRPr="007A01A8">
              <w:rPr>
                <w:sz w:val="20"/>
                <w:szCs w:val="20"/>
              </w:rPr>
              <w:t>A lack of allied health service availability due to remoteness and a subsequent lack of holistic support for O</w:t>
            </w:r>
            <w:r w:rsidR="0046420B">
              <w:rPr>
                <w:sz w:val="20"/>
                <w:szCs w:val="20"/>
              </w:rPr>
              <w:t>D</w:t>
            </w:r>
            <w:r w:rsidRPr="007A01A8">
              <w:rPr>
                <w:sz w:val="20"/>
                <w:szCs w:val="20"/>
              </w:rPr>
              <w:t xml:space="preserve">T </w:t>
            </w:r>
            <w:r w:rsidR="00441126" w:rsidRPr="007A01A8">
              <w:rPr>
                <w:sz w:val="20"/>
                <w:szCs w:val="20"/>
              </w:rPr>
              <w:t>consumer</w:t>
            </w:r>
            <w:r w:rsidRPr="007A01A8">
              <w:rPr>
                <w:sz w:val="20"/>
                <w:szCs w:val="20"/>
              </w:rPr>
              <w:t>s</w:t>
            </w:r>
          </w:p>
          <w:p w14:paraId="19088647" w14:textId="77777777" w:rsidR="00A31695" w:rsidRPr="007A01A8" w:rsidRDefault="00A31695" w:rsidP="007E3DC8">
            <w:pPr>
              <w:pStyle w:val="ListParagraph"/>
              <w:numPr>
                <w:ilvl w:val="0"/>
                <w:numId w:val="14"/>
              </w:numPr>
              <w:spacing w:after="0" w:line="240" w:lineRule="auto"/>
              <w:jc w:val="left"/>
              <w:rPr>
                <w:sz w:val="20"/>
                <w:szCs w:val="20"/>
              </w:rPr>
            </w:pPr>
            <w:r w:rsidRPr="007A01A8">
              <w:rPr>
                <w:sz w:val="20"/>
                <w:szCs w:val="20"/>
              </w:rPr>
              <w:t>Additional freight fees for the delivery of medication to some rural areas</w:t>
            </w:r>
          </w:p>
        </w:tc>
      </w:tr>
    </w:tbl>
    <w:p w14:paraId="5577211C" w14:textId="77777777" w:rsidR="00A31695" w:rsidRPr="00EA3458" w:rsidRDefault="00A31695" w:rsidP="00DA0E77"/>
    <w:p w14:paraId="563E0D5B" w14:textId="77777777" w:rsidR="00A31695" w:rsidRPr="00EA3458" w:rsidRDefault="00A31695" w:rsidP="00F22F00">
      <w:pPr>
        <w:pStyle w:val="Heading5"/>
      </w:pPr>
      <w:r w:rsidRPr="00EA3458">
        <w:t>People who are opioid dependent</w:t>
      </w:r>
    </w:p>
    <w:p w14:paraId="25934243" w14:textId="0109C5BF" w:rsidR="00A31695" w:rsidRPr="00EA3458" w:rsidRDefault="00A31695" w:rsidP="00F22F00">
      <w:r w:rsidRPr="00EA3458">
        <w:t xml:space="preserve">The literature review identified four studies that reported barriers and facilitators </w:t>
      </w:r>
      <w:r w:rsidR="0046420B">
        <w:t>for access to</w:t>
      </w:r>
      <w:r w:rsidRPr="00EA3458">
        <w:t xml:space="preserve"> O</w:t>
      </w:r>
      <w:r w:rsidR="0046420B">
        <w:t>D</w:t>
      </w:r>
      <w:r w:rsidRPr="00EA3458">
        <w:t xml:space="preserve">T </w:t>
      </w:r>
      <w:r w:rsidR="0046420B">
        <w:t xml:space="preserve">medicines </w:t>
      </w:r>
      <w:r w:rsidRPr="00EA3458">
        <w:t xml:space="preserve">for people who are opioid dependent in rural areas (Table </w:t>
      </w:r>
      <w:r w:rsidR="00253486">
        <w:t>10</w:t>
      </w:r>
      <w:r w:rsidRPr="00EA3458">
        <w:t>). Three studies were from Australia, and one was from England.</w:t>
      </w:r>
    </w:p>
    <w:p w14:paraId="1D61D4E4" w14:textId="548519EC" w:rsidR="00A31695" w:rsidRPr="00EA3458" w:rsidRDefault="00A31695" w:rsidP="00F22F00">
      <w:r w:rsidRPr="00EA3458">
        <w:t xml:space="preserve">The </w:t>
      </w:r>
      <w:r w:rsidR="00922B44" w:rsidRPr="00EA3458">
        <w:t>most reported</w:t>
      </w:r>
      <w:r w:rsidRPr="00EA3458">
        <w:t xml:space="preserve"> facilitators to treatment were the establishment of separate dosing areas in pharmacies to provide privacy, and takeaway dosing to remove the costly, time consuming and restrictive issues associated with daily medication collection.</w:t>
      </w:r>
    </w:p>
    <w:p w14:paraId="4D30EC6B" w14:textId="61D26578" w:rsidR="00A31695" w:rsidRPr="00EA3458" w:rsidRDefault="00A31695" w:rsidP="004139FC">
      <w:r w:rsidRPr="00EA3458">
        <w:t xml:space="preserve">Barriers to </w:t>
      </w:r>
      <w:r w:rsidR="0046420B">
        <w:t xml:space="preserve">accessing </w:t>
      </w:r>
      <w:r w:rsidRPr="00EA3458">
        <w:t>O</w:t>
      </w:r>
      <w:r w:rsidR="0046420B">
        <w:t>D</w:t>
      </w:r>
      <w:r w:rsidRPr="00EA3458">
        <w:t>T</w:t>
      </w:r>
      <w:r w:rsidR="0046420B">
        <w:t xml:space="preserve"> medicines</w:t>
      </w:r>
      <w:r w:rsidRPr="00EA3458">
        <w:t xml:space="preserve"> for consumers in rural settings included a lack of privacy in the dosing process which resulted in fears of being identified as someone who engages in O</w:t>
      </w:r>
      <w:r w:rsidR="0046420B">
        <w:t>D</w:t>
      </w:r>
      <w:r w:rsidRPr="00EA3458">
        <w:t xml:space="preserve">T. People with opioid dependence in rural areas considered the money and time spent travelling to treatment for the purposes of supervised dosing, in addition to the cost of treatment, as a barrier. Additionally, daily dosing regimens were reported as a barrier to treatment due to the restrictions they placed on </w:t>
      </w:r>
      <w:r w:rsidR="00441126" w:rsidRPr="00EA3458">
        <w:t>consumer</w:t>
      </w:r>
      <w:r w:rsidRPr="00EA3458">
        <w:t xml:space="preserve">s that wished to travel for work or holiday. </w:t>
      </w:r>
    </w:p>
    <w:p w14:paraId="68EAAA8C" w14:textId="77777777" w:rsidR="00A31695" w:rsidRPr="00EA3458" w:rsidRDefault="00A31695" w:rsidP="004139FC">
      <w:pPr>
        <w:pStyle w:val="Heading5"/>
      </w:pPr>
      <w:r w:rsidRPr="00EA3458">
        <w:t>Dispensing pharmacists</w:t>
      </w:r>
    </w:p>
    <w:p w14:paraId="0D9DA95C" w14:textId="47E7560E" w:rsidR="00A31695" w:rsidRPr="00EA3458" w:rsidRDefault="00A31695">
      <w:r w:rsidRPr="00EA3458">
        <w:t>The literature review identified four studies that reported barriers and facilitators to providing O</w:t>
      </w:r>
      <w:r w:rsidR="0046420B">
        <w:t>D</w:t>
      </w:r>
      <w:r w:rsidRPr="00EA3458">
        <w:t xml:space="preserve">T </w:t>
      </w:r>
      <w:r w:rsidR="0046420B">
        <w:t xml:space="preserve">medicines </w:t>
      </w:r>
      <w:r w:rsidRPr="00EA3458">
        <w:t>for dispensing pharmacists in rural areas. Three studies were from Australia, and one was from Canada.</w:t>
      </w:r>
    </w:p>
    <w:p w14:paraId="7476E27F" w14:textId="6A738DE4" w:rsidR="00A31695" w:rsidRPr="00EA3458" w:rsidRDefault="00A31695">
      <w:r w:rsidRPr="00EA3458">
        <w:t>A common barrier reported by rural pharmacists was the difficulty of finding staff trained in O</w:t>
      </w:r>
      <w:r w:rsidR="0046420B">
        <w:t>D</w:t>
      </w:r>
      <w:r w:rsidRPr="00EA3458">
        <w:t>T</w:t>
      </w:r>
      <w:r w:rsidR="0046420B">
        <w:t xml:space="preserve"> medicine provision</w:t>
      </w:r>
      <w:r w:rsidRPr="00EA3458">
        <w:t xml:space="preserve"> to assist with the increased workload that is borne by pharmacists </w:t>
      </w:r>
      <w:r w:rsidRPr="00EA3458">
        <w:lastRenderedPageBreak/>
        <w:t>providing the treatment. According to rural pharmacists, the remoteness of their communities also resulted in a lack of allied health and service availability, such that O</w:t>
      </w:r>
      <w:r w:rsidR="0046420B">
        <w:t>D</w:t>
      </w:r>
      <w:r w:rsidRPr="00EA3458">
        <w:t>T</w:t>
      </w:r>
      <w:r w:rsidR="0046420B">
        <w:t xml:space="preserve"> medicine</w:t>
      </w:r>
      <w:r w:rsidRPr="00EA3458">
        <w:t xml:space="preserve"> consumers were unable to access holistic support. Rural pharmacists also reported that the additional freight fees associated with the delivery of medication to some rural areas were a barrier to providing treatment.</w:t>
      </w:r>
    </w:p>
    <w:p w14:paraId="347F220E" w14:textId="4C767361" w:rsidR="00FF617F" w:rsidRPr="00EA3458" w:rsidRDefault="00A31695">
      <w:r w:rsidRPr="00EA3458">
        <w:t>Several studies reported that a facilitator to O</w:t>
      </w:r>
      <w:r w:rsidR="0046420B">
        <w:t>D</w:t>
      </w:r>
      <w:r w:rsidRPr="00EA3458">
        <w:t>T</w:t>
      </w:r>
      <w:r w:rsidR="0046420B">
        <w:t xml:space="preserve"> medicine service provision</w:t>
      </w:r>
      <w:r w:rsidRPr="00EA3458">
        <w:t xml:space="preserve"> for rural pharmacists was an increase in the amount of dosing sites, which allowed the workload of dispensing O</w:t>
      </w:r>
      <w:r w:rsidR="0046420B">
        <w:t>D</w:t>
      </w:r>
      <w:r w:rsidRPr="00EA3458">
        <w:t>T</w:t>
      </w:r>
      <w:r w:rsidR="0046420B">
        <w:t xml:space="preserve"> medicines</w:t>
      </w:r>
      <w:r w:rsidRPr="00EA3458">
        <w:t xml:space="preserve"> to be spread more evenly across the area. Some rural pharmacists reported that they provided O</w:t>
      </w:r>
      <w:r w:rsidR="0046420B">
        <w:t>D</w:t>
      </w:r>
      <w:r w:rsidRPr="00EA3458">
        <w:t>T</w:t>
      </w:r>
      <w:r w:rsidR="0046420B">
        <w:t xml:space="preserve"> medicines</w:t>
      </w:r>
      <w:r w:rsidRPr="00EA3458">
        <w:t xml:space="preserve"> because they believed that as the only pharmacist in the area, they had no choice. On the other hand, other rural pharmacists said a facilitator to O</w:t>
      </w:r>
      <w:r w:rsidR="0066335A">
        <w:t>D</w:t>
      </w:r>
      <w:r w:rsidRPr="00EA3458">
        <w:t>T</w:t>
      </w:r>
      <w:r w:rsidR="0066335A">
        <w:t xml:space="preserve"> medicine provision</w:t>
      </w:r>
      <w:r w:rsidRPr="00EA3458">
        <w:t xml:space="preserve"> was the feeling that they had contributed to harm reduction in the community.</w:t>
      </w:r>
    </w:p>
    <w:p w14:paraId="32BBEB17" w14:textId="77777777" w:rsidR="00FF617F" w:rsidRPr="00EA3458" w:rsidRDefault="00FF617F">
      <w:pPr>
        <w:spacing w:after="160" w:line="259" w:lineRule="auto"/>
      </w:pPr>
      <w:r w:rsidRPr="00EA3458">
        <w:br w:type="page"/>
      </w:r>
    </w:p>
    <w:p w14:paraId="5147930D" w14:textId="274DAEBB" w:rsidR="006F0DAE" w:rsidRPr="00EA3458" w:rsidRDefault="006F0DAE">
      <w:pPr>
        <w:pStyle w:val="Heading2"/>
      </w:pPr>
      <w:bookmarkStart w:id="393" w:name="_Toc163221174"/>
      <w:r w:rsidRPr="00EA3458">
        <w:lastRenderedPageBreak/>
        <w:t xml:space="preserve">Part </w:t>
      </w:r>
      <w:r w:rsidR="0031595C">
        <w:t>4</w:t>
      </w:r>
      <w:r w:rsidRPr="00EA3458">
        <w:t>: TOR 3: Medicine Utilisation</w:t>
      </w:r>
      <w:bookmarkEnd w:id="393"/>
    </w:p>
    <w:p w14:paraId="41E13E20" w14:textId="3E9B5B9C" w:rsidR="006F0DAE" w:rsidRPr="00EA3458" w:rsidRDefault="006F0DAE" w:rsidP="00B54030">
      <w:pPr>
        <w:pBdr>
          <w:top w:val="single" w:sz="4" w:space="1" w:color="auto"/>
          <w:left w:val="single" w:sz="4" w:space="4" w:color="auto"/>
          <w:bottom w:val="single" w:sz="4" w:space="1" w:color="auto"/>
          <w:right w:val="single" w:sz="4" w:space="4" w:color="auto"/>
        </w:pBdr>
        <w:shd w:val="clear" w:color="auto" w:fill="FFFFFF" w:themeFill="background1"/>
      </w:pPr>
      <w:r w:rsidRPr="00EA3458">
        <w:t>TOR 3: Explore the utilisation of PBS subsidised O</w:t>
      </w:r>
      <w:r w:rsidR="007D2196">
        <w:t>D</w:t>
      </w:r>
      <w:r w:rsidRPr="00EA3458">
        <w:t xml:space="preserve">T medicines in Australia, including funding, benefits (health system and societal) and costs incurred in the supply and dispensing of </w:t>
      </w:r>
      <w:r w:rsidR="00FF19DD">
        <w:t xml:space="preserve">ODTP </w:t>
      </w:r>
      <w:r w:rsidRPr="00EA3458">
        <w:t>medicines in pharmacy and non-pharmacy settings. This will include examination of current PBS restriction criteria and the impact of the listing of modified release buprenorphine injections on the PBS ODTP</w:t>
      </w:r>
      <w:r w:rsidR="00313785" w:rsidRPr="00EA3458">
        <w:t xml:space="preserve">. </w:t>
      </w:r>
    </w:p>
    <w:p w14:paraId="3DCCC7AF" w14:textId="1E91D8EA" w:rsidR="004F1482" w:rsidRDefault="003C1F66" w:rsidP="004F1482">
      <w:pPr>
        <w:spacing w:after="0"/>
      </w:pPr>
      <w:bookmarkStart w:id="394" w:name="_Toc119422676"/>
      <w:bookmarkStart w:id="395" w:name="_Toc119422756"/>
      <w:bookmarkStart w:id="396" w:name="_Toc119075762"/>
      <w:bookmarkStart w:id="397" w:name="_Toc119075794"/>
      <w:bookmarkStart w:id="398" w:name="_Toc119326340"/>
      <w:bookmarkStart w:id="399" w:name="_Toc119340470"/>
      <w:bookmarkStart w:id="400" w:name="_Toc119395339"/>
      <w:bookmarkStart w:id="401" w:name="_Toc119422677"/>
      <w:bookmarkStart w:id="402" w:name="_Toc119422757"/>
      <w:bookmarkStart w:id="403" w:name="_Toc119413998"/>
      <w:bookmarkStart w:id="404" w:name="_Toc119485210"/>
      <w:bookmarkStart w:id="405" w:name="_Toc119485249"/>
      <w:bookmarkStart w:id="406" w:name="_Toc119485290"/>
      <w:bookmarkStart w:id="407" w:name="_Toc119485863"/>
      <w:bookmarkStart w:id="408" w:name="_Toc119486281"/>
      <w:bookmarkStart w:id="409" w:name="_Toc119490357"/>
      <w:bookmarkStart w:id="410" w:name="_Toc119492351"/>
      <w:bookmarkStart w:id="411" w:name="_Toc119499646"/>
      <w:bookmarkStart w:id="412" w:name="_Toc119499691"/>
      <w:bookmarkStart w:id="413" w:name="_Toc119508170"/>
      <w:bookmarkStart w:id="414" w:name="_Toc119508233"/>
      <w:bookmarkStart w:id="415" w:name="_Toc119508279"/>
      <w:bookmarkStart w:id="416" w:name="_Toc119508325"/>
      <w:bookmarkStart w:id="417" w:name="_Toc119508375"/>
      <w:bookmarkStart w:id="418" w:name="_Toc119508436"/>
      <w:bookmarkStart w:id="419" w:name="_Toc119510625"/>
      <w:bookmarkStart w:id="420" w:name="_Toc119517459"/>
      <w:bookmarkStart w:id="421" w:name="_Toc119517510"/>
      <w:bookmarkStart w:id="422" w:name="_Toc119569925"/>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r w:rsidRPr="009B3077">
        <w:t xml:space="preserve">This chapter presents literature review findings on the benefits of each </w:t>
      </w:r>
      <w:r w:rsidR="00FF19DD">
        <w:t>O</w:t>
      </w:r>
      <w:r w:rsidR="007D2196">
        <w:t>D</w:t>
      </w:r>
      <w:r w:rsidR="00FF19DD">
        <w:t>T</w:t>
      </w:r>
      <w:r w:rsidRPr="009B3077">
        <w:t xml:space="preserve"> medicine and their cost to patients, prescribers, </w:t>
      </w:r>
      <w:r w:rsidR="00922B44" w:rsidRPr="009B3077">
        <w:t>pharmacies,</w:t>
      </w:r>
      <w:r w:rsidRPr="009B3077">
        <w:t xml:space="preserve"> and governments. This will be followed by an analysis of Commonwealth expenditure data, discussing trends in government expenditure on </w:t>
      </w:r>
      <w:r w:rsidR="00CA3F41">
        <w:t>O</w:t>
      </w:r>
      <w:r w:rsidR="007D2196">
        <w:t>D</w:t>
      </w:r>
      <w:r w:rsidR="00CA3F41">
        <w:t>T</w:t>
      </w:r>
      <w:r w:rsidRPr="009B3077">
        <w:t xml:space="preserve"> medicines and number of doses supplied over the past 5 years, as well as looking at differences in medicine supply between jurisdictions and different sites where medicines are delivered.</w:t>
      </w:r>
    </w:p>
    <w:p w14:paraId="1EBF9A08" w14:textId="77777777" w:rsidR="004233C1" w:rsidRPr="004233C1" w:rsidRDefault="004233C1" w:rsidP="007E3DC8">
      <w:pPr>
        <w:pStyle w:val="ListParagraph"/>
        <w:keepNext/>
        <w:keepLines/>
        <w:numPr>
          <w:ilvl w:val="0"/>
          <w:numId w:val="45"/>
        </w:numPr>
        <w:spacing w:before="40" w:after="80"/>
        <w:contextualSpacing w:val="0"/>
        <w:outlineLvl w:val="2"/>
        <w:rPr>
          <w:rFonts w:asciiTheme="minorHAnsi" w:eastAsiaTheme="majorEastAsia" w:hAnsiTheme="minorHAnsi" w:cstheme="majorBidi"/>
          <w:vanish/>
          <w:color w:val="1F3763" w:themeColor="accent1" w:themeShade="7F"/>
        </w:rPr>
      </w:pPr>
      <w:bookmarkStart w:id="423" w:name="_Toc120550252"/>
      <w:bookmarkStart w:id="424" w:name="_Toc120605400"/>
      <w:bookmarkStart w:id="425" w:name="_Toc120713133"/>
      <w:bookmarkStart w:id="426" w:name="_Toc120703686"/>
      <w:bookmarkStart w:id="427" w:name="_Toc120876050"/>
      <w:bookmarkStart w:id="428" w:name="_Toc121311667"/>
      <w:bookmarkStart w:id="429" w:name="_Toc120550253"/>
      <w:bookmarkStart w:id="430" w:name="_Toc120605401"/>
      <w:bookmarkStart w:id="431" w:name="_Toc120713134"/>
      <w:bookmarkStart w:id="432" w:name="_Toc120703687"/>
      <w:bookmarkStart w:id="433" w:name="_Toc120876051"/>
      <w:bookmarkStart w:id="434" w:name="_Toc121311668"/>
      <w:bookmarkEnd w:id="423"/>
      <w:bookmarkEnd w:id="424"/>
      <w:bookmarkEnd w:id="425"/>
      <w:bookmarkEnd w:id="426"/>
      <w:bookmarkEnd w:id="427"/>
      <w:bookmarkEnd w:id="428"/>
      <w:bookmarkEnd w:id="429"/>
      <w:bookmarkEnd w:id="430"/>
      <w:bookmarkEnd w:id="431"/>
      <w:bookmarkEnd w:id="432"/>
      <w:bookmarkEnd w:id="433"/>
      <w:bookmarkEnd w:id="434"/>
    </w:p>
    <w:p w14:paraId="1F0C62C1" w14:textId="50DB7431" w:rsidR="00A2689E" w:rsidRDefault="00A2689E" w:rsidP="007E3DC8">
      <w:pPr>
        <w:pStyle w:val="Heading3"/>
        <w:numPr>
          <w:ilvl w:val="1"/>
          <w:numId w:val="45"/>
        </w:numPr>
      </w:pPr>
      <w:bookmarkStart w:id="435" w:name="_Toc163221175"/>
      <w:r>
        <w:t>TOR 3 Key findings</w:t>
      </w:r>
      <w:bookmarkEnd w:id="435"/>
    </w:p>
    <w:p w14:paraId="05B8E59D" w14:textId="77777777" w:rsidR="00A2689E" w:rsidRPr="00F1268F" w:rsidRDefault="00A2689E" w:rsidP="00A2689E">
      <w:pPr>
        <w:rPr>
          <w:rStyle w:val="normaltextrun"/>
          <w:rFonts w:cs="Calibri"/>
          <w:color w:val="000000"/>
          <w:shd w:val="clear" w:color="auto" w:fill="FFFFFF"/>
        </w:rPr>
      </w:pPr>
      <w:r w:rsidRPr="00EA3458">
        <w:t>There is strong evidence for a wide range of health and social benefits</w:t>
      </w:r>
      <w:r w:rsidRPr="00CD0FD3">
        <w:t xml:space="preserve"> </w:t>
      </w:r>
      <w:r w:rsidRPr="00EA3458">
        <w:t xml:space="preserve">for people with opioid dependence </w:t>
      </w:r>
      <w:r>
        <w:t>associated with</w:t>
      </w:r>
      <w:r w:rsidRPr="00EA3458">
        <w:t xml:space="preserve"> O</w:t>
      </w:r>
      <w:r>
        <w:t>D</w:t>
      </w:r>
      <w:r w:rsidRPr="00EA3458">
        <w:t>T</w:t>
      </w:r>
      <w:r>
        <w:t xml:space="preserve"> medicines</w:t>
      </w:r>
      <w:r w:rsidRPr="00EA3458">
        <w:t xml:space="preserve">. </w:t>
      </w:r>
      <w:r w:rsidRPr="00F1268F">
        <w:rPr>
          <w:rStyle w:val="normaltextrun"/>
          <w:rFonts w:cs="Calibri"/>
          <w:color w:val="000000"/>
          <w:shd w:val="clear" w:color="auto" w:fill="FFFFFF"/>
        </w:rPr>
        <w:t>Being in a methadone/buprenorphine program reduces injecting risk behaviour, the risk of HIV/Hepatitis C virus acquisition, criminal activity and overdose deaths and increases quality of life including mental and physical health. In terms of societal costs, ODT is also highly cost-effective, and actually cost-saving when costs of crime are included.</w:t>
      </w:r>
      <w:hyperlink w:anchor="_ENREF_61" w:tooltip="Chetty M, 2017 #73" w:history="1">
        <w:r w:rsidRPr="00F1268F">
          <w:rPr>
            <w:rStyle w:val="normaltextrun"/>
            <w:rFonts w:cs="Calibri"/>
            <w:color w:val="000000"/>
            <w:shd w:val="clear" w:color="auto" w:fill="FFFFFF"/>
          </w:rPr>
          <w:fldChar w:fldCharType="begin"/>
        </w:r>
        <w:r>
          <w:rPr>
            <w:rStyle w:val="normaltextrun"/>
            <w:rFonts w:cs="Calibri"/>
            <w:color w:val="000000"/>
            <w:shd w:val="clear" w:color="auto" w:fill="FFFFFF"/>
          </w:rPr>
          <w:instrText xml:space="preserve"> ADDIN EN.CITE &lt;EndNote&gt;&lt;Cite&gt;&lt;Author&gt;Chetty M&lt;/Author&gt;&lt;Year&gt;2017&lt;/Year&gt;&lt;RecNum&gt;73&lt;/RecNum&gt;&lt;DisplayText&gt;&lt;style face="superscript"&gt;61&lt;/style&gt;&lt;/DisplayText&gt;&lt;record&gt;&lt;rec-number&gt;73&lt;/rec-number&gt;&lt;foreign-keys&gt;&lt;key app="EN" db-id="xssz590sx9vzw4ewpzdv0s5sret50aexdtd9" timestamp="1677030210"&gt;73&lt;/key&gt;&lt;/foreign-keys&gt;&lt;ref-type name="Journal Article"&gt;17&lt;/ref-type&gt;&lt;contributors&gt;&lt;authors&gt;&lt;author&gt;Chetty M, &lt;/author&gt;&lt;author&gt;Kenworthy JJ, &lt;/author&gt;&lt;author&gt;Langham S, &lt;/author&gt;&lt;author&gt;Walker A, &lt;/author&gt;&lt;author&gt;Dunlop WC&lt;/author&gt;&lt;/authors&gt;&lt;/contributors&gt;&lt;titles&gt;&lt;title&gt;A systematic review of health economic models of opioid agonist therapies in maintenance treatment of non-prescription opioid dependence&lt;/title&gt;&lt;secondary-title&gt;Addiction Science and Clinical Practice&lt;/secondary-title&gt;&lt;/titles&gt;&lt;periodical&gt;&lt;full-title&gt;Addiction Science and Clinical Practice&lt;/full-title&gt;&lt;/periodical&gt;&lt;volume&gt;12&lt;/volume&gt;&lt;number&gt;6&lt;/number&gt;&lt;num-vols&gt;1&lt;/num-vols&gt;&lt;dates&gt;&lt;year&gt;2017&lt;/year&gt;&lt;/dates&gt;&lt;urls&gt;&lt;/urls&gt;&lt;/record&gt;&lt;/Cite&gt;&lt;/EndNote&gt;</w:instrText>
        </w:r>
        <w:r w:rsidRPr="00F1268F">
          <w:rPr>
            <w:rStyle w:val="normaltextrun"/>
            <w:rFonts w:cs="Calibri"/>
            <w:color w:val="000000"/>
            <w:shd w:val="clear" w:color="auto" w:fill="FFFFFF"/>
          </w:rPr>
          <w:fldChar w:fldCharType="separate"/>
        </w:r>
        <w:r w:rsidRPr="00646D54">
          <w:rPr>
            <w:rStyle w:val="normaltextrun"/>
            <w:rFonts w:cs="Calibri"/>
            <w:noProof/>
            <w:color w:val="000000"/>
            <w:shd w:val="clear" w:color="auto" w:fill="FFFFFF"/>
            <w:vertAlign w:val="superscript"/>
          </w:rPr>
          <w:t>61</w:t>
        </w:r>
        <w:r w:rsidRPr="00F1268F">
          <w:rPr>
            <w:rStyle w:val="normaltextrun"/>
            <w:rFonts w:cs="Calibri"/>
            <w:color w:val="000000"/>
            <w:shd w:val="clear" w:color="auto" w:fill="FFFFFF"/>
          </w:rPr>
          <w:fldChar w:fldCharType="end"/>
        </w:r>
      </w:hyperlink>
      <w:r w:rsidRPr="00F1268F">
        <w:rPr>
          <w:rStyle w:val="normaltextrun"/>
          <w:rFonts w:cs="Calibri"/>
          <w:color w:val="000000"/>
          <w:shd w:val="clear" w:color="auto" w:fill="FFFFFF"/>
        </w:rPr>
        <w:t xml:space="preserve"> Addressing cost barriers to treatment entry and retention (through the PBS and with states and territories) has the potential to improve a wide range of health and other outcomes for people with opioid dependence. </w:t>
      </w:r>
    </w:p>
    <w:p w14:paraId="214D66DE" w14:textId="77777777" w:rsidR="00A2689E" w:rsidRDefault="00A2689E" w:rsidP="00A2689E">
      <w:r w:rsidRPr="00EA3458">
        <w:t xml:space="preserve">By and large, there are few clear differences between methadone and </w:t>
      </w:r>
      <w:r>
        <w:t xml:space="preserve">sublingual </w:t>
      </w:r>
      <w:r w:rsidRPr="00EA3458">
        <w:t>buprenorphine</w:t>
      </w:r>
      <w:r>
        <w:t xml:space="preserve"> +/- naloxone</w:t>
      </w:r>
      <w:r w:rsidRPr="00EA3458">
        <w:t xml:space="preserve"> in terms of impacts on a wide range of primary and secondary outcomes (e.g., drug use, mental health); one clear exception</w:t>
      </w:r>
      <w:r>
        <w:t xml:space="preserve"> identified through the literature review</w:t>
      </w:r>
      <w:r w:rsidRPr="00EA3458">
        <w:t xml:space="preserve"> is that people are retained better on methadone</w:t>
      </w:r>
      <w:r>
        <w:t xml:space="preserve"> than on sublingual buprenorphine +/- naloxone</w:t>
      </w:r>
      <w:r w:rsidRPr="00EA3458">
        <w:t>.</w:t>
      </w:r>
    </w:p>
    <w:p w14:paraId="31701A48" w14:textId="20BDFA98" w:rsidR="00A2689E" w:rsidRPr="00EA3458" w:rsidRDefault="00A2689E" w:rsidP="00A2689E">
      <w:r w:rsidRPr="00EA3458">
        <w:t>LAIB presents potential cost savings in terms of monthly dosing staff costs compared to other more frequent dosing treatments and consumer travel costs. Preliminary data indicates high retention rates</w:t>
      </w:r>
      <w:r>
        <w:t xml:space="preserve"> associated with LAIB treatment</w:t>
      </w:r>
      <w:r w:rsidRPr="00EA3458">
        <w:t xml:space="preserve">, but this requires further study given the very small evidence base to date. </w:t>
      </w:r>
      <w:r w:rsidRPr="009A1DA3">
        <w:t xml:space="preserve">A recent yet to be published study of LAIB found the adjusted mean days in treatment was longer for the LAIB group compared to the combined methadone and </w:t>
      </w:r>
      <w:r>
        <w:t>sublingual</w:t>
      </w:r>
      <w:r w:rsidRPr="009A1DA3">
        <w:t xml:space="preserve"> buprenorphine group as was the time to first stopping treatment</w:t>
      </w:r>
      <w:r>
        <w:t>.</w:t>
      </w:r>
      <w:r>
        <w:fldChar w:fldCharType="begin"/>
      </w:r>
      <w:r>
        <w:instrText xml:space="preserve"> ADDIN EN.CITE &lt;EndNote&gt;&lt;Cite&gt;&lt;Author&gt;Marsden&lt;/Author&gt;&lt;Year&gt;(unpublished manuscript)&lt;/Year&gt;&lt;RecNum&gt;71&lt;/RecNum&gt;&lt;DisplayText&gt;&lt;style face="superscript"&gt;62, 63&lt;/style&gt;&lt;/DisplayText&gt;&lt;record&gt;&lt;rec-number&gt;71&lt;/rec-number&gt;&lt;foreign-keys&gt;&lt;key app="EN" db-id="xssz590sx9vzw4ewpzdv0s5sret50aexdtd9" timestamp="1677027867"&gt;71&lt;/key&gt;&lt;/foreign-keys&gt;&lt;ref-type name="Journal Article"&gt;17&lt;/ref-type&gt;&lt;contributors&gt;&lt;authors&gt;&lt;author&gt;Marsden, J.&lt;/author&gt;&lt;/authors&gt;&lt;/contributors&gt;&lt;titles&gt;&lt;title&gt;Extended-release Pharmacotherapy for Opioid Use Disorder&lt;/title&gt;&lt;/titles&gt;&lt;dates&gt;&lt;year&gt;(unpublished manuscript)&lt;/year&gt;&lt;/dates&gt;&lt;urls&gt;&lt;/urls&gt;&lt;/record&gt;&lt;/Cite&gt;&lt;Cite&gt;&lt;Author&gt;Marsden J&lt;/Author&gt;&lt;Year&gt;2022&lt;/Year&gt;&lt;RecNum&gt;72&lt;/RecNum&gt;&lt;record&gt;&lt;rec-number&gt;72&lt;/rec-number&gt;&lt;foreign-keys&gt;&lt;key app="EN" db-id="xssz590sx9vzw4ewpzdv0s5sret50aexdtd9" timestamp="1677028976"&gt;72&lt;/key&gt;&lt;/foreign-keys&gt;&lt;ref-type name="Journal Article"&gt;17&lt;/ref-type&gt;&lt;contributors&gt;&lt;authors&gt;&lt;author&gt;Marsden J, &lt;/author&gt;&lt;author&gt;Kelleher M, &lt;/author&gt;&lt;author&gt;Hoare Z, &lt;/author&gt;&lt;author&gt;Hughes D, &lt;/author&gt;&lt;author&gt;Bisla J, &lt;/author&gt;&lt;author&gt;Cape A, &lt;/author&gt;&lt;author&gt;et al.&lt;/author&gt;&lt;/authors&gt;&lt;/contributors&gt;&lt;titles&gt;&lt;title&gt;Extended-release pharmacotherapy for opioid use disorder (EXPO): protocol for an open-label randomised controlled trial of the effectiveness and cost-effectiveness of injectable buprenorphine versus sublingual tablet buprenorphine and oral liquid methadone&lt;/title&gt;&lt;secondary-title&gt;Trials&lt;/secondary-title&gt;&lt;/titles&gt;&lt;periodical&gt;&lt;full-title&gt;Trials&lt;/full-title&gt;&lt;/periodical&gt;&lt;volume&gt;23(1):697&lt;/volume&gt;&lt;dates&gt;&lt;year&gt;2022&lt;/year&gt;&lt;/dates&gt;&lt;urls&gt;&lt;/urls&gt;&lt;electronic-resource-num&gt;10.1186/s13063-022-06595-0&lt;/electronic-resource-num&gt;&lt;/record&gt;&lt;/Cite&gt;&lt;/EndNote&gt;</w:instrText>
      </w:r>
      <w:r>
        <w:fldChar w:fldCharType="separate"/>
      </w:r>
      <w:hyperlink w:anchor="_ENREF_62" w:tooltip="Marsden, (unpublished manuscript) #71" w:history="1">
        <w:r w:rsidRPr="00646D54">
          <w:rPr>
            <w:noProof/>
            <w:vertAlign w:val="superscript"/>
          </w:rPr>
          <w:t>62</w:t>
        </w:r>
      </w:hyperlink>
      <w:r w:rsidRPr="00646D54">
        <w:rPr>
          <w:noProof/>
          <w:vertAlign w:val="superscript"/>
        </w:rPr>
        <w:t>,</w:t>
      </w:r>
      <w:hyperlink w:anchor="_ENREF_63" w:tooltip="Marsden J, 2022 #72" w:history="1">
        <w:r w:rsidRPr="00646D54">
          <w:rPr>
            <w:noProof/>
            <w:vertAlign w:val="superscript"/>
          </w:rPr>
          <w:t>63</w:t>
        </w:r>
      </w:hyperlink>
      <w:r>
        <w:fldChar w:fldCharType="end"/>
      </w:r>
      <w:r>
        <w:t xml:space="preserve"> </w:t>
      </w:r>
      <w:r w:rsidRPr="00EA3458">
        <w:t xml:space="preserve">Further, not all consumers feel that </w:t>
      </w:r>
      <w:r>
        <w:t xml:space="preserve">LAIB </w:t>
      </w:r>
      <w:r w:rsidRPr="00EA3458">
        <w:t>is a suitable treatment choice for them personally.</w:t>
      </w:r>
    </w:p>
    <w:p w14:paraId="34AD0882" w14:textId="77777777" w:rsidR="00A2689E" w:rsidRPr="00EA3458" w:rsidRDefault="00A2689E" w:rsidP="00A2689E">
      <w:r>
        <w:t>Approximately half of all consumers on oral and sublingual ODT medicines receive any takeaway doses as estimated in the quantitative systematic review undertaken as part of the ODTP PMR, with slightly more consumers on sublingual buprenorphine +/- naloxone receiving takeaways compared to methadone.</w:t>
      </w:r>
    </w:p>
    <w:p w14:paraId="6D2C4096" w14:textId="77777777" w:rsidR="00A2689E" w:rsidRPr="00EA3458" w:rsidRDefault="00A2689E" w:rsidP="00A2689E">
      <w:r w:rsidRPr="00EA3458">
        <w:t>There are limited clinical and research data, and no population-based data on individual-level O</w:t>
      </w:r>
      <w:r>
        <w:t>D</w:t>
      </w:r>
      <w:r w:rsidRPr="00EA3458">
        <w:t xml:space="preserve">T </w:t>
      </w:r>
      <w:r>
        <w:t xml:space="preserve">medicine </w:t>
      </w:r>
      <w:r w:rsidRPr="00EA3458">
        <w:t>doses and dosing patterns in Australia</w:t>
      </w:r>
      <w:r>
        <w:t>, a limitation of the current funding model particularly for methadone where one bottle can be shared among multiple patients</w:t>
      </w:r>
      <w:r w:rsidRPr="00EA3458">
        <w:t xml:space="preserve">. </w:t>
      </w:r>
      <w:r w:rsidRPr="00EA3458">
        <w:lastRenderedPageBreak/>
        <w:t>Such data</w:t>
      </w:r>
      <w:r>
        <w:t xml:space="preserve">, including daily dose variability and frequency of dispensing where possible, </w:t>
      </w:r>
      <w:r w:rsidRPr="00EA3458">
        <w:t>are very important to consider real-world patterns of O</w:t>
      </w:r>
      <w:r>
        <w:t>D</w:t>
      </w:r>
      <w:r w:rsidRPr="00EA3458">
        <w:t>T</w:t>
      </w:r>
      <w:r>
        <w:t xml:space="preserve"> medicine</w:t>
      </w:r>
      <w:r w:rsidRPr="00EA3458">
        <w:t xml:space="preserve"> use.</w:t>
      </w:r>
    </w:p>
    <w:p w14:paraId="55B6A0C5" w14:textId="77777777" w:rsidR="00A2689E" w:rsidRPr="00EA3458" w:rsidRDefault="00A2689E" w:rsidP="00A2689E">
      <w:r w:rsidRPr="00EA3458">
        <w:t xml:space="preserve">Commonwealth expenditure on the </w:t>
      </w:r>
      <w:r>
        <w:t xml:space="preserve">PBS </w:t>
      </w:r>
      <w:r w:rsidRPr="00EA3458">
        <w:t xml:space="preserve">ODTP has been steadily increasing over the years. </w:t>
      </w:r>
      <w:r>
        <w:br/>
      </w:r>
      <w:r w:rsidRPr="00EA3458">
        <w:t>In 5 years, expenditure has doubled from the 2016-17 financial year ($51.5</w:t>
      </w:r>
      <w:r>
        <w:t xml:space="preserve"> million</w:t>
      </w:r>
      <w:r w:rsidRPr="00EA3458">
        <w:t xml:space="preserve">) to </w:t>
      </w:r>
      <w:r>
        <w:br/>
      </w:r>
      <w:r w:rsidRPr="00EA3458">
        <w:t>2021-22 ($108.6</w:t>
      </w:r>
      <w:r>
        <w:t xml:space="preserve"> million</w:t>
      </w:r>
      <w:r w:rsidRPr="00EA3458">
        <w:t xml:space="preserve">) and has grown by 20% from the 2020-21 financial year alone </w:t>
      </w:r>
      <w:r>
        <w:br/>
      </w:r>
      <w:r w:rsidRPr="00EA3458">
        <w:t>($90.3</w:t>
      </w:r>
      <w:r>
        <w:t xml:space="preserve"> million</w:t>
      </w:r>
      <w:r w:rsidRPr="00EA3458">
        <w:t>).</w:t>
      </w:r>
      <w:r>
        <w:t xml:space="preserve"> </w:t>
      </w:r>
    </w:p>
    <w:p w14:paraId="5A427D28" w14:textId="77777777" w:rsidR="00A2689E" w:rsidRPr="00EA3458" w:rsidRDefault="00A2689E" w:rsidP="00A2689E">
      <w:r>
        <w:t xml:space="preserve">PBS </w:t>
      </w:r>
      <w:r w:rsidRPr="00EA3458">
        <w:t xml:space="preserve">ODTP expenditure growth was mostly steady before the introduction of LAIB in September 2019. </w:t>
      </w:r>
      <w:r>
        <w:t xml:space="preserve">In 2021-22 approximately half of all expenditure on the PBS ODTP was for LAIB products. </w:t>
      </w:r>
      <w:r w:rsidRPr="00EA3458">
        <w:t xml:space="preserve">The listing of this new medicine </w:t>
      </w:r>
      <w:r>
        <w:t>was followed by</w:t>
      </w:r>
      <w:r w:rsidRPr="00EA3458">
        <w:t xml:space="preserve"> a sharp increase in overall expenditure growth, as well as a decrease in growth across other </w:t>
      </w:r>
      <w:r>
        <w:t>ODT</w:t>
      </w:r>
      <w:r w:rsidRPr="00EA3458">
        <w:t xml:space="preserve"> medicines. Further analysis</w:t>
      </w:r>
      <w:r>
        <w:t xml:space="preserve"> of PBS ODTP expenditure data</w:t>
      </w:r>
      <w:r w:rsidRPr="00EA3458">
        <w:t xml:space="preserve"> indicates that the acceleration of program expenditure growth is likely due to a growth in patient numbers due to LAIB facilitating the removal of both logistical and cost-based barriers to </w:t>
      </w:r>
      <w:r>
        <w:t>ODT medicines</w:t>
      </w:r>
      <w:r w:rsidRPr="00EA3458">
        <w:t>, as well as potentially due to improved retention rates.</w:t>
      </w:r>
      <w:r>
        <w:t xml:space="preserve"> It is important to note the uptake of LAIB is also likely as a result of implementation of new state and territory ODT policies and guidelines, particularly in correctional facilities.</w:t>
      </w:r>
    </w:p>
    <w:p w14:paraId="43C84E55" w14:textId="77777777" w:rsidR="00A2689E" w:rsidRPr="00EA3458" w:rsidRDefault="00A2689E" w:rsidP="00A2689E">
      <w:r w:rsidRPr="00EA3458">
        <w:t xml:space="preserve">Costs borne by consumers, especially pharmacy-charged </w:t>
      </w:r>
      <w:r>
        <w:t xml:space="preserve">private </w:t>
      </w:r>
      <w:r w:rsidRPr="00EA3458">
        <w:t xml:space="preserve">dosing fees to consumers, create burdensome expenditures for consumers, especially those on </w:t>
      </w:r>
      <w:r>
        <w:t>fixed or limited incomes</w:t>
      </w:r>
      <w:r w:rsidRPr="00EA3458">
        <w:t>, thereby creating barriers to treatment entry and retention</w:t>
      </w:r>
      <w:r>
        <w:t xml:space="preserve"> with flow-on impacts to social, mental and physical health more broadly</w:t>
      </w:r>
      <w:r w:rsidRPr="00EA3458">
        <w:t xml:space="preserve">. Dosing fees vary widely across states and territories because pharmacies set their own fees based on their own cost assessments. Costs to patients </w:t>
      </w:r>
      <w:r>
        <w:t xml:space="preserve">through private, unregulated fees </w:t>
      </w:r>
      <w:r w:rsidRPr="00EA3458">
        <w:t>typically range from $5-8 per day</w:t>
      </w:r>
      <w:hyperlink w:anchor="_ENREF_64" w:tooltip="Gisev, 2018 #3644" w:history="1">
        <w:r>
          <w:fldChar w:fldCharType="begin"/>
        </w:r>
        <w:r>
          <w:instrText xml:space="preserve"> ADDIN EN.CITE &lt;EndNote&gt;&lt;Cite&gt;&lt;Author&gt;Gisev&lt;/Author&gt;&lt;Year&gt;2018&lt;/Year&gt;&lt;RecNum&gt;14&lt;/RecNum&gt;&lt;DisplayText&gt;&lt;style face="superscript"&gt;64&lt;/style&gt;&lt;/DisplayText&gt;&lt;record&gt;&lt;rec-number&gt;14&lt;/rec-number&gt;&lt;foreign-keys&gt;&lt;key app="EN" db-id="2ddxrsvw6f2zsleeewuvvwwmw0txsvezv929" timestamp="1677031988"&gt;14&lt;/key&gt;&lt;/foreign-keys&gt;&lt;ref-type name="Journal Article"&gt;17&lt;/ref-type&gt;&lt;contributors&gt;&lt;authors&gt;&lt;author&gt;Gisev, N.&lt;/author&gt;&lt;author&gt;Campbell., G.&lt;/author&gt;&lt;author&gt;Lalic, S. &lt;/author&gt;&lt;author&gt;Larney, S. &lt;/author&gt;&lt;author&gt;Peacock, A.&lt;/author&gt;&lt;author&gt;Nielsen, S.&lt;/author&gt;&lt;author&gt;Pearson, S. &lt;/author&gt;&lt;author&gt;Degenhardt, L.&lt;/author&gt;&lt;/authors&gt;&lt;/contributors&gt;&lt;titles&gt;&lt;title&gt;Current Opioid Access, Use and Problems in Australian Jurisdictions&lt;/title&gt;&lt;secondary-title&gt;Current Addiction Reports &lt;/secondary-title&gt;&lt;/titles&gt;&lt;pages&gt;464-472&lt;/pages&gt;&lt;volume&gt;5&lt;/volume&gt;&lt;number&gt;4&lt;/number&gt;&lt;dates&gt;&lt;year&gt;2018&lt;/year&gt;&lt;/dates&gt;&lt;urls&gt;&lt;/urls&gt;&lt;/record&gt;&lt;/Cite&gt;&lt;/EndNote&gt;</w:instrText>
        </w:r>
        <w:r>
          <w:fldChar w:fldCharType="separate"/>
        </w:r>
        <w:r w:rsidRPr="00646D54">
          <w:rPr>
            <w:noProof/>
            <w:vertAlign w:val="superscript"/>
          </w:rPr>
          <w:t>64</w:t>
        </w:r>
        <w:r>
          <w:fldChar w:fldCharType="end"/>
        </w:r>
      </w:hyperlink>
      <w:r>
        <w:t xml:space="preserve"> (and can be higher)</w:t>
      </w:r>
      <w:r w:rsidRPr="00EA3458">
        <w:t>. Input to t</w:t>
      </w:r>
      <w:r>
        <w:t>he Review</w:t>
      </w:r>
      <w:r w:rsidRPr="00EA3458">
        <w:t xml:space="preserve"> suggests </w:t>
      </w:r>
      <w:r>
        <w:t>remuneration</w:t>
      </w:r>
      <w:r w:rsidRPr="00EA3458">
        <w:t xml:space="preserve"> for pharmacies </w:t>
      </w:r>
      <w:r>
        <w:t>(through alternative funding sources rather than being borne by patients) may help</w:t>
      </w:r>
      <w:r w:rsidRPr="00EA3458">
        <w:t xml:space="preserve"> maintain</w:t>
      </w:r>
      <w:r>
        <w:t xml:space="preserve"> or improve</w:t>
      </w:r>
      <w:r w:rsidRPr="00EA3458">
        <w:t xml:space="preserve"> </w:t>
      </w:r>
      <w:r>
        <w:t xml:space="preserve">their </w:t>
      </w:r>
      <w:r w:rsidRPr="00EA3458">
        <w:t>involvement in O</w:t>
      </w:r>
      <w:r>
        <w:t>D</w:t>
      </w:r>
      <w:r w:rsidRPr="00EA3458">
        <w:t>T, and/or for dosing fees charged to consumers to be standardised, reduced, or eliminated.</w:t>
      </w:r>
    </w:p>
    <w:p w14:paraId="7671F4CF" w14:textId="77777777" w:rsidR="00A2689E" w:rsidRDefault="00A2689E" w:rsidP="00A2689E">
      <w:pPr>
        <w:spacing w:after="0"/>
      </w:pPr>
      <w:r w:rsidRPr="00EA3458">
        <w:t xml:space="preserve">Through analysis of Commonwealth expenditure data, approximately 80% of oral and sublingual </w:t>
      </w:r>
      <w:r>
        <w:t xml:space="preserve">PBS </w:t>
      </w:r>
      <w:r w:rsidRPr="00EA3458">
        <w:t>ODTP medicines are supplied through community pharmacies</w:t>
      </w:r>
      <w:r>
        <w:t>.</w:t>
      </w:r>
      <w:r w:rsidRPr="00EA3458">
        <w:t xml:space="preserve"> </w:t>
      </w:r>
      <w:r>
        <w:t xml:space="preserve">In contrast, </w:t>
      </w:r>
      <w:r w:rsidRPr="00EA3458">
        <w:t xml:space="preserve">LAIB </w:t>
      </w:r>
      <w:r>
        <w:t>is</w:t>
      </w:r>
      <w:r w:rsidRPr="00EA3458">
        <w:t xml:space="preserve"> supplied across a wider range of dosing points, with 29% going through community pharmacies</w:t>
      </w:r>
      <w:r>
        <w:t>.</w:t>
      </w:r>
      <w:r w:rsidRPr="00EA3458">
        <w:t xml:space="preserve"> </w:t>
      </w:r>
      <w:r>
        <w:t>Notably, 18% of LAIB is supplied through correctional facilities, while only 3% of oral and sublingual PBS ODTP doses are supplied directly to these sites.</w:t>
      </w:r>
    </w:p>
    <w:p w14:paraId="48A89069" w14:textId="77777777" w:rsidR="00A2689E" w:rsidRPr="00A2689E" w:rsidRDefault="00A2689E" w:rsidP="00DA2DA6"/>
    <w:p w14:paraId="3E9AD3DE" w14:textId="54DA9427" w:rsidR="00F01D1F" w:rsidRDefault="00485353" w:rsidP="007E3DC8">
      <w:pPr>
        <w:pStyle w:val="Heading3"/>
        <w:numPr>
          <w:ilvl w:val="1"/>
          <w:numId w:val="45"/>
        </w:numPr>
      </w:pPr>
      <w:bookmarkStart w:id="436" w:name="_Toc163221176"/>
      <w:r>
        <w:t>Overview of stakeholder views for TOR 3</w:t>
      </w:r>
      <w:bookmarkEnd w:id="436"/>
    </w:p>
    <w:p w14:paraId="4D9DD626" w14:textId="4D3FDD47" w:rsidR="00922B44" w:rsidRDefault="00922B44" w:rsidP="00922B44">
      <w:r>
        <w:t xml:space="preserve">Stakeholders strongly believed that </w:t>
      </w:r>
      <w:r w:rsidR="00992300">
        <w:t>ODT medicines</w:t>
      </w:r>
      <w:r>
        <w:t xml:space="preserve"> provide significant societal benefits including reduction of drug-related hospitalisation and mortality, reduced crime, and overall improvement in the quality of life for patients.</w:t>
      </w:r>
    </w:p>
    <w:p w14:paraId="3B2D5CD3" w14:textId="296EF8AD" w:rsidR="00922B44" w:rsidRDefault="00922B44" w:rsidP="00922B44">
      <w:r>
        <w:t>Stakeholders commented that, although the Commonwealth Government funds the full cost of O</w:t>
      </w:r>
      <w:r w:rsidR="007D2196">
        <w:t>D</w:t>
      </w:r>
      <w:r>
        <w:t>T medicines, this funding is insufficient as it does not cover additional costs associated with the supply and administration of O</w:t>
      </w:r>
      <w:r w:rsidR="007D2196">
        <w:t>D</w:t>
      </w:r>
      <w:r>
        <w:t>T medicines or other elements of ODT. These additional costs are then usually passed on to the customer. Stakeholders suggested that a funding model for ODT consider remuneration for pharmacists and other medical staff who administer O</w:t>
      </w:r>
      <w:r w:rsidR="007D2196">
        <w:t>D</w:t>
      </w:r>
      <w:r>
        <w:t>T</w:t>
      </w:r>
      <w:r w:rsidR="007D2196">
        <w:t xml:space="preserve"> medicines</w:t>
      </w:r>
      <w:r>
        <w:t>.</w:t>
      </w:r>
    </w:p>
    <w:p w14:paraId="2305FBE4" w14:textId="33436DE4" w:rsidR="00991668" w:rsidRDefault="00991668" w:rsidP="00485353">
      <w:r>
        <w:lastRenderedPageBreak/>
        <w:t xml:space="preserve">Additionally, stakeholders </w:t>
      </w:r>
      <w:r w:rsidR="008863FA">
        <w:t>suggest</w:t>
      </w:r>
      <w:r w:rsidR="00FC1E74">
        <w:t>ed</w:t>
      </w:r>
      <w:r>
        <w:t xml:space="preserve"> </w:t>
      </w:r>
      <w:r w:rsidR="00FC1E74">
        <w:t xml:space="preserve">patient </w:t>
      </w:r>
      <w:r>
        <w:t xml:space="preserve">costs to </w:t>
      </w:r>
      <w:r w:rsidR="008863FA">
        <w:t xml:space="preserve">receive ODT medicines </w:t>
      </w:r>
      <w:r>
        <w:t xml:space="preserve">be </w:t>
      </w:r>
      <w:r w:rsidR="00FC1E74">
        <w:t xml:space="preserve">made </w:t>
      </w:r>
      <w:r>
        <w:t xml:space="preserve">consistent with those for other PBS listed medicines, </w:t>
      </w:r>
      <w:r w:rsidR="00FC1E74">
        <w:t>where</w:t>
      </w:r>
      <w:r>
        <w:t xml:space="preserve"> </w:t>
      </w:r>
      <w:r w:rsidR="008863FA">
        <w:t xml:space="preserve">patients pay </w:t>
      </w:r>
      <w:r>
        <w:t>the standard PBS co</w:t>
      </w:r>
      <w:r w:rsidR="00B3373E">
        <w:noBreakHyphen/>
      </w:r>
      <w:r>
        <w:t xml:space="preserve">payment </w:t>
      </w:r>
      <w:r w:rsidR="00FC1E74">
        <w:t>which</w:t>
      </w:r>
      <w:r w:rsidR="005D2F14">
        <w:t xml:space="preserve"> </w:t>
      </w:r>
      <w:r w:rsidR="00FC1E74">
        <w:t xml:space="preserve">also </w:t>
      </w:r>
      <w:r w:rsidR="005D2F14">
        <w:t>count</w:t>
      </w:r>
      <w:r w:rsidR="00FC1E74">
        <w:t>s</w:t>
      </w:r>
      <w:r w:rsidR="005D2F14">
        <w:t xml:space="preserve"> towards the</w:t>
      </w:r>
      <w:r w:rsidR="00974F3E">
        <w:t xml:space="preserve"> patient’s</w:t>
      </w:r>
      <w:r>
        <w:t xml:space="preserve"> PBS </w:t>
      </w:r>
      <w:r w:rsidR="00FC1E74">
        <w:t>S</w:t>
      </w:r>
      <w:r>
        <w:t xml:space="preserve">afety </w:t>
      </w:r>
      <w:r w:rsidR="00FC1E74">
        <w:t>N</w:t>
      </w:r>
      <w:r>
        <w:t>et</w:t>
      </w:r>
      <w:r w:rsidR="00974F3E">
        <w:t xml:space="preserve"> threshold</w:t>
      </w:r>
      <w:r>
        <w:t>. However, stakeholders also acknowledge</w:t>
      </w:r>
      <w:r w:rsidR="00FC1E74">
        <w:t>d</w:t>
      </w:r>
      <w:r>
        <w:t xml:space="preserve"> that a standard S85 PBS listing </w:t>
      </w:r>
      <w:r w:rsidR="005D2F14">
        <w:t xml:space="preserve">has limitations and may not be suitable for the delivery of all </w:t>
      </w:r>
      <w:r>
        <w:t>O</w:t>
      </w:r>
      <w:r w:rsidR="007D2196">
        <w:t>D</w:t>
      </w:r>
      <w:r>
        <w:t>T medicines</w:t>
      </w:r>
      <w:r w:rsidR="008B0387">
        <w:t>,</w:t>
      </w:r>
      <w:r>
        <w:t xml:space="preserve"> </w:t>
      </w:r>
      <w:r w:rsidR="005D2F14">
        <w:t xml:space="preserve">as medicines listed under S85 are largely dispensed from community pharmacies only. </w:t>
      </w:r>
    </w:p>
    <w:p w14:paraId="29F01ECA" w14:textId="0F73DF8B" w:rsidR="007006F3" w:rsidRDefault="007006F3" w:rsidP="004F1482">
      <w:pPr>
        <w:spacing w:after="0"/>
      </w:pPr>
      <w:r>
        <w:t>Stakeholders believe</w:t>
      </w:r>
      <w:r w:rsidR="00FC1E74">
        <w:t>d</w:t>
      </w:r>
      <w:r>
        <w:t xml:space="preserve"> that the introduction of LAIB has had many advantages. LAIB improves access to O</w:t>
      </w:r>
      <w:r w:rsidR="007D2196">
        <w:t>D</w:t>
      </w:r>
      <w:r>
        <w:t>T</w:t>
      </w:r>
      <w:r w:rsidR="007D2196">
        <w:t xml:space="preserve"> medicines</w:t>
      </w:r>
      <w:r>
        <w:t xml:space="preserve"> due to the lack of a requirement for daily dosing and has allowed for improved provision of O</w:t>
      </w:r>
      <w:r w:rsidR="007D2196">
        <w:t>D</w:t>
      </w:r>
      <w:r>
        <w:t>T</w:t>
      </w:r>
      <w:r w:rsidR="007D2196">
        <w:t xml:space="preserve"> medicines</w:t>
      </w:r>
      <w:r>
        <w:t xml:space="preserve"> outside of the community pharmacy setting, such as in correctional facilities. Additionally, stakeholders report</w:t>
      </w:r>
      <w:r w:rsidR="00FC1E74">
        <w:t>ed</w:t>
      </w:r>
      <w:r>
        <w:t xml:space="preserve"> high treatment satisfaction for LAIB patients. However, </w:t>
      </w:r>
      <w:r w:rsidR="005D2F14">
        <w:t>s</w:t>
      </w:r>
      <w:r w:rsidR="00736F99">
        <w:t>takeholders emphasise</w:t>
      </w:r>
      <w:r w:rsidR="00FC1E74">
        <w:t>d</w:t>
      </w:r>
      <w:r w:rsidR="00736F99">
        <w:t xml:space="preserve"> that there is no one medication or delivery system that will suit all patients at all times and </w:t>
      </w:r>
      <w:r w:rsidR="00DB2CD5">
        <w:t xml:space="preserve">felt </w:t>
      </w:r>
      <w:r w:rsidR="00736F99">
        <w:t>that patient choice should</w:t>
      </w:r>
      <w:r w:rsidR="000862DD">
        <w:t xml:space="preserve"> be</w:t>
      </w:r>
      <w:r w:rsidR="00736F99">
        <w:t xml:space="preserve"> a core feature of </w:t>
      </w:r>
      <w:r w:rsidR="005D2F14">
        <w:t>O</w:t>
      </w:r>
      <w:r w:rsidR="007D2196">
        <w:t>D</w:t>
      </w:r>
      <w:r w:rsidR="005D2F14">
        <w:t>T</w:t>
      </w:r>
      <w:r w:rsidR="007D2196">
        <w:t xml:space="preserve"> medication service delivery</w:t>
      </w:r>
      <w:r w:rsidR="005D2F14">
        <w:t xml:space="preserve">. </w:t>
      </w:r>
    </w:p>
    <w:p w14:paraId="1C5AC3B2" w14:textId="77777777" w:rsidR="004F1482" w:rsidRPr="00485353" w:rsidRDefault="004F1482" w:rsidP="004F1482">
      <w:pPr>
        <w:spacing w:after="0"/>
      </w:pPr>
    </w:p>
    <w:p w14:paraId="618A208C" w14:textId="668F2311" w:rsidR="006F0DAE" w:rsidRPr="00EA3458" w:rsidRDefault="006F0DAE" w:rsidP="007E3DC8">
      <w:pPr>
        <w:pStyle w:val="Heading3"/>
        <w:numPr>
          <w:ilvl w:val="1"/>
          <w:numId w:val="45"/>
        </w:numPr>
        <w:rPr>
          <w:rFonts w:eastAsiaTheme="minorHAnsi"/>
        </w:rPr>
      </w:pPr>
      <w:bookmarkStart w:id="437" w:name="_Toc119574384"/>
      <w:bookmarkStart w:id="438" w:name="_Toc119574444"/>
      <w:bookmarkStart w:id="439" w:name="_Toc119586611"/>
      <w:bookmarkStart w:id="440" w:name="_Toc119592344"/>
      <w:bookmarkStart w:id="441" w:name="_Toc119595329"/>
      <w:bookmarkStart w:id="442" w:name="_Toc119596350"/>
      <w:bookmarkStart w:id="443" w:name="_Toc120025194"/>
      <w:bookmarkStart w:id="444" w:name="_Toc120025280"/>
      <w:bookmarkStart w:id="445" w:name="_Toc120029113"/>
      <w:bookmarkStart w:id="446" w:name="_Toc120029234"/>
      <w:bookmarkStart w:id="447" w:name="_Toc120030339"/>
      <w:bookmarkStart w:id="448" w:name="_Toc120030397"/>
      <w:bookmarkStart w:id="449" w:name="_Toc120033320"/>
      <w:bookmarkStart w:id="450" w:name="_Toc120264965"/>
      <w:bookmarkStart w:id="451" w:name="_Toc120265023"/>
      <w:bookmarkStart w:id="452" w:name="_Toc120272216"/>
      <w:bookmarkStart w:id="453" w:name="_Toc120272276"/>
      <w:bookmarkStart w:id="454" w:name="_Toc120523332"/>
      <w:bookmarkStart w:id="455" w:name="_Toc120524240"/>
      <w:bookmarkStart w:id="456" w:name="_Toc163221177"/>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r w:rsidRPr="00EA3458">
        <w:rPr>
          <w:rFonts w:eastAsiaTheme="minorHAnsi"/>
        </w:rPr>
        <w:t>Literature review – Evidence of impacts of opioid agonist treatment</w:t>
      </w:r>
      <w:bookmarkEnd w:id="456"/>
    </w:p>
    <w:p w14:paraId="0B0F8663" w14:textId="7D5A9CC0" w:rsidR="006F0DAE" w:rsidRPr="00EA3458" w:rsidRDefault="006F0DAE">
      <w:r w:rsidRPr="00EA3458">
        <w:t xml:space="preserve">The literature review found that, compared to those not in treatment, people </w:t>
      </w:r>
      <w:r w:rsidR="007D2196">
        <w:t>receiving</w:t>
      </w:r>
      <w:r w:rsidRPr="00EA3458">
        <w:t xml:space="preserve"> O</w:t>
      </w:r>
      <w:r w:rsidR="007D2196">
        <w:t>D</w:t>
      </w:r>
      <w:r w:rsidRPr="00EA3458">
        <w:t xml:space="preserve">T </w:t>
      </w:r>
      <w:r w:rsidR="007D2196">
        <w:t xml:space="preserve">medicines </w:t>
      </w:r>
      <w:r w:rsidRPr="00EA3458">
        <w:t>had lower rates of adverse outcomes (e.g., criminal activity, all-cause mortality), and higher rates of positive outcomes (e.g., HIV viral suppression, quality of life) across the board. O</w:t>
      </w:r>
      <w:r w:rsidR="007D2196">
        <w:t>D</w:t>
      </w:r>
      <w:r w:rsidRPr="00EA3458">
        <w:t>T</w:t>
      </w:r>
      <w:r w:rsidR="007D2196">
        <w:t xml:space="preserve"> medicines</w:t>
      </w:r>
      <w:r w:rsidRPr="00EA3458">
        <w:t xml:space="preserve"> reduce injecting risk behaviour</w:t>
      </w:r>
      <w:hyperlink w:anchor="_ENREF_65" w:tooltip="Gowing, 2011 #62" w:history="1">
        <w:r w:rsidR="002565E6" w:rsidRPr="00EA3458">
          <w:fldChar w:fldCharType="begin"/>
        </w:r>
        <w:r w:rsidR="002565E6">
          <w:instrText xml:space="preserve"> ADDIN EN.CITE &lt;EndNote&gt;&lt;Cite&gt;&lt;Author&gt;Gowing&lt;/Author&gt;&lt;Year&gt;2011&lt;/Year&gt;&lt;RecNum&gt;62&lt;/RecNum&gt;&lt;DisplayText&gt;&lt;style face="superscript"&gt;65&lt;/style&gt;&lt;/DisplayText&gt;&lt;record&gt;&lt;rec-number&gt;62&lt;/rec-number&gt;&lt;foreign-keys&gt;&lt;key app="EN" db-id="xssz590sx9vzw4ewpzdv0s5sret50aexdtd9" timestamp="1668645569"&gt;62&lt;/key&gt;&lt;/foreign-keys&gt;&lt;ref-type name="Journal Article"&gt;17&lt;/ref-type&gt;&lt;contributors&gt;&lt;authors&gt;&lt;author&gt;Gowing, L.&lt;/author&gt;&lt;author&gt;Farrell, M. F.&lt;/author&gt;&lt;author&gt;Bornemann, R.&lt;/author&gt;&lt;author&gt;Sullivan, L. E.&lt;/author&gt;&lt;author&gt;Ali, R.&lt;/author&gt;&lt;/authors&gt;&lt;/contributors&gt;&lt;titles&gt;&lt;title&gt;Oral substitution treatment of injecting opioid users for prevention of HIV infection&lt;/title&gt;&lt;secondary-title&gt;Cochrane Database Syst Rev&lt;/secondary-title&gt;&lt;/titles&gt;&lt;pages&gt;CD004145&lt;/pages&gt;&lt;number&gt;8&lt;/number&gt;&lt;dates&gt;&lt;year&gt;2011&lt;/year&gt;&lt;/dates&gt;&lt;accession-num&gt;21833948&lt;/accession-num&gt;&lt;urls&gt;&lt;related-urls&gt;&lt;url&gt;&lt;style face="underline" font="default" size="100%"&gt;https://www.ncbi.nlm.nih.gov/pubmed/21833948&lt;/style&gt;&lt;/url&gt;&lt;url&gt;&lt;style face="underline" font="default" size="100%"&gt;http://cochranelibrary-wiley.com/doi/10.1002/14651858.CD004145.pub4/abstract&lt;/style&gt;&lt;/url&gt;&lt;/related-urls&gt;&lt;/urls&gt;&lt;electronic-resource-num&gt;10.1002/14651858.CD004145.pub4&lt;/electronic-resource-num&gt;&lt;/record&gt;&lt;/Cite&gt;&lt;/EndNote&gt;</w:instrText>
        </w:r>
        <w:r w:rsidR="002565E6" w:rsidRPr="00EA3458">
          <w:fldChar w:fldCharType="separate"/>
        </w:r>
        <w:r w:rsidR="002565E6" w:rsidRPr="00646D54">
          <w:rPr>
            <w:noProof/>
            <w:vertAlign w:val="superscript"/>
          </w:rPr>
          <w:t>65</w:t>
        </w:r>
        <w:r w:rsidR="002565E6" w:rsidRPr="00EA3458">
          <w:fldChar w:fldCharType="end"/>
        </w:r>
      </w:hyperlink>
      <w:r w:rsidRPr="00EA3458">
        <w:t xml:space="preserve"> and risk of HIV and HCV </w:t>
      </w:r>
      <w:r w:rsidR="00B3373E">
        <w:br/>
      </w:r>
      <w:r w:rsidRPr="00EA3458">
        <w:t>acquisition</w:t>
      </w:r>
      <w:r w:rsidR="00B3373E">
        <w:t>,</w:t>
      </w:r>
      <w:r w:rsidRPr="00EA3458">
        <w:fldChar w:fldCharType="begin">
          <w:fldData xml:space="preserve">PEVuZE5vdGU+PENpdGU+PEF1dGhvcj5NYWNBcnRodXI8L0F1dGhvcj48WWVhcj4yMDEyPC9ZZWFy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</w:fldData>
        </w:fldChar>
      </w:r>
      <w:r w:rsidR="00646D54">
        <w:instrText xml:space="preserve"> ADDIN EN.CITE </w:instrText>
      </w:r>
      <w:r w:rsidR="00646D54">
        <w:fldChar w:fldCharType="begin">
          <w:fldData xml:space="preserve">PEVuZE5vdGU+PENpdGU+PEF1dGhvcj5NYWNBcnRodXI8L0F1dGhvcj48WWVhcj4yMDEyPC9ZZWFy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</w:fldData>
        </w:fldChar>
      </w:r>
      <w:r w:rsidR="00646D54">
        <w:instrText xml:space="preserve"> ADDIN EN.CITE.DATA </w:instrText>
      </w:r>
      <w:r w:rsidR="00646D54">
        <w:fldChar w:fldCharType="end"/>
      </w:r>
      <w:r w:rsidRPr="00EA3458">
        <w:fldChar w:fldCharType="separate"/>
      </w:r>
      <w:hyperlink w:anchor="_ENREF_66" w:tooltip="MacArthur, 2012 #63" w:history="1">
        <w:r w:rsidR="002565E6" w:rsidRPr="00646D54">
          <w:rPr>
            <w:noProof/>
            <w:vertAlign w:val="superscript"/>
          </w:rPr>
          <w:t>66</w:t>
        </w:r>
      </w:hyperlink>
      <w:hyperlink w:anchor="_ENREF_67" w:tooltip="Platt, 2017 #64" w:history="1">
        <w:r w:rsidR="002565E6" w:rsidRPr="00646D54">
          <w:rPr>
            <w:noProof/>
            <w:vertAlign w:val="superscript"/>
          </w:rPr>
          <w:t>67</w:t>
        </w:r>
      </w:hyperlink>
      <w:r w:rsidRPr="00EA3458">
        <w:fldChar w:fldCharType="end"/>
      </w:r>
      <w:r w:rsidRPr="00EA3458">
        <w:t xml:space="preserve"> increases engagement in the HIV and HCV cascade of care</w:t>
      </w:r>
      <w:r w:rsidR="00B3373E">
        <w:t>,</w:t>
      </w:r>
      <w:hyperlink w:anchor="_ENREF_68" w:tooltip="Low, 2016 #65" w:history="1">
        <w:r w:rsidR="002565E6" w:rsidRPr="00EA3458">
          <w:fldChar w:fldCharType="begin"/>
        </w:r>
        <w:r w:rsidR="002565E6">
          <w:instrText xml:space="preserve"> ADDIN EN.CITE &lt;EndNote&gt;&lt;Cite&gt;&lt;Author&gt;Low&lt;/Author&gt;&lt;Year&gt;2016&lt;/Year&gt;&lt;RecNum&gt;65&lt;/RecNum&gt;&lt;DisplayText&gt;&lt;style face="superscript"&gt;68&lt;/style&gt;&lt;/DisplayText&gt;&lt;record&gt;&lt;rec-number&gt;65&lt;/rec-number&gt;&lt;foreign-keys&gt;&lt;key app="EN" db-id="xssz590sx9vzw4ewpzdv0s5sret50aexdtd9" timestamp="1668645582"&gt;65&lt;/key&gt;&lt;/foreign-keys&gt;&lt;ref-type name="Journal Article"&gt;17&lt;/ref-type&gt;&lt;contributors&gt;&lt;authors&gt;&lt;author&gt;Low, A. J.&lt;/author&gt;&lt;author&gt;Mburu, G.&lt;/author&gt;&lt;author&gt;Welton, N. J.&lt;/author&gt;&lt;author&gt;May, M. T.&lt;/author&gt;&lt;author&gt;Davies, C. F.&lt;/author&gt;&lt;author&gt;French, C.&lt;/author&gt;&lt;author&gt;Turner, K. M.&lt;/author&gt;&lt;author&gt;Looker, K. J.&lt;/author&gt;&lt;author&gt;Christensen, H.&lt;/author&gt;&lt;author&gt;McLean, S.&lt;/author&gt;&lt;author&gt;Rhodes, T.&lt;/author&gt;&lt;author&gt;Platt, L.&lt;/author&gt;&lt;author&gt;Hickman, M.&lt;/author&gt;&lt;author&gt;Guise, A.&lt;/author&gt;&lt;author&gt;Vickerman, P.&lt;/author&gt;&lt;/authors&gt;&lt;/contributors&gt;&lt;titles&gt;&lt;title&gt;Impact of Opioid Substitution Therapy on Antiretroviral Therapy Outcomes: A Systematic Review and Meta-Analysis&lt;/title&gt;&lt;secondary-title&gt;Clinical Infectious Diseases&lt;/secondary-title&gt;&lt;/titles&gt;&lt;pages&gt;1094-1104&lt;/pages&gt;&lt;volume&gt;63&lt;/volume&gt;&lt;number&gt;8&lt;/number&gt;&lt;dates&gt;&lt;year&gt;2016&lt;/year&gt;&lt;/dates&gt;&lt;accession-num&gt;27343545&lt;/accession-num&gt;&lt;urls&gt;&lt;related-urls&gt;&lt;url&gt;http://ovidsp.ovid.com/ovidweb.cgi?T=JS&amp;amp;CSC=Y&amp;amp;NEWS=N&amp;amp;PAGE=fulltext&amp;amp;D=medl&amp;amp;AN=27343545&lt;/url&gt;&lt;url&gt;https://www.ncbi.nlm.nih.gov/pmc/articles/PMC5036913/pdf/ciw416.pdf&lt;/url&gt;&lt;/related-urls&gt;&lt;/urls&gt;&lt;electronic-resource-num&gt;https://dx.doi.org/10.1093/cid/ciw416&lt;/electronic-resource-num&gt;&lt;/record&gt;&lt;/Cite&gt;&lt;/EndNote&gt;</w:instrText>
        </w:r>
        <w:r w:rsidR="002565E6" w:rsidRPr="00EA3458">
          <w:fldChar w:fldCharType="separate"/>
        </w:r>
        <w:r w:rsidR="002565E6" w:rsidRPr="00646D54">
          <w:rPr>
            <w:noProof/>
            <w:vertAlign w:val="superscript"/>
          </w:rPr>
          <w:t>68</w:t>
        </w:r>
        <w:r w:rsidR="002565E6" w:rsidRPr="00EA3458">
          <w:fldChar w:fldCharType="end"/>
        </w:r>
      </w:hyperlink>
      <w:r w:rsidRPr="00EA3458">
        <w:t xml:space="preserve"> reduces criminal activity</w:t>
      </w:r>
      <w:r w:rsidRPr="00EA3458">
        <w:fldChar w:fldCharType="begin">
          <w:fldData xml:space="preserve">PEVuZE5vdGU+PENpdGU+PEF1dGhvcj5NYWdsaW9uZTwvQXV0aG9yPjxZZWFyPjIwMTg8L1llYXI+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</w:fldData>
        </w:fldChar>
      </w:r>
      <w:r w:rsidR="00646D54">
        <w:instrText xml:space="preserve"> ADDIN EN.CITE </w:instrText>
      </w:r>
      <w:r w:rsidR="00646D54">
        <w:fldChar w:fldCharType="begin">
          <w:fldData xml:space="preserve">PEVuZE5vdGU+PENpdGU+PEF1dGhvcj5NYWdsaW9uZTwvQXV0aG9yPjxZZWFyPjIwMTg8L1llYXI+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</w:fldData>
        </w:fldChar>
      </w:r>
      <w:r w:rsidR="00646D54">
        <w:instrText xml:space="preserve"> ADDIN EN.CITE.DATA </w:instrText>
      </w:r>
      <w:r w:rsidR="00646D54">
        <w:fldChar w:fldCharType="end"/>
      </w:r>
      <w:r w:rsidRPr="00EA3458">
        <w:fldChar w:fldCharType="separate"/>
      </w:r>
      <w:hyperlink w:anchor="_ENREF_16" w:tooltip="Gisev, 2019 #16" w:history="1">
        <w:r w:rsidR="002565E6" w:rsidRPr="00646D54">
          <w:rPr>
            <w:noProof/>
            <w:vertAlign w:val="superscript"/>
          </w:rPr>
          <w:t>16</w:t>
        </w:r>
      </w:hyperlink>
      <w:r w:rsidR="00646D54" w:rsidRPr="00646D54">
        <w:rPr>
          <w:noProof/>
          <w:vertAlign w:val="superscript"/>
        </w:rPr>
        <w:t>,</w:t>
      </w:r>
      <w:hyperlink w:anchor="_ENREF_69" w:tooltip="Maglione, 2018 #66" w:history="1">
        <w:r w:rsidR="002565E6" w:rsidRPr="00646D54">
          <w:rPr>
            <w:noProof/>
            <w:vertAlign w:val="superscript"/>
          </w:rPr>
          <w:t>69</w:t>
        </w:r>
      </w:hyperlink>
      <w:r w:rsidRPr="00EA3458">
        <w:fldChar w:fldCharType="end"/>
      </w:r>
      <w:r w:rsidRPr="00EA3458">
        <w:t xml:space="preserve"> and reduces all-cause and overdose mortality</w:t>
      </w:r>
      <w:r w:rsidR="00B3373E">
        <w:t>.</w:t>
      </w:r>
      <w:hyperlink w:anchor="_ENREF_70" w:tooltip="Santo, 2021 #67" w:history="1">
        <w:r w:rsidR="002565E6" w:rsidRPr="00EA3458">
          <w:fldChar w:fldCharType="begin"/>
        </w:r>
        <w:r w:rsidR="002565E6">
          <w:instrText xml:space="preserve"> ADDIN EN.CITE &lt;EndNote&gt;&lt;Cite&gt;&lt;Author&gt;Santo&lt;/Author&gt;&lt;Year&gt;2021&lt;/Year&gt;&lt;RecNum&gt;67&lt;/RecNum&gt;&lt;DisplayText&gt;&lt;style face="superscript"&gt;70&lt;/style&gt;&lt;/DisplayText&gt;&lt;record&gt;&lt;rec-number&gt;67&lt;/rec-number&gt;&lt;foreign-keys&gt;&lt;key app="EN" db-id="xssz590sx9vzw4ewpzdv0s5sret50aexdtd9" timestamp="1668645591"&gt;67&lt;/key&gt;&lt;/foreign-keys&gt;&lt;ref-type name="Journal Article"&gt;17&lt;/ref-type&gt;&lt;contributors&gt;&lt;authors&gt;&lt;author&gt;Santo, Thomas, Jr&lt;/author&gt;&lt;author&gt;Clark, Brodie&lt;/author&gt;&lt;author&gt;Hickman, Matt&lt;/author&gt;&lt;author&gt;Grebely, Jason&lt;/author&gt;&lt;author&gt;Campbell, Gabrielle&lt;/author&gt;&lt;author&gt;Sordo, Luis&lt;/author&gt;&lt;author&gt;Chen, Aileen&lt;/author&gt;&lt;author&gt;Tran, Lucy Thi&lt;/author&gt;&lt;author&gt;Bharat, Chrianna&lt;/author&gt;&lt;author&gt;Padmanathan, Prianka&lt;/author&gt;&lt;author&gt;Cousins, Grainne&lt;/author&gt;&lt;author&gt;Dupouy, Julie&lt;/author&gt;&lt;author&gt;Kelty, Erin&lt;/author&gt;&lt;author&gt;Muga, Roberto&lt;/author&gt;&lt;author&gt;Nosyk, Bohdan&lt;/author&gt;&lt;author&gt;Min, Jeong&lt;/author&gt;&lt;author&gt;Pavarin, Raimondo&lt;/author&gt;&lt;author&gt;Farrell, Michael&lt;/author&gt;&lt;author&gt;Degenhardt, Louisa&lt;/author&gt;&lt;/authors&gt;&lt;/contributors&gt;&lt;titles&gt;&lt;title&gt;Association of Opioid Agonist Treatment With All-Cause Mortality and Specific Causes of Death Among People With Opioid Dependence: A Systematic Review and Meta-analysis&lt;/title&gt;&lt;secondary-title&gt;JAMA Psychiatry&lt;/secondary-title&gt;&lt;/titles&gt;&lt;pages&gt;979-993&lt;/pages&gt;&lt;volume&gt;78&lt;/volume&gt;&lt;number&gt;9&lt;/number&gt;&lt;dates&gt;&lt;year&gt;2021&lt;/year&gt;&lt;/dates&gt;&lt;isbn&gt;2168-622X&lt;/isbn&gt;&lt;urls&gt;&lt;related-urls&gt;&lt;url&gt;https://doi.org/10.1001/jamapsychiatry.2021.0976&lt;/url&gt;&lt;/related-urls&gt;&lt;/urls&gt;&lt;electronic-resource-num&gt;10.1001/jamapsychiatry.2021.0976 %J JAMA Psychiatry&lt;/electronic-resource-num&gt;&lt;access-date&gt;6/7/2021&lt;/access-date&gt;&lt;/record&gt;&lt;/Cite&gt;&lt;/EndNote&gt;</w:instrText>
        </w:r>
        <w:r w:rsidR="002565E6" w:rsidRPr="00EA3458">
          <w:fldChar w:fldCharType="separate"/>
        </w:r>
        <w:r w:rsidR="002565E6" w:rsidRPr="00646D54">
          <w:rPr>
            <w:noProof/>
            <w:vertAlign w:val="superscript"/>
          </w:rPr>
          <w:t>70</w:t>
        </w:r>
        <w:r w:rsidR="002565E6" w:rsidRPr="00EA3458">
          <w:fldChar w:fldCharType="end"/>
        </w:r>
      </w:hyperlink>
      <w:r w:rsidRPr="00EA3458">
        <w:t xml:space="preserve"> There is weaker evidence that it may reduce suicide and accidental injuries. In terms of societal costs, O</w:t>
      </w:r>
      <w:r w:rsidR="007D2196">
        <w:t>D</w:t>
      </w:r>
      <w:r w:rsidRPr="00EA3458">
        <w:t xml:space="preserve">T </w:t>
      </w:r>
      <w:r w:rsidR="007D2196">
        <w:t>medicines are</w:t>
      </w:r>
      <w:r w:rsidRPr="00EA3458">
        <w:t xml:space="preserve"> also highly cost-effective, and actually cost-saving when costs of crime are included</w:t>
      </w:r>
      <w:r w:rsidR="00B3373E">
        <w:t>.</w:t>
      </w:r>
      <w:hyperlink w:anchor="_ENREF_71" w:tooltip="Chetty, 2017 #36" w:history="1">
        <w:r w:rsidR="002565E6" w:rsidRPr="00EA3458">
          <w:fldChar w:fldCharType="begin">
            <w:fldData xml:space="preserve">PEVuZE5vdGU+PENpdGU+PEF1dGhvcj5DaGV0dHk8L0F1dGhvcj48WWVhcj4yMDE3PC9ZZWFyPjxS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</w:fldData>
          </w:fldChar>
        </w:r>
        <w:r w:rsidR="002565E6">
          <w:instrText xml:space="preserve"> ADDIN EN.CITE </w:instrText>
        </w:r>
        <w:r w:rsidR="002565E6">
          <w:fldChar w:fldCharType="begin">
            <w:fldData xml:space="preserve">PEVuZE5vdGU+PENpdGU+PEF1dGhvcj5DaGV0dHk8L0F1dGhvcj48WWVhcj4yMDE3PC9ZZWFyPjxS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</w:fldData>
          </w:fldChar>
        </w:r>
        <w:r w:rsidR="002565E6">
          <w:instrText xml:space="preserve"> ADDIN EN.CITE.DATA </w:instrText>
        </w:r>
        <w:r w:rsidR="002565E6">
          <w:fldChar w:fldCharType="end"/>
        </w:r>
        <w:r w:rsidR="002565E6" w:rsidRPr="00EA3458">
          <w:fldChar w:fldCharType="separate"/>
        </w:r>
        <w:r w:rsidR="002565E6" w:rsidRPr="00646D54">
          <w:rPr>
            <w:noProof/>
            <w:vertAlign w:val="superscript"/>
          </w:rPr>
          <w:t>71</w:t>
        </w:r>
        <w:r w:rsidR="002565E6" w:rsidRPr="00EA3458">
          <w:fldChar w:fldCharType="end"/>
        </w:r>
      </w:hyperlink>
    </w:p>
    <w:p w14:paraId="6DA32A2D" w14:textId="7EBC6AE1" w:rsidR="006F0DAE" w:rsidRPr="00EA3458" w:rsidRDefault="006F0DAE">
      <w:r w:rsidRPr="00EA3458">
        <w:t xml:space="preserve">The protective effect on mortality is marked in people who are opioid dependent who experience incarceration, especially during the highest risk periods; that being in the first month of incarceration, time in prison and in the first 4 weeks post-incarceration. </w:t>
      </w:r>
      <w:r w:rsidR="009C1D8F">
        <w:t>M</w:t>
      </w:r>
      <w:r w:rsidRPr="00EA3458">
        <w:t>odelling shows that scaling-up O</w:t>
      </w:r>
      <w:r w:rsidR="007D2196">
        <w:t>D</w:t>
      </w:r>
      <w:r w:rsidRPr="00EA3458">
        <w:t>T</w:t>
      </w:r>
      <w:r w:rsidR="007D2196">
        <w:t xml:space="preserve"> medication service delivery</w:t>
      </w:r>
      <w:r w:rsidRPr="00EA3458">
        <w:t xml:space="preserve"> in prisons and the community could avert between 23.9% and 75.0% more deaths over 20 years than only scaling-up in the community. This suggests that interruptions in O</w:t>
      </w:r>
      <w:r w:rsidR="007D2196">
        <w:t>D</w:t>
      </w:r>
      <w:r w:rsidRPr="00EA3458">
        <w:t>T</w:t>
      </w:r>
      <w:r w:rsidR="007D2196">
        <w:t xml:space="preserve"> medication access</w:t>
      </w:r>
      <w:r w:rsidRPr="00EA3458">
        <w:t xml:space="preserve"> during incarceration may limit its population benefits and overall impact.</w:t>
      </w:r>
    </w:p>
    <w:p w14:paraId="2795F29D" w14:textId="77777777" w:rsidR="006F0DAE" w:rsidRPr="00EA3458" w:rsidRDefault="006F0DAE" w:rsidP="007E3DC8">
      <w:pPr>
        <w:pStyle w:val="Heading4"/>
        <w:numPr>
          <w:ilvl w:val="2"/>
          <w:numId w:val="45"/>
        </w:numPr>
      </w:pPr>
      <w:r w:rsidRPr="00EA3458">
        <w:t>Comparisons between buprenorphine and methadone</w:t>
      </w:r>
    </w:p>
    <w:p w14:paraId="3E894B06" w14:textId="6145B6E3" w:rsidR="006F0DAE" w:rsidRPr="00EA3458" w:rsidRDefault="006F0DAE">
      <w:r w:rsidRPr="00EA3458">
        <w:t>Previous reviews suggest retention is higher for people on higher doses of methadone (&gt;80mg daily) than lower methadone doses (&lt;60mg daily)</w:t>
      </w:r>
      <w:r w:rsidR="00B3373E">
        <w:t>.</w:t>
      </w:r>
      <w:hyperlink w:anchor="_ENREF_72" w:tooltip="Mattick, 2014 #48" w:history="1">
        <w:r w:rsidR="002565E6" w:rsidRPr="00EA3458">
          <w:fldChar w:fldCharType="begin"/>
        </w:r>
        <w:r w:rsidR="002565E6">
          <w:instrText xml:space="preserve"> ADDIN EN.CITE &lt;EndNote&gt;&lt;Cite&gt;&lt;Author&gt;Mattick&lt;/Author&gt;&lt;Year&gt;2014&lt;/Year&gt;&lt;RecNum&gt;48&lt;/RecNum&gt;&lt;DisplayText&gt;&lt;style face="superscript"&gt;72&lt;/style&gt;&lt;/DisplayText&gt;&lt;record&gt;&lt;rec-number&gt;48&lt;/rec-number&gt;&lt;foreign-keys&gt;&lt;key app="EN" db-id="pdp2v9rwnsez9qedfx2xtwa7tsw99rvd5zxv" timestamp="1638328521"&gt;48&lt;/key&gt;&lt;/foreign-keys&gt;&lt;ref-type name="Electronic Article"&gt;43&lt;/ref-type&gt;&lt;contributors&gt;&lt;authors&gt;&lt;author&gt;Mattick, Richard P.&lt;/author&gt;&lt;author&gt;Breen, Courtney&lt;/author&gt;&lt;author&gt;Kimber, Jo&lt;/author&gt;&lt;author&gt;Davoli, Marina&lt;/author&gt;&lt;/authors&gt;&lt;/contributors&gt;&lt;titles&gt;&lt;title&gt;Buprenorphine maintenance versus placebo or methadone maintenance for opioid dependence&lt;/title&gt;&lt;alt-title&gt;Cochrane Database of Systematic Reviews&lt;/alt-title&gt;&lt;/titles&gt;&lt;number&gt;2&lt;/number&gt;&lt;dates&gt;&lt;year&gt;2014&lt;/year&gt;&lt;/dates&gt;&lt;publisher&gt;John Wiley &amp;amp; Sons, Ltd&lt;/publisher&gt;&lt;accession-num&gt;CD002207&lt;/accession-num&gt;&lt;urls&gt;&lt;related-urls&gt;&lt;url&gt;&lt;style face="underline" font="default" size="100%"&gt;http://cochranelibrary-wiley.com/doi/10.1002/14651858.CD002207.pub4/abstract&lt;/style&gt;&lt;/url&gt;&lt;/related-urls&gt;&lt;/urls&gt;&lt;electronic-resource-num&gt;10.1002/14651858.CD002207.pub4&lt;/electronic-resource-num&gt;&lt;/record&gt;&lt;/Cite&gt;&lt;/EndNote&gt;</w:instrText>
        </w:r>
        <w:r w:rsidR="002565E6" w:rsidRPr="00EA3458">
          <w:fldChar w:fldCharType="separate"/>
        </w:r>
        <w:r w:rsidR="002565E6" w:rsidRPr="00646D54">
          <w:rPr>
            <w:noProof/>
            <w:vertAlign w:val="superscript"/>
          </w:rPr>
          <w:t>72</w:t>
        </w:r>
        <w:r w:rsidR="002565E6" w:rsidRPr="00EA3458">
          <w:fldChar w:fldCharType="end"/>
        </w:r>
      </w:hyperlink>
      <w:r w:rsidRPr="00EA3458">
        <w:t xml:space="preserve"> Retention is also higher among people on methadone compared with buprenorphine. It is worth noting retention on buprenorphine compared with methadone has significantly improved over time since its introduction in 2001 in NSW</w:t>
      </w:r>
      <w:r w:rsidR="00B3373E">
        <w:t>.</w:t>
      </w:r>
      <w:hyperlink w:anchor="_ENREF_73" w:tooltip="Bharat, 2021 #3450" w:history="1">
        <w:r w:rsidR="002565E6" w:rsidRPr="00EA3458">
          <w:fldChar w:fldCharType="begin"/>
        </w:r>
        <w:r w:rsidR="002565E6">
          <w:instrText xml:space="preserve"> ADDIN EN.CITE &lt;EndNote&gt;&lt;Cite&gt;&lt;Author&gt;Bharat&lt;/Author&gt;&lt;Year&gt;2021&lt;/Year&gt;&lt;RecNum&gt;3450&lt;/RecNum&gt;&lt;DisplayText&gt;&lt;style face="superscript"&gt;73&lt;/style&gt;&lt;/DisplayText&gt;&lt;record&gt;&lt;rec-number&gt;3450&lt;/rec-number&gt;&lt;foreign-keys&gt;&lt;key app="EN" db-id="pdp2v9rwnsez9qedfx2xtwa7tsw99rvd5zxv" timestamp="1644967129"&gt;3450&lt;/key&gt;&lt;/foreign-keys&gt;&lt;ref-type name="Journal Article"&gt;17&lt;/ref-type&gt;&lt;contributors&gt;&lt;authors&gt;&lt;author&gt;Bharat, C.&lt;/author&gt;&lt;author&gt;Larney, S.&lt;/author&gt;&lt;author&gt;Barbieri, S.&lt;/author&gt;&lt;author&gt;Dobbins, T.&lt;/author&gt;&lt;author&gt;Jones, N. R.&lt;/author&gt;&lt;author&gt;Hickman, M.&lt;/author&gt;&lt;author&gt;Gisev, N.&lt;/author&gt;&lt;author&gt;Ali, R.&lt;/author&gt;&lt;author&gt;Degenhardt, L.&lt;/author&gt;&lt;/authors&gt;&lt;/contributors&gt;&lt;titles&gt;&lt;title&gt;The effect of person, treatment and prescriber characteristics on retention in opioid agonist treatment: a 15-year retrospective cohort study&lt;/title&gt;&lt;secondary-title&gt;Addiction&lt;/secondary-title&gt;&lt;/titles&gt;&lt;pages&gt;3139-3152&lt;/pages&gt;&lt;volume&gt;116&lt;/volume&gt;&lt;number&gt;11&lt;/number&gt;&lt;dates&gt;&lt;year&gt;2021&lt;/year&gt;&lt;/dates&gt;&lt;accession-num&gt;33979008&lt;/accession-num&gt;&lt;urls&gt;&lt;related-urls&gt;&lt;url&gt;https://onlinelibrary.wiley.com/doi/10.1111/add.15514&lt;/url&gt;&lt;/related-urls&gt;&lt;/urls&gt;&lt;electronic-resource-num&gt;10.1111/add.15514&lt;/electronic-resource-num&gt;&lt;/record&gt;&lt;/Cite&gt;&lt;/EndNote&gt;</w:instrText>
        </w:r>
        <w:r w:rsidR="002565E6" w:rsidRPr="00EA3458">
          <w:fldChar w:fldCharType="separate"/>
        </w:r>
        <w:r w:rsidR="002565E6" w:rsidRPr="00646D54">
          <w:rPr>
            <w:noProof/>
            <w:vertAlign w:val="superscript"/>
          </w:rPr>
          <w:t>73</w:t>
        </w:r>
        <w:r w:rsidR="002565E6" w:rsidRPr="00EA3458">
          <w:fldChar w:fldCharType="end"/>
        </w:r>
      </w:hyperlink>
      <w:r w:rsidRPr="00EA3458">
        <w:t xml:space="preserve"> </w:t>
      </w:r>
    </w:p>
    <w:p w14:paraId="341004CA" w14:textId="1A4B7DE8" w:rsidR="006F0DAE" w:rsidRPr="00EA3458" w:rsidRDefault="006F0DAE">
      <w:r w:rsidRPr="00EA3458">
        <w:t>Evidence on the impact of O</w:t>
      </w:r>
      <w:r w:rsidR="007D2196">
        <w:t>D</w:t>
      </w:r>
      <w:r w:rsidRPr="00EA3458">
        <w:t>T medication type on extra-medical opioid use and other illicit drug use is mixed, with randomised controlled trials and observational studies reporting varying effects depending on how these measures have been collected and assessed.</w:t>
      </w:r>
    </w:p>
    <w:p w14:paraId="65948A87" w14:textId="45E817F5" w:rsidR="006F0DAE" w:rsidRPr="00EA3458" w:rsidRDefault="006F0DAE">
      <w:r w:rsidRPr="00EA3458">
        <w:t xml:space="preserve">Comparisons of physiological and functional measures most often favoured buprenorphine over methadone. In observational studies, validated measures of craving, severity/intensity, mean treatment satisfaction, depressive symptoms, as well as cardiac functioning, sexual </w:t>
      </w:r>
      <w:r w:rsidRPr="00EA3458">
        <w:lastRenderedPageBreak/>
        <w:t xml:space="preserve">dysfunction and all-cause adverse events are improved on buprenorphine compared to methadone. Methadone is favoured only for the outcome of global functioning in observational studies and for validated measures of craving in </w:t>
      </w:r>
      <w:r w:rsidR="00C97214">
        <w:t>randomised controlled trials (</w:t>
      </w:r>
      <w:r w:rsidRPr="00EA3458">
        <w:t>RCTs</w:t>
      </w:r>
      <w:r w:rsidR="00C97214">
        <w:t>)</w:t>
      </w:r>
      <w:r w:rsidRPr="00EA3458">
        <w:t>.</w:t>
      </w:r>
    </w:p>
    <w:p w14:paraId="0E935262" w14:textId="2FC72306" w:rsidR="006F0DAE" w:rsidRPr="00EA3458" w:rsidRDefault="006F0DAE">
      <w:r w:rsidRPr="00EA3458">
        <w:t>In the first 4 weeks of treatment, rates of all-cause mortality and drug-related poisoning among people on methadone were almost double the rates during the remainder of O</w:t>
      </w:r>
      <w:r w:rsidR="007D2196">
        <w:t>D</w:t>
      </w:r>
      <w:r w:rsidRPr="00EA3458">
        <w:t xml:space="preserve">T </w:t>
      </w:r>
      <w:r w:rsidR="007D2196">
        <w:t xml:space="preserve">with medicines </w:t>
      </w:r>
      <w:r w:rsidRPr="00EA3458">
        <w:t>but not for buprenorphine</w:t>
      </w:r>
      <w:r w:rsidR="00C97214">
        <w:t>.</w:t>
      </w:r>
      <w:hyperlink w:anchor="_ENREF_70" w:tooltip="Santo, 2021 #67" w:history="1">
        <w:r w:rsidR="002565E6" w:rsidRPr="00EA3458">
          <w:fldChar w:fldCharType="begin">
            <w:fldData xml:space="preserve">PEVuZE5vdGU+PENpdGU+PEF1dGhvcj5TYW50bzwvQXV0aG9yPjxZZWFyPjIwMjE8L1llYXI+PFJl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</w:fldData>
          </w:fldChar>
        </w:r>
        <w:r w:rsidR="002565E6">
          <w:instrText xml:space="preserve"> ADDIN EN.CITE </w:instrText>
        </w:r>
        <w:r w:rsidR="002565E6">
          <w:fldChar w:fldCharType="begin">
            <w:fldData xml:space="preserve">PEVuZE5vdGU+PENpdGU+PEF1dGhvcj5TYW50bzwvQXV0aG9yPjxZZWFyPjIwMjE8L1llYXI+PFJl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</w:fldData>
          </w:fldChar>
        </w:r>
        <w:r w:rsidR="002565E6">
          <w:instrText xml:space="preserve"> ADDIN EN.CITE.DATA </w:instrText>
        </w:r>
        <w:r w:rsidR="002565E6">
          <w:fldChar w:fldCharType="end"/>
        </w:r>
        <w:r w:rsidR="002565E6" w:rsidRPr="00EA3458">
          <w:fldChar w:fldCharType="separate"/>
        </w:r>
        <w:r w:rsidR="002565E6" w:rsidRPr="00646D54">
          <w:rPr>
            <w:noProof/>
            <w:vertAlign w:val="superscript"/>
          </w:rPr>
          <w:t>70</w:t>
        </w:r>
        <w:r w:rsidR="002565E6" w:rsidRPr="00EA3458">
          <w:fldChar w:fldCharType="end"/>
        </w:r>
      </w:hyperlink>
      <w:r w:rsidRPr="00EA3458">
        <w:t xml:space="preserve"> Two studies have found lower risk of mortality during induction onto </w:t>
      </w:r>
      <w:r w:rsidR="00163160">
        <w:t xml:space="preserve">sublingual </w:t>
      </w:r>
      <w:r w:rsidR="00566FCD" w:rsidRPr="00EA3458">
        <w:t xml:space="preserve">buprenorphine </w:t>
      </w:r>
      <w:r w:rsidRPr="00EA3458">
        <w:t xml:space="preserve">versus </w:t>
      </w:r>
      <w:r w:rsidR="00566FCD" w:rsidRPr="00EA3458">
        <w:t>methadone</w:t>
      </w:r>
      <w:r w:rsidR="00C97214">
        <w:t>.</w:t>
      </w:r>
      <w:r w:rsidRPr="00EA3458">
        <w:fldChar w:fldCharType="begin">
          <w:fldData xml:space="preserve">PEVuZE5vdGU+PENpdGU+PEF1dGhvcj5Tb3JkbzwvQXV0aG9yPjxZZWFyPjIwMTc8L1llYXI+PFJl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</w:fldData>
        </w:fldChar>
      </w:r>
      <w:r w:rsidR="00646D54">
        <w:instrText xml:space="preserve"> ADDIN EN.CITE </w:instrText>
      </w:r>
      <w:r w:rsidR="00646D54">
        <w:fldChar w:fldCharType="begin">
          <w:fldData xml:space="preserve">PEVuZE5vdGU+PENpdGU+PEF1dGhvcj5Tb3JkbzwvQXV0aG9yPjxZZWFyPjIwMTc8L1llYXI+PFJl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</w:fldData>
        </w:fldChar>
      </w:r>
      <w:r w:rsidR="00646D54">
        <w:instrText xml:space="preserve"> ADDIN EN.CITE.DATA </w:instrText>
      </w:r>
      <w:r w:rsidR="00646D54">
        <w:fldChar w:fldCharType="end"/>
      </w:r>
      <w:r w:rsidRPr="00EA3458">
        <w:fldChar w:fldCharType="separate"/>
      </w:r>
      <w:hyperlink w:anchor="_ENREF_74" w:tooltip="Sordo, 2017 #34" w:history="1">
        <w:r w:rsidR="002565E6" w:rsidRPr="00646D54">
          <w:rPr>
            <w:noProof/>
            <w:vertAlign w:val="superscript"/>
          </w:rPr>
          <w:t>74</w:t>
        </w:r>
      </w:hyperlink>
      <w:r w:rsidR="00646D54" w:rsidRPr="00646D54">
        <w:rPr>
          <w:noProof/>
          <w:vertAlign w:val="superscript"/>
        </w:rPr>
        <w:t>,</w:t>
      </w:r>
      <w:hyperlink w:anchor="_ENREF_75" w:tooltip="Hickman, 2018 #49" w:history="1">
        <w:r w:rsidR="002565E6" w:rsidRPr="00646D54">
          <w:rPr>
            <w:noProof/>
            <w:vertAlign w:val="superscript"/>
          </w:rPr>
          <w:t>75</w:t>
        </w:r>
      </w:hyperlink>
      <w:r w:rsidRPr="00EA3458">
        <w:fldChar w:fldCharType="end"/>
      </w:r>
      <w:r w:rsidRPr="00EA3458">
        <w:t xml:space="preserve"> Among opioid dependent women who are pregnant, neonatal outcomes may be superior for women maintained on buprenorphine</w:t>
      </w:r>
      <w:r w:rsidR="00C97214">
        <w:t>.</w:t>
      </w:r>
      <w:hyperlink w:anchor="_ENREF_76" w:tooltip="Zedler, 2016 #50" w:history="1">
        <w:r w:rsidR="002565E6" w:rsidRPr="00EA3458">
          <w:fldChar w:fldCharType="begin"/>
        </w:r>
        <w:r w:rsidR="002565E6">
          <w:instrText xml:space="preserve"> ADDIN EN.CITE &lt;EndNote&gt;&lt;Cite&gt;&lt;Author&gt;Zedler&lt;/Author&gt;&lt;Year&gt;2016&lt;/Year&gt;&lt;RecNum&gt;50&lt;/RecNum&gt;&lt;DisplayText&gt;&lt;style face="superscript"&gt;76&lt;/style&gt;&lt;/DisplayText&gt;&lt;record&gt;&lt;rec-number&gt;50&lt;/rec-number&gt;&lt;foreign-keys&gt;&lt;key app="EN" db-id="pdp2v9rwnsez9qedfx2xtwa7tsw99rvd5zxv" timestamp="1638328521"&gt;50&lt;/key&gt;&lt;/foreign-keys&gt;&lt;ref-type name="Journal Article"&gt;17&lt;/ref-type&gt;&lt;contributors&gt;&lt;authors&gt;&lt;author&gt;Zedler, B. K.&lt;/author&gt;&lt;author&gt;Mann, A. L.&lt;/author&gt;&lt;author&gt;Kim, M. M.&lt;/author&gt;&lt;author&gt;Amick, H. R.&lt;/author&gt;&lt;author&gt;Joyce, A. R.&lt;/author&gt;&lt;author&gt;Murrelle, E. L.&lt;/author&gt;&lt;author&gt;Jones, H. E.&lt;/author&gt;&lt;/authors&gt;&lt;/contributors&gt;&lt;titles&gt;&lt;title&gt;Buprenorphine compared with methadone to treat pregnant women with opioid use disorder: a systematic review and meta-analysis of safety in the mother, fetus and child&lt;/title&gt;&lt;secondary-title&gt;Addiction&lt;/secondary-title&gt;&lt;/titles&gt;&lt;pages&gt;2115-2128&lt;/pages&gt;&lt;volume&gt;111&lt;/volume&gt;&lt;number&gt;12&lt;/number&gt;&lt;dates&gt;&lt;year&gt;2016&lt;/year&gt;&lt;/dates&gt;&lt;accession-num&gt;27223595&lt;/accession-num&gt;&lt;urls&gt;&lt;related-urls&gt;&lt;url&gt;http://ovidsp.ovid.com/ovidweb.cgi?T=JS&amp;amp;CSC=Y&amp;amp;NEWS=N&amp;amp;PAGE=fulltext&amp;amp;D=medl&amp;amp;AN=27223595&lt;/url&gt;&lt;url&gt;https://www.ncbi.nlm.nih.gov/pmc/articles/PMC5129590/pdf/ADD-111-2115.pdf&lt;/url&gt;&lt;/related-urls&gt;&lt;/urls&gt;&lt;electronic-resource-num&gt;https://dx.doi.org/10.1111/add.13462&lt;/electronic-resource-num&gt;&lt;/record&gt;&lt;/Cite&gt;&lt;/EndNote&gt;</w:instrText>
        </w:r>
        <w:r w:rsidR="002565E6" w:rsidRPr="00EA3458">
          <w:fldChar w:fldCharType="separate"/>
        </w:r>
        <w:r w:rsidR="002565E6" w:rsidRPr="00646D54">
          <w:rPr>
            <w:noProof/>
            <w:vertAlign w:val="superscript"/>
          </w:rPr>
          <w:t>76</w:t>
        </w:r>
        <w:r w:rsidR="002565E6" w:rsidRPr="00EA3458">
          <w:fldChar w:fldCharType="end"/>
        </w:r>
      </w:hyperlink>
    </w:p>
    <w:p w14:paraId="44CC3E50" w14:textId="10841717" w:rsidR="006F0DAE" w:rsidRPr="00EA3458" w:rsidRDefault="006F0DAE">
      <w:bookmarkStart w:id="457" w:name="_Hlk16762674"/>
      <w:r w:rsidRPr="00EA3458">
        <w:t>Higher doses of methadone and buprenorphine increase retention in treatment</w:t>
      </w:r>
      <w:r w:rsidR="00C97214">
        <w:t>.</w:t>
      </w:r>
      <w:hyperlink w:anchor="_ENREF_42" w:tooltip="Faggiano, 2003 #43" w:history="1">
        <w:r w:rsidR="002565E6" w:rsidRPr="00EA3458">
          <w:fldChar w:fldCharType="begin"/>
        </w:r>
        <w:r w:rsidR="002565E6">
          <w:instrText xml:space="preserve"> ADDIN EN.CITE &lt;EndNote&gt;&lt;Cite&gt;&lt;Author&gt;Faggiano&lt;/Author&gt;&lt;Year&gt;2003&lt;/Year&gt;&lt;RecNum&gt;43&lt;/RecNum&gt;&lt;DisplayText&gt;&lt;style face="superscript"&gt;42&lt;/style&gt;&lt;/DisplayText&gt;&lt;record&gt;&lt;rec-number&gt;43&lt;/rec-number&gt;&lt;foreign-keys&gt;&lt;key app="EN" db-id="xssz590sx9vzw4ewpzdv0s5sret50aexdtd9" timestamp="1668645453"&gt;43&lt;/key&gt;&lt;/foreign-keys&gt;&lt;ref-type name="Electronic Article"&gt;43&lt;/ref-type&gt;&lt;contributors&gt;&lt;authors&gt;&lt;author&gt;Faggiano, Fabrizio&lt;/author&gt;&lt;author&gt;Vigna-Taglianti, Federica&lt;/author&gt;&lt;author&gt;Versino, Elisabetta&lt;/author&gt;&lt;author&gt;Lemma, Patrizia&lt;/author&gt;&lt;/authors&gt;&lt;/contributors&gt;&lt;titles&gt;&lt;title&gt;Methadone maintenance at different dosages for opioid dependence&lt;/title&gt;&lt;secondary-title&gt;Cochrane Database of Systematic Reviews&lt;/secondary-title&gt;&lt;/titles&gt;&lt;number&gt;3&lt;/number&gt;&lt;keywords&gt;&lt;keyword&gt;Controlled Clinical Trials as Topic&lt;/keyword&gt;&lt;keyword&gt;Methadone [administration &amp;amp; dosage]&lt;/keyword&gt;&lt;keyword&gt;Narcotics [administration &amp;amp; dosage]&lt;/keyword&gt;&lt;keyword&gt;Opioid-Related Disorders [rehabilitation]&lt;/keyword&gt;&lt;keyword&gt;Randomized Controlled Trials as Topic&lt;/keyword&gt;&lt;keyword&gt;Humans[checkword]&lt;/keyword&gt;&lt;keyword&gt;Addictn&lt;/keyword&gt;&lt;/keywords&gt;&lt;dates&gt;&lt;year&gt;2003&lt;/year&gt;&lt;/dates&gt;&lt;publisher&gt;John Wiley &amp;amp; Sons, Ltd&lt;/publisher&gt;&lt;accession-num&gt;CD002208&lt;/accession-num&gt;&lt;urls&gt;&lt;related-urls&gt;&lt;url&gt;http://cochranelibrary-wiley.com/doi/10.1002/14651858.CD002208/abstract&lt;/url&gt;&lt;/related-urls&gt;&lt;/urls&gt;&lt;electronic-resource-num&gt;10.1002/14651858.CD002208&lt;/electronic-resource-num&gt;&lt;/record&gt;&lt;/Cite&gt;&lt;/EndNote&gt;</w:instrText>
        </w:r>
        <w:r w:rsidR="002565E6" w:rsidRPr="00EA3458">
          <w:fldChar w:fldCharType="separate"/>
        </w:r>
        <w:r w:rsidR="002565E6" w:rsidRPr="00646D54">
          <w:rPr>
            <w:noProof/>
            <w:vertAlign w:val="superscript"/>
          </w:rPr>
          <w:t>42</w:t>
        </w:r>
        <w:r w:rsidR="002565E6" w:rsidRPr="00EA3458">
          <w:fldChar w:fldCharType="end"/>
        </w:r>
      </w:hyperlink>
      <w:bookmarkEnd w:id="457"/>
      <w:r w:rsidRPr="00EA3458">
        <w:t xml:space="preserve"> There is low quality evidence that supervised dosing (i.e., doses provided as directly observed doses by a pharmacist or other clinical worker) does not impact on retention</w:t>
      </w:r>
      <w:r w:rsidR="00C97214">
        <w:t>.</w:t>
      </w:r>
      <w:hyperlink w:anchor="_ENREF_77" w:tooltip="Saulle, 2017 #52" w:history="1">
        <w:r w:rsidR="002565E6" w:rsidRPr="00EA3458">
          <w:fldChar w:fldCharType="begin"/>
        </w:r>
        <w:r w:rsidR="002565E6">
          <w:instrText xml:space="preserve"> ADDIN EN.CITE &lt;EndNote&gt;&lt;Cite&gt;&lt;Author&gt;Saulle&lt;/Author&gt;&lt;Year&gt;2017&lt;/Year&gt;&lt;RecNum&gt;52&lt;/RecNum&gt;&lt;DisplayText&gt;&lt;style face="superscript"&gt;77&lt;/style&gt;&lt;/DisplayText&gt;&lt;record&gt;&lt;rec-number&gt;52&lt;/rec-number&gt;&lt;foreign-keys&gt;&lt;key app="EN" db-id="pdp2v9rwnsez9qedfx2xtwa7tsw99rvd5zxv" timestamp="1638328521"&gt;52&lt;/key&gt;&lt;/foreign-keys&gt;&lt;ref-type name="Electronic Article"&gt;43&lt;/ref-type&gt;&lt;contributors&gt;&lt;authors&gt;&lt;author&gt;Saulle, Rosella&lt;/author&gt;&lt;author&gt;Vecchi, Simona&lt;/author&gt;&lt;author&gt;Gowing, Linda&lt;/author&gt;&lt;/authors&gt;&lt;/contributors&gt;&lt;titles&gt;&lt;title&gt;Supervised dosing with a long-acting opioid medication in the management of opioid dependence&lt;/title&gt;&lt;alt-title&gt;Cochrane Database of Systematic Reviews&lt;/alt-title&gt;&lt;/titles&gt;&lt;number&gt;4&lt;/number&gt;&lt;dates&gt;&lt;year&gt;2017&lt;/year&gt;&lt;/dates&gt;&lt;publisher&gt;John Wiley &amp;amp; Sons, Ltd&lt;/publisher&gt;&lt;accession-num&gt;CD011983&lt;/accession-num&gt;&lt;urls&gt;&lt;related-urls&gt;&lt;url&gt;&lt;style face="underline" font="default" size="100%"&gt;http://cochranelibrary-wiley.com/doi/10.1002/14651858.CD011983.pub2/abstract&lt;/style&gt;&lt;/url&gt;&lt;/related-urls&gt;&lt;/urls&gt;&lt;electronic-resource-num&gt;10.1002/14651858.CD011983.pub2&lt;/electronic-resource-num&gt;&lt;/record&gt;&lt;/Cite&gt;&lt;/EndNote&gt;</w:instrText>
        </w:r>
        <w:r w:rsidR="002565E6" w:rsidRPr="00EA3458">
          <w:fldChar w:fldCharType="separate"/>
        </w:r>
        <w:r w:rsidR="002565E6" w:rsidRPr="00646D54">
          <w:rPr>
            <w:noProof/>
            <w:vertAlign w:val="superscript"/>
          </w:rPr>
          <w:t>77</w:t>
        </w:r>
        <w:r w:rsidR="002565E6" w:rsidRPr="00EA3458">
          <w:fldChar w:fldCharType="end"/>
        </w:r>
      </w:hyperlink>
      <w:r w:rsidRPr="00EA3458">
        <w:t xml:space="preserve"> There is insufficient evidence to assess the effectiveness of urine drug screening during O</w:t>
      </w:r>
      <w:r w:rsidR="007D2196">
        <w:t>D</w:t>
      </w:r>
      <w:r w:rsidRPr="00EA3458">
        <w:t>T</w:t>
      </w:r>
      <w:r w:rsidR="007D2196">
        <w:t xml:space="preserve"> with medicines</w:t>
      </w:r>
      <w:r w:rsidRPr="00EA3458">
        <w:t xml:space="preserve"> upon retention</w:t>
      </w:r>
      <w:r w:rsidR="00C97214">
        <w:t>.</w:t>
      </w:r>
      <w:r w:rsidRPr="00EA3458">
        <w:fldChar w:fldCharType="begin"/>
      </w:r>
      <w:r w:rsidR="00646D54">
        <w:instrText xml:space="preserve"> ADDIN EN.CITE &lt;EndNote&gt;&lt;Cite&gt;&lt;Author&gt;McEachern&lt;/Author&gt;&lt;Year&gt;in press&lt;/Year&gt;&lt;RecNum&gt;53&lt;/RecNum&gt;&lt;DisplayText&gt;&lt;style face="superscript"&gt;77, 78&lt;/style&gt;&lt;/DisplayText&gt;&lt;record&gt;&lt;rec-number&gt;53&lt;/rec-number&gt;&lt;foreign-keys&gt;&lt;key app="EN" db-id="pdp2v9rwnsez9qedfx2xtwa7tsw99rvd5zxv" timestamp="1638328521"&gt;53&lt;/key&gt;&lt;/foreign-keys&gt;&lt;ref-type name="Journal Article"&gt;17&lt;/ref-type&gt;&lt;contributors&gt;&lt;authors&gt;&lt;author&gt;McEachern, J.&lt;/author&gt;&lt;author&gt;Adye-White, L.&lt;/author&gt;&lt;author&gt;Priest, K.C.&lt;/author&gt;&lt;author&gt;Moss, E.&lt;/author&gt;&lt;author&gt;Gorfinkel, L.&lt;/author&gt;&lt;author&gt;Wood, E.&lt;/author&gt;&lt;author&gt;Cullen, W.&lt;/author&gt;&lt;author&gt;Klimas, J.&lt;/author&gt;&lt;/authors&gt;&lt;/contributors&gt;&lt;titles&gt;&lt;title&gt;Lacking evidence for the association between frequent urine drug screening and health outcomes of persons on opioid agonist therapy&lt;/title&gt;&lt;secondary-title&gt;International Journal of Drug Policy&lt;/secondary-title&gt;&lt;/titles&gt;&lt;periodical&gt;&lt;full-title&gt;International Journal of Drug Policy&lt;/full-title&gt;&lt;/periodical&gt;&lt;dates&gt;&lt;year&gt;in press&lt;/year&gt;&lt;/dates&gt;&lt;urls&gt;&lt;/urls&gt;&lt;/record&gt;&lt;/Cite&gt;&lt;Cite&gt;&lt;Author&gt;Saulle&lt;/Author&gt;&lt;Year&gt;2017&lt;/Year&gt;&lt;RecNum&gt;52&lt;/RecNum&gt;&lt;record&gt;&lt;rec-number&gt;52&lt;/rec-number&gt;&lt;foreign-keys&gt;&lt;key app="EN" db-id="pdp2v9rwnsez9qedfx2xtwa7tsw99rvd5zxv" timestamp="1638328521"&gt;52&lt;/key&gt;&lt;/foreign-keys&gt;&lt;ref-type name="Electronic Article"&gt;43&lt;/ref-type&gt;&lt;contributors&gt;&lt;authors&gt;&lt;author&gt;Saulle, Rosella&lt;/author&gt;&lt;author&gt;Vecchi, Simona&lt;/author&gt;&lt;author&gt;Gowing, Linda&lt;/author&gt;&lt;/authors&gt;&lt;/contributors&gt;&lt;titles&gt;&lt;title&gt;Supervised dosing with a long-acting opioid medication in the management of opioid dependence&lt;/title&gt;&lt;alt-title&gt;Cochrane Database of Systematic Reviews&lt;/alt-title&gt;&lt;/titles&gt;&lt;number&gt;4&lt;/number&gt;&lt;dates&gt;&lt;year&gt;2017&lt;/year&gt;&lt;/dates&gt;&lt;publisher&gt;John Wiley &amp;amp; Sons, Ltd&lt;/publisher&gt;&lt;accession-num&gt;CD011983&lt;/accession-num&gt;&lt;urls&gt;&lt;related-urls&gt;&lt;url&gt;&lt;style face="underline" font="default" size="100%"&gt;http://cochranelibrary-wiley.com/doi/10.1002/14651858.CD011983.pub2/abstract&lt;/style&gt;&lt;/url&gt;&lt;/related-urls&gt;&lt;/urls&gt;&lt;electronic-resource-num&gt;10.1002/14651858.CD011983.pub2&lt;/electronic-resource-num&gt;&lt;/record&gt;&lt;/Cite&gt;&lt;/EndNote&gt;</w:instrText>
      </w:r>
      <w:r w:rsidRPr="00EA3458">
        <w:fldChar w:fldCharType="separate"/>
      </w:r>
      <w:hyperlink w:anchor="_ENREF_77" w:tooltip="Saulle, 2017 #52" w:history="1">
        <w:r w:rsidR="002565E6" w:rsidRPr="00646D54">
          <w:rPr>
            <w:noProof/>
            <w:vertAlign w:val="superscript"/>
          </w:rPr>
          <w:t>77</w:t>
        </w:r>
      </w:hyperlink>
      <w:r w:rsidR="00646D54" w:rsidRPr="00646D54">
        <w:rPr>
          <w:noProof/>
          <w:vertAlign w:val="superscript"/>
        </w:rPr>
        <w:t>,</w:t>
      </w:r>
      <w:hyperlink w:anchor="_ENREF_78" w:tooltip="McEachern, in press #53" w:history="1">
        <w:r w:rsidR="002565E6" w:rsidRPr="00646D54">
          <w:rPr>
            <w:noProof/>
            <w:vertAlign w:val="superscript"/>
          </w:rPr>
          <w:t>78</w:t>
        </w:r>
      </w:hyperlink>
      <w:r w:rsidRPr="00EA3458">
        <w:fldChar w:fldCharType="end"/>
      </w:r>
      <w:r w:rsidRPr="00EA3458">
        <w:t xml:space="preserve"> Guidelines developed by the WHO for quality provision of O</w:t>
      </w:r>
      <w:r w:rsidR="007D2196">
        <w:t>D</w:t>
      </w:r>
      <w:r w:rsidRPr="00EA3458">
        <w:t>T</w:t>
      </w:r>
      <w:r w:rsidR="007D2196">
        <w:t xml:space="preserve"> with medicines</w:t>
      </w:r>
      <w:r w:rsidRPr="00EA3458">
        <w:t xml:space="preserve"> is based on evidence more than a decade old; these guidelines </w:t>
      </w:r>
      <w:r w:rsidR="00B72B17">
        <w:t>would likely benefit from</w:t>
      </w:r>
      <w:r w:rsidR="00B72B17" w:rsidRPr="00EA3458">
        <w:t xml:space="preserve"> </w:t>
      </w:r>
      <w:r w:rsidRPr="00EA3458">
        <w:t xml:space="preserve">updating </w:t>
      </w:r>
      <w:r w:rsidR="00703547" w:rsidRPr="00EA3458">
        <w:t>to</w:t>
      </w:r>
      <w:r w:rsidRPr="00EA3458">
        <w:t xml:space="preserve"> reflect developments in the evidence base since its publication.</w:t>
      </w:r>
    </w:p>
    <w:p w14:paraId="6A7F4C31" w14:textId="77777777" w:rsidR="006F0DAE" w:rsidRPr="00EA3458" w:rsidRDefault="006F0DAE" w:rsidP="00B54030">
      <w:pPr>
        <w:spacing w:line="276" w:lineRule="auto"/>
        <w:rPr>
          <w:rFonts w:ascii="Times New Roman" w:hAnsi="Times New Roman"/>
        </w:rPr>
      </w:pPr>
      <w:r w:rsidRPr="00EA3458">
        <w:t xml:space="preserve">There is no evidence to suggest dosages taken as prescribed, dosing visits missed (in randomised controlled trials), or treatment adherence (in observational studies) varied by medication type. </w:t>
      </w:r>
    </w:p>
    <w:p w14:paraId="309AD86E" w14:textId="35BE5503" w:rsidR="006F0DAE" w:rsidRPr="006A069E" w:rsidRDefault="006F0DAE" w:rsidP="007E3DC8">
      <w:pPr>
        <w:pStyle w:val="Heading4"/>
        <w:numPr>
          <w:ilvl w:val="2"/>
          <w:numId w:val="45"/>
        </w:numPr>
      </w:pPr>
      <w:bookmarkStart w:id="458" w:name="_Toc99135873"/>
      <w:bookmarkStart w:id="459" w:name="_Toc101790835"/>
      <w:r w:rsidRPr="006A069E">
        <w:t>Comparisons of sublingual versus LAIB formulations</w:t>
      </w:r>
      <w:bookmarkEnd w:id="458"/>
      <w:bookmarkEnd w:id="459"/>
    </w:p>
    <w:p w14:paraId="3F6DCBA1" w14:textId="37A5B818" w:rsidR="006F0DAE" w:rsidRPr="00EA3458" w:rsidRDefault="006F0DAE" w:rsidP="00F22F00">
      <w:r w:rsidRPr="00EA3458">
        <w:t xml:space="preserve">There are few data on effectiveness and no independent studies of effectiveness or cost-effectiveness of LAIB formulations in the Australian setting. Two US </w:t>
      </w:r>
      <w:r w:rsidR="00C97214">
        <w:t>RCTs</w:t>
      </w:r>
      <w:r w:rsidRPr="00EA3458">
        <w:t xml:space="preserve"> of the two LAIB therapies have been published. One RCT was a placebo-controlled study of the Sublocade</w:t>
      </w:r>
      <w:r w:rsidRPr="00EA3458">
        <w:rPr>
          <w:vertAlign w:val="superscript"/>
        </w:rPr>
        <w:t>®</w:t>
      </w:r>
      <w:r w:rsidRPr="00EA3458">
        <w:t xml:space="preserve"> </w:t>
      </w:r>
      <w:r w:rsidR="00253486" w:rsidRPr="00253486">
        <w:t>product</w:t>
      </w:r>
      <w:r w:rsidR="00C97214">
        <w:t>.</w:t>
      </w:r>
      <w:hyperlink w:anchor="_ENREF_51" w:tooltip="Haight, 2019 #52" w:history="1">
        <w:r w:rsidR="002565E6" w:rsidRPr="00253486">
          <w:fldChar w:fldCharType="begin"/>
        </w:r>
        <w:r w:rsidR="002565E6">
          <w:instrText xml:space="preserve"> ADDIN EN.CITE &lt;EndNote&gt;&lt;Cite&gt;&lt;Author&gt;Haight&lt;/Author&gt;&lt;Year&gt;2019&lt;/Year&gt;&lt;RecNum&gt;52&lt;/RecNum&gt;&lt;DisplayText&gt;&lt;style face="superscript"&gt;51&lt;/style&gt;&lt;/DisplayText&gt;&lt;record&gt;&lt;rec-number&gt;52&lt;/rec-number&gt;&lt;foreign-keys&gt;&lt;key app="EN" db-id="xssz590sx9vzw4ewpzdv0s5sret50aexdtd9" timestamp="1668645513"&gt;52&lt;/key&gt;&lt;/foreign-keys&gt;&lt;ref-type name="Journal Article"&gt;17&lt;/ref-type&gt;&lt;contributors&gt;&lt;authors&gt;&lt;author&gt;Haight, B.R.&lt;/author&gt;&lt;author&gt;Learned, S.M. &lt;/author&gt;&lt;author&gt;Laffont, C.M. &lt;/author&gt;&lt;author&gt;Fudala, P.J.&lt;/author&gt;&lt;author&gt;Zhao, Y. &lt;/author&gt;&lt;author&gt;Garofalo, A.S.&lt;/author&gt;&lt;author&gt;Greenwald, M.&lt;/author&gt;&lt;author&gt;Nadipelli, V.R.&lt;/author&gt;&lt;author&gt;Ling, W.&lt;/author&gt;&lt;author&gt;Heidbreder, C.&lt;/author&gt;&lt;/authors&gt;&lt;/contributors&gt;&lt;titles&gt;&lt;title&gt;Efficacy and safety of a monthly buprenorphine depot injection for opioid use disorder: a multicentre, randomised, double-blind, placebo-controlled, phase 3 trial&lt;/title&gt;&lt;secondary-title&gt;Lancet&lt;/secondary-title&gt;&lt;/titles&gt;&lt;pages&gt;779-790&lt;/pages&gt;&lt;volume&gt;393&lt;/volume&gt;&lt;number&gt;10173&lt;/number&gt;&lt;dates&gt;&lt;year&gt;2019&lt;/year&gt;&lt;/dates&gt;&lt;urls&gt;&lt;/urls&gt;&lt;/record&gt;&lt;/Cite&gt;&lt;/EndNote&gt;</w:instrText>
        </w:r>
        <w:r w:rsidR="002565E6" w:rsidRPr="00253486">
          <w:fldChar w:fldCharType="separate"/>
        </w:r>
        <w:r w:rsidR="002565E6" w:rsidRPr="00646D54">
          <w:rPr>
            <w:noProof/>
            <w:vertAlign w:val="superscript"/>
          </w:rPr>
          <w:t>51</w:t>
        </w:r>
        <w:r w:rsidR="002565E6" w:rsidRPr="00253486">
          <w:fldChar w:fldCharType="end"/>
        </w:r>
      </w:hyperlink>
      <w:r w:rsidRPr="00EA3458">
        <w:t xml:space="preserve"> No study has compared Sublocade</w:t>
      </w:r>
      <w:r w:rsidRPr="00EA3458">
        <w:rPr>
          <w:vertAlign w:val="superscript"/>
        </w:rPr>
        <w:t>®</w:t>
      </w:r>
      <w:r w:rsidRPr="00EA3458">
        <w:t xml:space="preserve"> to sublingual buprenorphine. The other RCT compared LAIB (Buvidal</w:t>
      </w:r>
      <w:r w:rsidRPr="00EA3458">
        <w:rPr>
          <w:vertAlign w:val="superscript"/>
        </w:rPr>
        <w:t>®</w:t>
      </w:r>
      <w:r w:rsidRPr="00EA3458">
        <w:t xml:space="preserve"> product) to daily sublingual </w:t>
      </w:r>
      <w:r w:rsidRPr="00253486">
        <w:t>buprenorphine</w:t>
      </w:r>
      <w:r w:rsidR="00C97214">
        <w:t>.</w:t>
      </w:r>
      <w:hyperlink w:anchor="_ENREF_52" w:tooltip="Lofwall, 2018 #53" w:history="1">
        <w:r w:rsidR="002565E6" w:rsidRPr="00253486">
          <w:fldChar w:fldCharType="begin"/>
        </w:r>
        <w:r w:rsidR="002565E6">
          <w:instrText xml:space="preserve"> ADDIN EN.CITE &lt;EndNote&gt;&lt;Cite&gt;&lt;Author&gt;Lofwall&lt;/Author&gt;&lt;Year&gt;2018&lt;/Year&gt;&lt;RecNum&gt;53&lt;/RecNum&gt;&lt;DisplayText&gt;&lt;style face="superscript"&gt;52&lt;/style&gt;&lt;/DisplayText&gt;&lt;record&gt;&lt;rec-number&gt;53&lt;/rec-number&gt;&lt;foreign-keys&gt;&lt;key app="EN" db-id="xssz590sx9vzw4ewpzdv0s5sret50aexdtd9" timestamp="1668645518"&gt;53&lt;/key&gt;&lt;/foreign-keys&gt;&lt;ref-type name="Journal Article"&gt;17&lt;/ref-type&gt;&lt;contributors&gt;&lt;authors&gt;&lt;author&gt;Lofwall, M.R.&lt;/author&gt;&lt;author&gt;Walsh, S.V.&lt;/author&gt;&lt;author&gt;Nunes, E.V.&lt;/author&gt;&lt;author&gt;Bailey, G.L.&lt;/author&gt;&lt;author&gt;Sigmon, S.C.&lt;/author&gt;&lt;author&gt;Kampman, K.M.&lt;/author&gt;&lt;author&gt;Kim, S. &lt;/author&gt;&lt;/authors&gt;&lt;/contributors&gt;&lt;titles&gt;&lt;title&gt;Weekly and Monthly Subcutaneous Buprenorphine Depot Formulations vs Daily Sublingual Buprenorphine with Naloxone for Treatment of Opioid Use Disorder: A Randomized Clinical Trial. &lt;/title&gt;&lt;secondary-title&gt;JAMA Internal Medicine&lt;/secondary-title&gt;&lt;/titles&gt;&lt;pages&gt;764-773&lt;/pages&gt;&lt;volume&gt;178&lt;/volume&gt;&lt;number&gt;6&lt;/number&gt;&lt;dates&gt;&lt;year&gt;2018&lt;/year&gt;&lt;/dates&gt;&lt;urls&gt;&lt;/urls&gt;&lt;/record&gt;&lt;/Cite&gt;&lt;/EndNote&gt;</w:instrText>
        </w:r>
        <w:r w:rsidR="002565E6" w:rsidRPr="00253486">
          <w:fldChar w:fldCharType="separate"/>
        </w:r>
        <w:r w:rsidR="002565E6" w:rsidRPr="00646D54">
          <w:rPr>
            <w:noProof/>
            <w:vertAlign w:val="superscript"/>
          </w:rPr>
          <w:t>52</w:t>
        </w:r>
        <w:r w:rsidR="002565E6" w:rsidRPr="00253486">
          <w:fldChar w:fldCharType="end"/>
        </w:r>
      </w:hyperlink>
      <w:r w:rsidRPr="00253486">
        <w:t xml:space="preserve"> LAIB</w:t>
      </w:r>
      <w:r w:rsidRPr="00EA3458">
        <w:t xml:space="preserve"> was superior to placebo; and non-inferior to sublingual buprenorphine, in reducing illicit opioid use. LAIB retention at 24 weeks was </w:t>
      </w:r>
      <w:r w:rsidRPr="00253486">
        <w:t>67%</w:t>
      </w:r>
      <w:hyperlink w:anchor="_ENREF_51" w:tooltip="Haight, 2019 #52" w:history="1">
        <w:r w:rsidR="002565E6" w:rsidRPr="00253486">
          <w:fldChar w:fldCharType="begin"/>
        </w:r>
        <w:r w:rsidR="002565E6">
          <w:instrText xml:space="preserve"> ADDIN EN.CITE &lt;EndNote&gt;&lt;Cite&gt;&lt;Author&gt;Haight&lt;/Author&gt;&lt;Year&gt;2019&lt;/Year&gt;&lt;RecNum&gt;52&lt;/RecNum&gt;&lt;DisplayText&gt;&lt;style face="superscript"&gt;51&lt;/style&gt;&lt;/DisplayText&gt;&lt;record&gt;&lt;rec-number&gt;52&lt;/rec-number&gt;&lt;foreign-keys&gt;&lt;key app="EN" db-id="xssz590sx9vzw4ewpzdv0s5sret50aexdtd9" timestamp="1668645513"&gt;52&lt;/key&gt;&lt;/foreign-keys&gt;&lt;ref-type name="Journal Article"&gt;17&lt;/ref-type&gt;&lt;contributors&gt;&lt;authors&gt;&lt;author&gt;Haight, B.R.&lt;/author&gt;&lt;author&gt;Learned, S.M. &lt;/author&gt;&lt;author&gt;Laffont, C.M. &lt;/author&gt;&lt;author&gt;Fudala, P.J.&lt;/author&gt;&lt;author&gt;Zhao, Y. &lt;/author&gt;&lt;author&gt;Garofalo, A.S.&lt;/author&gt;&lt;author&gt;Greenwald, M.&lt;/author&gt;&lt;author&gt;Nadipelli, V.R.&lt;/author&gt;&lt;author&gt;Ling, W.&lt;/author&gt;&lt;author&gt;Heidbreder, C.&lt;/author&gt;&lt;/authors&gt;&lt;/contributors&gt;&lt;titles&gt;&lt;title&gt;Efficacy and safety of a monthly buprenorphine depot injection for opioid use disorder: a multicentre, randomised, double-blind, placebo-controlled, phase 3 trial&lt;/title&gt;&lt;secondary-title&gt;Lancet&lt;/secondary-title&gt;&lt;/titles&gt;&lt;pages&gt;779-790&lt;/pages&gt;&lt;volume&gt;393&lt;/volume&gt;&lt;number&gt;10173&lt;/number&gt;&lt;dates&gt;&lt;year&gt;2019&lt;/year&gt;&lt;/dates&gt;&lt;urls&gt;&lt;/urls&gt;&lt;/record&gt;&lt;/Cite&gt;&lt;/EndNote&gt;</w:instrText>
        </w:r>
        <w:r w:rsidR="002565E6" w:rsidRPr="00253486">
          <w:fldChar w:fldCharType="separate"/>
        </w:r>
        <w:r w:rsidR="002565E6" w:rsidRPr="00646D54">
          <w:rPr>
            <w:noProof/>
            <w:vertAlign w:val="superscript"/>
          </w:rPr>
          <w:t>51</w:t>
        </w:r>
        <w:r w:rsidR="002565E6" w:rsidRPr="00253486">
          <w:fldChar w:fldCharType="end"/>
        </w:r>
      </w:hyperlink>
      <w:r w:rsidRPr="00253486">
        <w:t xml:space="preserve"> for</w:t>
      </w:r>
      <w:r w:rsidRPr="00EA3458">
        <w:t xml:space="preserve"> Sublocade</w:t>
      </w:r>
      <w:r w:rsidRPr="00EA3458">
        <w:rPr>
          <w:vertAlign w:val="superscript"/>
        </w:rPr>
        <w:t>®</w:t>
      </w:r>
      <w:r w:rsidRPr="00EA3458">
        <w:t xml:space="preserve"> and 73</w:t>
      </w:r>
      <w:r w:rsidRPr="00253486">
        <w:t>%</w:t>
      </w:r>
      <w:hyperlink w:anchor="_ENREF_52" w:tooltip="Lofwall, 2018 #53" w:history="1">
        <w:r w:rsidR="002565E6" w:rsidRPr="00253486">
          <w:fldChar w:fldCharType="begin"/>
        </w:r>
        <w:r w:rsidR="002565E6">
          <w:instrText xml:space="preserve"> ADDIN EN.CITE &lt;EndNote&gt;&lt;Cite&gt;&lt;Author&gt;Lofwall&lt;/Author&gt;&lt;Year&gt;2018&lt;/Year&gt;&lt;RecNum&gt;53&lt;/RecNum&gt;&lt;DisplayText&gt;&lt;style face="superscript"&gt;52&lt;/style&gt;&lt;/DisplayText&gt;&lt;record&gt;&lt;rec-number&gt;53&lt;/rec-number&gt;&lt;foreign-keys&gt;&lt;key app="EN" db-id="xssz590sx9vzw4ewpzdv0s5sret50aexdtd9" timestamp="1668645518"&gt;53&lt;/key&gt;&lt;/foreign-keys&gt;&lt;ref-type name="Journal Article"&gt;17&lt;/ref-type&gt;&lt;contributors&gt;&lt;authors&gt;&lt;author&gt;Lofwall, M.R.&lt;/author&gt;&lt;author&gt;Walsh, S.V.&lt;/author&gt;&lt;author&gt;Nunes, E.V.&lt;/author&gt;&lt;author&gt;Bailey, G.L.&lt;/author&gt;&lt;author&gt;Sigmon, S.C.&lt;/author&gt;&lt;author&gt;Kampman, K.M.&lt;/author&gt;&lt;author&gt;Kim, S. &lt;/author&gt;&lt;/authors&gt;&lt;/contributors&gt;&lt;titles&gt;&lt;title&gt;Weekly and Monthly Subcutaneous Buprenorphine Depot Formulations vs Daily Sublingual Buprenorphine with Naloxone for Treatment of Opioid Use Disorder: A Randomized Clinical Trial. &lt;/title&gt;&lt;secondary-title&gt;JAMA Internal Medicine&lt;/secondary-title&gt;&lt;/titles&gt;&lt;pages&gt;764-773&lt;/pages&gt;&lt;volume&gt;178&lt;/volume&gt;&lt;number&gt;6&lt;/number&gt;&lt;dates&gt;&lt;year&gt;2018&lt;/year&gt;&lt;/dates&gt;&lt;urls&gt;&lt;/urls&gt;&lt;/record&gt;&lt;/Cite&gt;&lt;/EndNote&gt;</w:instrText>
        </w:r>
        <w:r w:rsidR="002565E6" w:rsidRPr="00253486">
          <w:fldChar w:fldCharType="separate"/>
        </w:r>
        <w:r w:rsidR="002565E6" w:rsidRPr="00646D54">
          <w:rPr>
            <w:noProof/>
            <w:vertAlign w:val="superscript"/>
          </w:rPr>
          <w:t>52</w:t>
        </w:r>
        <w:r w:rsidR="002565E6" w:rsidRPr="00253486">
          <w:fldChar w:fldCharType="end"/>
        </w:r>
      </w:hyperlink>
      <w:r w:rsidRPr="00253486">
        <w:t xml:space="preserve"> for Buvidal</w:t>
      </w:r>
      <w:r w:rsidRPr="00EA3458">
        <w:rPr>
          <w:vertAlign w:val="superscript"/>
        </w:rPr>
        <w:t>®</w:t>
      </w:r>
      <w:r w:rsidRPr="00EA3458">
        <w:t>.</w:t>
      </w:r>
    </w:p>
    <w:p w14:paraId="2830A147" w14:textId="3A20F4D1" w:rsidR="00D5640D" w:rsidRPr="00D5640D" w:rsidRDefault="006F0DAE" w:rsidP="00F4345D">
      <w:r w:rsidRPr="00EA3458">
        <w:t>A small (n=119) company-sponsored RCT comparing one product (Buvidal</w:t>
      </w:r>
      <w:r w:rsidRPr="00EA3458">
        <w:rPr>
          <w:vertAlign w:val="superscript"/>
        </w:rPr>
        <w:t>®</w:t>
      </w:r>
      <w:r w:rsidRPr="00EA3458">
        <w:t>) to sublingual buprenorphine in public O</w:t>
      </w:r>
      <w:r w:rsidR="006A069E">
        <w:t>D</w:t>
      </w:r>
      <w:r w:rsidRPr="00EA3458">
        <w:t>T clinics has been completed</w:t>
      </w:r>
      <w:r w:rsidR="00C97214">
        <w:t>.</w:t>
      </w:r>
      <w:hyperlink w:anchor="_ENREF_56" w:tooltip="Lintzeris, 2021 #57" w:history="1">
        <w:r w:rsidR="002565E6" w:rsidRPr="00EA3458">
          <w:fldChar w:fldCharType="begin"/>
        </w:r>
        <w:r w:rsidR="002565E6">
          <w:instrText xml:space="preserve"> ADDIN EN.CITE &lt;EndNote&gt;&lt;Cite&gt;&lt;Author&gt;Lintzeris&lt;/Author&gt;&lt;Year&gt;2021&lt;/Year&gt;&lt;RecNum&gt;57&lt;/RecNum&gt;&lt;DisplayText&gt;&lt;style face="superscript"&gt;56&lt;/style&gt;&lt;/DisplayText&gt;&lt;record&gt;&lt;rec-number&gt;57&lt;/rec-number&gt;&lt;foreign-keys&gt;&lt;key app="EN" db-id="xssz590sx9vzw4ewpzdv0s5sret50aexdtd9" timestamp="1668645541"&gt;57&lt;/key&gt;&lt;/foreign-keys&gt;&lt;ref-type name="Journal Article"&gt;17&lt;/ref-type&gt;&lt;contributors&gt;&lt;authors&gt;&lt;author&gt;Lintzeris, N.&lt;/author&gt;&lt;author&gt;Dunlop, A. &lt;/author&gt;&lt;author&gt;Haber, P.&lt;/author&gt;&lt;author&gt;Lubman, D.&lt;/author&gt;&lt;author&gt;Graham, R.&lt;/author&gt;&lt;author&gt;Hutchinson, S.&lt;/author&gt;&lt;author&gt;Arunogiri, S.&lt;/author&gt;&lt;author&gt;Hayes, V.&lt;/author&gt;&lt;author&gt;Hjelmstrom, P. &lt;/author&gt;&lt;author&gt;Svedberg, A. &lt;/author&gt;&lt;author&gt;Peterson, S. &lt;/author&gt;&lt;author&gt;Tiberg, F. &lt;/author&gt;&lt;/authors&gt;&lt;/contributors&gt;&lt;titles&gt;&lt;title&gt;Patient-Reported Outcomes of Treatment of Opioid Dependence With Weekly and Monthly Subcutaneous Depot vs Daily Sublingual Buprenorphine&lt;/title&gt;&lt;secondary-title&gt;JAMA Network Open &lt;/secondary-title&gt;&lt;/titles&gt;&lt;pages&gt;e219041&lt;/pages&gt;&lt;volume&gt;4&lt;/volume&gt;&lt;number&gt;5&lt;/number&gt;&lt;dates&gt;&lt;year&gt;2021&lt;/year&gt;&lt;/dates&gt;&lt;urls&gt;&lt;/urls&gt;&lt;/record&gt;&lt;/Cite&gt;&lt;/EndNote&gt;</w:instrText>
        </w:r>
        <w:r w:rsidR="002565E6" w:rsidRPr="00EA3458">
          <w:fldChar w:fldCharType="separate"/>
        </w:r>
        <w:r w:rsidR="002565E6" w:rsidRPr="00646D54">
          <w:rPr>
            <w:noProof/>
            <w:vertAlign w:val="superscript"/>
          </w:rPr>
          <w:t>56</w:t>
        </w:r>
        <w:r w:rsidR="002565E6" w:rsidRPr="00EA3458">
          <w:fldChar w:fldCharType="end"/>
        </w:r>
      </w:hyperlink>
      <w:r w:rsidRPr="00EA3458">
        <w:t xml:space="preserve"> This study was underpowered to demonstrate equivalence; the paper focused on </w:t>
      </w:r>
      <w:r w:rsidR="00441126" w:rsidRPr="00EA3458">
        <w:t>consumer</w:t>
      </w:r>
      <w:r w:rsidRPr="00EA3458">
        <w:t xml:space="preserve"> satisfaction and found that those who received LAIB reported higher satisfaction with treatment than those who received sublingual buprenorphine</w:t>
      </w:r>
      <w:r w:rsidR="00C97214">
        <w:t>.</w:t>
      </w:r>
      <w:hyperlink w:anchor="_ENREF_56" w:tooltip="Lintzeris, 2021 #57" w:history="1">
        <w:r w:rsidR="002565E6" w:rsidRPr="00EA3458">
          <w:fldChar w:fldCharType="begin"/>
        </w:r>
        <w:r w:rsidR="002565E6">
          <w:instrText xml:space="preserve"> ADDIN EN.CITE &lt;EndNote&gt;&lt;Cite&gt;&lt;Author&gt;Lintzeris&lt;/Author&gt;&lt;Year&gt;2021&lt;/Year&gt;&lt;RecNum&gt;57&lt;/RecNum&gt;&lt;DisplayText&gt;&lt;style face="superscript"&gt;56&lt;/style&gt;&lt;/DisplayText&gt;&lt;record&gt;&lt;rec-number&gt;57&lt;/rec-number&gt;&lt;foreign-keys&gt;&lt;key app="EN" db-id="xssz590sx9vzw4ewpzdv0s5sret50aexdtd9" timestamp="1668645541"&gt;57&lt;/key&gt;&lt;/foreign-keys&gt;&lt;ref-type name="Journal Article"&gt;17&lt;/ref-type&gt;&lt;contributors&gt;&lt;authors&gt;&lt;author&gt;Lintzeris, N.&lt;/author&gt;&lt;author&gt;Dunlop, A. &lt;/author&gt;&lt;author&gt;Haber, P.&lt;/author&gt;&lt;author&gt;Lubman, D.&lt;/author&gt;&lt;author&gt;Graham, R.&lt;/author&gt;&lt;author&gt;Hutchinson, S.&lt;/author&gt;&lt;author&gt;Arunogiri, S.&lt;/author&gt;&lt;author&gt;Hayes, V.&lt;/author&gt;&lt;author&gt;Hjelmstrom, P. &lt;/author&gt;&lt;author&gt;Svedberg, A. &lt;/author&gt;&lt;author&gt;Peterson, S. &lt;/author&gt;&lt;author&gt;Tiberg, F. &lt;/author&gt;&lt;/authors&gt;&lt;/contributors&gt;&lt;titles&gt;&lt;title&gt;Patient-Reported Outcomes of Treatment of Opioid Dependence With Weekly and Monthly Subcutaneous Depot vs Daily Sublingual Buprenorphine&lt;/title&gt;&lt;secondary-title&gt;JAMA Network Open &lt;/secondary-title&gt;&lt;/titles&gt;&lt;pages&gt;e219041&lt;/pages&gt;&lt;volume&gt;4&lt;/volume&gt;&lt;number&gt;5&lt;/number&gt;&lt;dates&gt;&lt;year&gt;2021&lt;/year&gt;&lt;/dates&gt;&lt;urls&gt;&lt;/urls&gt;&lt;/record&gt;&lt;/Cite&gt;&lt;/EndNote&gt;</w:instrText>
        </w:r>
        <w:r w:rsidR="002565E6" w:rsidRPr="00EA3458">
          <w:fldChar w:fldCharType="separate"/>
        </w:r>
        <w:r w:rsidR="002565E6" w:rsidRPr="00646D54">
          <w:rPr>
            <w:noProof/>
            <w:vertAlign w:val="superscript"/>
          </w:rPr>
          <w:t>56</w:t>
        </w:r>
        <w:r w:rsidR="002565E6" w:rsidRPr="00EA3458">
          <w:fldChar w:fldCharType="end"/>
        </w:r>
      </w:hyperlink>
    </w:p>
    <w:p w14:paraId="46330ABE" w14:textId="50C1719E" w:rsidR="003C1F66" w:rsidRPr="006A069E" w:rsidRDefault="003C1F66" w:rsidP="007E3DC8">
      <w:pPr>
        <w:pStyle w:val="Heading4"/>
        <w:numPr>
          <w:ilvl w:val="2"/>
          <w:numId w:val="45"/>
        </w:numPr>
      </w:pPr>
      <w:r w:rsidRPr="006A069E">
        <w:t>Costs to consumers</w:t>
      </w:r>
    </w:p>
    <w:p w14:paraId="4A9D805E" w14:textId="21A7BD6B" w:rsidR="0027185D" w:rsidRDefault="003C1F66" w:rsidP="004139FC">
      <w:pPr>
        <w:rPr>
          <w:rStyle w:val="normaltextrun"/>
          <w:rFonts w:cs="Calibri"/>
          <w:color w:val="000000"/>
          <w:shd w:val="clear" w:color="auto" w:fill="FFFFFF"/>
        </w:rPr>
      </w:pPr>
      <w:r w:rsidRPr="175D4568">
        <w:t xml:space="preserve">Out-of-pocket costs for </w:t>
      </w:r>
      <w:r>
        <w:t>O</w:t>
      </w:r>
      <w:r w:rsidR="006A069E">
        <w:t>D</w:t>
      </w:r>
      <w:r>
        <w:t>T</w:t>
      </w:r>
      <w:r w:rsidRPr="175D4568">
        <w:t xml:space="preserve"> constitute a barrier to treatment entry and retention. </w:t>
      </w:r>
      <w:r w:rsidRPr="730A6126">
        <w:t xml:space="preserve">The percentage of </w:t>
      </w:r>
      <w:r>
        <w:t>consumers</w:t>
      </w:r>
      <w:r w:rsidRPr="730A6126">
        <w:t xml:space="preserve"> in O</w:t>
      </w:r>
      <w:r w:rsidR="00D86DD4">
        <w:t>D</w:t>
      </w:r>
      <w:r w:rsidRPr="730A6126">
        <w:t>T</w:t>
      </w:r>
      <w:r w:rsidR="00D86DD4">
        <w:t xml:space="preserve"> medicines</w:t>
      </w:r>
      <w:r w:rsidRPr="730A6126">
        <w:t xml:space="preserve"> who are receiving some form of social security payments may be as high as 90%</w:t>
      </w:r>
      <w:r w:rsidR="00C97214">
        <w:t>.</w:t>
      </w:r>
      <w:hyperlink w:anchor="_ENREF_79" w:tooltip="Haber, 2017 #3455" w:history="1">
        <w:r w:rsidR="002565E6" w:rsidRPr="730A6126">
          <w:fldChar w:fldCharType="begin"/>
        </w:r>
        <w:r w:rsidR="002565E6">
          <w:instrText xml:space="preserve"> ADDIN EN.CITE &lt;EndNote&gt;&lt;Cite&gt;&lt;Author&gt;Haber&lt;/Author&gt;&lt;Year&gt;2017&lt;/Year&gt;&lt;RecNum&gt;3455&lt;/RecNum&gt;&lt;DisplayText&gt;&lt;style face="superscript"&gt;79&lt;/style&gt;&lt;/DisplayText&gt;&lt;record&gt;&lt;rec-number&gt;3455&lt;/rec-number&gt;&lt;foreign-keys&gt;&lt;key app="EN" db-id="pdp2v9rwnsez9qedfx2xtwa7tsw99rvd5zxv" timestamp="1644967129"&gt;3455&lt;/key&gt;&lt;/foreign-keys&gt;&lt;ref-type name="Journal Article"&gt;17&lt;/ref-type&gt;&lt;contributors&gt;&lt;authors&gt;&lt;author&gt;Haber, Paul S.&lt;/author&gt;&lt;author&gt;Elsayed, Mahmoud&lt;/author&gt;&lt;author&gt;Espinoza, David&lt;/author&gt;&lt;author&gt;Lintzeris, Nicholas&lt;/author&gt;&lt;author&gt;Veillard, Anne-Sophie&lt;/author&gt;&lt;author&gt;Hallinan, Richard&lt;/author&gt;&lt;/authors&gt;&lt;/contributors&gt;&lt;titles&gt;&lt;title&gt;Constipation and other common symptoms reported by women and men in methadone and buprenorphine maintenance treatment&lt;/title&gt;&lt;secondary-title&gt;Drug Alcohol Depend&lt;/secondary-title&gt;&lt;/titles&gt;&lt;periodical&gt;&lt;full-title&gt;Drug Alcohol Depend&lt;/full-title&gt;&lt;/periodical&gt;&lt;pages&gt;132-139&lt;/pages&gt;&lt;volume&gt;181&lt;/volume&gt;&lt;dates&gt;&lt;year&gt;2017&lt;/year&gt;&lt;/dates&gt;&lt;publisher&gt;Elsevier Science&lt;/publisher&gt;&lt;accession-num&gt;1973988791; 2017-51570-021&lt;/accession-num&gt;&lt;urls&gt;&lt;related-urls&gt;&lt;url&gt;https://login.wwwproxy1.library.unsw.edu.au/login?url=https://www.proquest.com/scholarly-journals/constipation-other-common-symptoms-reported-women/docview/1973988791/se-2?accountid=12763&lt;/url&gt;&lt;/related-urls&gt;&lt;/urls&gt;&lt;electronic-resource-num&gt;http://dx.doi.org/10.1016/j.drugalcdep.2017.09.024&lt;/electronic-resource-num&gt;&lt;/record&gt;&lt;/Cite&gt;&lt;/EndNote&gt;</w:instrText>
        </w:r>
        <w:r w:rsidR="002565E6" w:rsidRPr="730A6126">
          <w:fldChar w:fldCharType="separate"/>
        </w:r>
        <w:r w:rsidR="002565E6" w:rsidRPr="00646D54">
          <w:rPr>
            <w:noProof/>
            <w:vertAlign w:val="superscript"/>
          </w:rPr>
          <w:t>79</w:t>
        </w:r>
        <w:r w:rsidR="002565E6" w:rsidRPr="730A6126">
          <w:fldChar w:fldCharType="end"/>
        </w:r>
      </w:hyperlink>
      <w:r w:rsidRPr="730A6126">
        <w:t xml:space="preserve"> In </w:t>
      </w:r>
      <w:r>
        <w:t>a</w:t>
      </w:r>
      <w:r w:rsidRPr="730A6126">
        <w:t xml:space="preserve"> cross-sectional survey of 402 people with opioid use disorder in N</w:t>
      </w:r>
      <w:r>
        <w:t>SW</w:t>
      </w:r>
      <w:r w:rsidRPr="730A6126">
        <w:t>, V</w:t>
      </w:r>
      <w:r w:rsidR="00574A21">
        <w:t>ictoria</w:t>
      </w:r>
      <w:r w:rsidRPr="730A6126">
        <w:t>, and T</w:t>
      </w:r>
      <w:r w:rsidR="00574A21">
        <w:t>asmania</w:t>
      </w:r>
      <w:r w:rsidRPr="730A6126">
        <w:t xml:space="preserve">, 87% of </w:t>
      </w:r>
      <w:r>
        <w:t>consumers</w:t>
      </w:r>
      <w:r w:rsidRPr="730A6126">
        <w:t xml:space="preserve"> receiving O</w:t>
      </w:r>
      <w:r w:rsidR="00D86DD4">
        <w:t>D</w:t>
      </w:r>
      <w:r w:rsidRPr="730A6126">
        <w:t xml:space="preserve">T medicines paid out-of-pocket costs, with travel costs </w:t>
      </w:r>
      <w:r>
        <w:t xml:space="preserve">to attend for dosing </w:t>
      </w:r>
      <w:r w:rsidRPr="730A6126">
        <w:t>(52%) and dispensing fees (44%) comprising the majority of these costs</w:t>
      </w:r>
      <w:r w:rsidR="00C97214">
        <w:t>.</w:t>
      </w:r>
      <w:hyperlink w:anchor="_ENREF_3" w:tooltip="Tran, 2022 #3" w:history="1">
        <w:r w:rsidR="002565E6" w:rsidRPr="730A6126">
          <w:fldChar w:fldCharType="begin"/>
        </w:r>
        <w:r w:rsidR="002565E6">
          <w:instrText xml:space="preserve"> ADDIN EN.CITE &lt;EndNote&gt;&lt;Cite&gt;&lt;Author&gt;Tran&lt;/Author&gt;&lt;Year&gt;2022&lt;/Year&gt;&lt;RecNum&gt;3&lt;/RecNum&gt;&lt;DisplayText&gt;&lt;style face="superscript"&gt;3&lt;/style&gt;&lt;/DisplayText&gt;&lt;record&gt;&lt;rec-number&gt;3&lt;/rec-number&gt;&lt;foreign-keys&gt;&lt;key app="EN" db-id="xssz590sx9vzw4ewpzdv0s5sret50aexdtd9" timestamp="1668645249"&gt;3&lt;/key&gt;&lt;/foreign-keys&gt;&lt;ref-type name="Journal Article"&gt;17&lt;/ref-type&gt;&lt;contributors&gt;&lt;authors&gt;&lt;author&gt;Tran, A.&lt;/author&gt;&lt;author&gt;Chen, R.&lt;/author&gt;&lt;author&gt;Nielsen, S. &lt;/author&gt;&lt;author&gt;Zahra, E. &lt;/author&gt;&lt;author&gt;Degenhardt, L.&lt;/author&gt;&lt;author&gt;Santo, T.&lt;/author&gt;&lt;author&gt;Farrell, M.&lt;/author&gt;&lt;author&gt;Larance, B.&lt;/author&gt;&lt;/authors&gt;&lt;/contributors&gt;&lt;titles&gt;&lt;title&gt;Economic analysis of out-of-pocket costs among people in opioid agonist treatment: A cross-sectional survey in three Australian jurisdictions&lt;/title&gt;&lt;secondary-title&gt;International Journal of Drug Policy&lt;/secondary-title&gt;&lt;/titles&gt;&lt;volume&gt;99&lt;/volume&gt;&lt;dates&gt;&lt;year&gt;2022&lt;/year&gt;&lt;/dates&gt;&lt;urls&gt;&lt;/urls&gt;&lt;/record&gt;&lt;/Cite&gt;&lt;/EndNote&gt;</w:instrText>
        </w:r>
        <w:r w:rsidR="002565E6" w:rsidRPr="730A6126">
          <w:fldChar w:fldCharType="separate"/>
        </w:r>
        <w:r w:rsidR="002565E6" w:rsidRPr="005531C9">
          <w:rPr>
            <w:noProof/>
            <w:vertAlign w:val="superscript"/>
          </w:rPr>
          <w:t>3</w:t>
        </w:r>
        <w:r w:rsidR="002565E6" w:rsidRPr="730A6126">
          <w:fldChar w:fldCharType="end"/>
        </w:r>
      </w:hyperlink>
      <w:r w:rsidRPr="175D4568">
        <w:t xml:space="preserve"> </w:t>
      </w:r>
      <w:r>
        <w:rPr>
          <w:rStyle w:val="normaltextrun"/>
          <w:rFonts w:cs="Calibri"/>
          <w:color w:val="000000"/>
          <w:shd w:val="clear" w:color="auto" w:fill="FFFFFF"/>
        </w:rPr>
        <w:t xml:space="preserve">The mean monthly total out-of-pocket costs (in 2018 </w:t>
      </w:r>
      <w:r>
        <w:rPr>
          <w:rStyle w:val="normaltextrun"/>
          <w:rFonts w:cs="Calibri"/>
          <w:color w:val="000000"/>
          <w:shd w:val="clear" w:color="auto" w:fill="FFFFFF"/>
        </w:rPr>
        <w:lastRenderedPageBreak/>
        <w:t xml:space="preserve">Australian dollars) were $135 for public clinics, $161 to $214 for community pharmacies and $355 for private clinics. </w:t>
      </w:r>
    </w:p>
    <w:p w14:paraId="51120969" w14:textId="1CC1094D" w:rsidR="0027185D" w:rsidRDefault="003C1F66" w:rsidP="004139FC">
      <w:r>
        <w:rPr>
          <w:rStyle w:val="normaltextrun"/>
          <w:rFonts w:cs="Calibri"/>
          <w:color w:val="000000"/>
          <w:shd w:val="clear" w:color="auto" w:fill="FFFFFF"/>
        </w:rPr>
        <w:t>T</w:t>
      </w:r>
      <w:r w:rsidRPr="59178481">
        <w:rPr>
          <w:rStyle w:val="normaltextrun"/>
          <w:rFonts w:cs="Calibri"/>
          <w:color w:val="000000" w:themeColor="text1"/>
        </w:rPr>
        <w:t>ravel costs (including dispensing travel costs and O</w:t>
      </w:r>
      <w:r w:rsidR="00D86DD4">
        <w:rPr>
          <w:rStyle w:val="normaltextrun"/>
          <w:rFonts w:cs="Calibri"/>
          <w:color w:val="000000" w:themeColor="text1"/>
        </w:rPr>
        <w:t>D</w:t>
      </w:r>
      <w:r w:rsidRPr="59178481">
        <w:rPr>
          <w:rStyle w:val="normaltextrun"/>
          <w:rFonts w:cs="Calibri"/>
          <w:color w:val="000000" w:themeColor="text1"/>
        </w:rPr>
        <w:t>T</w:t>
      </w:r>
      <w:r w:rsidR="00D86DD4">
        <w:rPr>
          <w:rStyle w:val="normaltextrun"/>
          <w:rFonts w:cs="Calibri"/>
          <w:color w:val="000000" w:themeColor="text1"/>
        </w:rPr>
        <w:t xml:space="preserve"> medicine</w:t>
      </w:r>
      <w:r w:rsidRPr="59178481">
        <w:rPr>
          <w:rStyle w:val="normaltextrun"/>
          <w:rFonts w:cs="Calibri"/>
          <w:color w:val="000000" w:themeColor="text1"/>
        </w:rPr>
        <w:t>-related appointment travel costs) accounted for more than half the costs (52%), followed by dispensing fees (44%) and O</w:t>
      </w:r>
      <w:r w:rsidR="00D86DD4">
        <w:rPr>
          <w:rStyle w:val="normaltextrun"/>
          <w:rFonts w:cs="Calibri"/>
          <w:color w:val="000000" w:themeColor="text1"/>
        </w:rPr>
        <w:t>D</w:t>
      </w:r>
      <w:r w:rsidRPr="59178481">
        <w:rPr>
          <w:rStyle w:val="normaltextrun"/>
          <w:rFonts w:cs="Calibri"/>
          <w:color w:val="000000" w:themeColor="text1"/>
        </w:rPr>
        <w:t>T</w:t>
      </w:r>
      <w:r w:rsidR="00D86DD4">
        <w:rPr>
          <w:rStyle w:val="normaltextrun"/>
          <w:rFonts w:cs="Calibri"/>
          <w:color w:val="000000" w:themeColor="text1"/>
        </w:rPr>
        <w:t xml:space="preserve"> medicine</w:t>
      </w:r>
      <w:r w:rsidRPr="59178481">
        <w:rPr>
          <w:rStyle w:val="normaltextrun"/>
          <w:rFonts w:cs="Calibri"/>
          <w:color w:val="000000" w:themeColor="text1"/>
        </w:rPr>
        <w:t xml:space="preserve">-related appointment costs (4%). </w:t>
      </w:r>
      <w:r w:rsidRPr="175D4568">
        <w:t xml:space="preserve">Compared to participants in NSW private clinics, those at public clinics paid one third the total out-of-pocket costs and those </w:t>
      </w:r>
      <w:r w:rsidRPr="1A8245CE">
        <w:t>attending</w:t>
      </w:r>
      <w:r w:rsidRPr="175D4568">
        <w:t xml:space="preserve"> NSW, T</w:t>
      </w:r>
      <w:r w:rsidR="00D86DD4">
        <w:t>asmania</w:t>
      </w:r>
      <w:r w:rsidR="00574A21">
        <w:t xml:space="preserve">n, </w:t>
      </w:r>
      <w:r w:rsidRPr="1A8245CE">
        <w:t xml:space="preserve">and </w:t>
      </w:r>
      <w:r w:rsidRPr="175D4568">
        <w:t>V</w:t>
      </w:r>
      <w:r w:rsidR="00D86DD4">
        <w:t>ictorian</w:t>
      </w:r>
      <w:r w:rsidRPr="175D4568">
        <w:t xml:space="preserve"> pharmacies paid approximately half the costs. </w:t>
      </w:r>
    </w:p>
    <w:p w14:paraId="2F2FE667" w14:textId="75768CCD" w:rsidR="003C1F66" w:rsidRPr="009100D1" w:rsidRDefault="003C1F66" w:rsidP="004139FC">
      <w:r w:rsidRPr="175D4568">
        <w:t xml:space="preserve">Further, total out-of-pocket costs disproportionately affects those who are newer in treatment and receiving fewer unsupervised doses. People </w:t>
      </w:r>
      <w:r w:rsidR="00574A21">
        <w:t>receiving</w:t>
      </w:r>
      <w:r w:rsidRPr="175D4568">
        <w:t xml:space="preserve"> </w:t>
      </w:r>
      <w:r>
        <w:t>O</w:t>
      </w:r>
      <w:r w:rsidR="00574A21">
        <w:t>D</w:t>
      </w:r>
      <w:r>
        <w:t>T</w:t>
      </w:r>
      <w:r w:rsidR="00574A21">
        <w:t xml:space="preserve"> medicines</w:t>
      </w:r>
      <w:r w:rsidRPr="175D4568">
        <w:t xml:space="preserve"> for more than a year paid half the total out-of-pocket costs, compared with those </w:t>
      </w:r>
      <w:r w:rsidR="00574A21">
        <w:t>receiving</w:t>
      </w:r>
      <w:r w:rsidRPr="175D4568">
        <w:t xml:space="preserve"> </w:t>
      </w:r>
      <w:r>
        <w:t>O</w:t>
      </w:r>
      <w:r w:rsidR="00574A21">
        <w:t>D</w:t>
      </w:r>
      <w:r>
        <w:t>T</w:t>
      </w:r>
      <w:r w:rsidR="00574A21">
        <w:t xml:space="preserve"> medicines</w:t>
      </w:r>
      <w:r w:rsidRPr="175D4568">
        <w:t xml:space="preserve"> less than a year. Higher total out-of-pocket cost were associated with </w:t>
      </w:r>
      <w:r>
        <w:t>consumers who were men</w:t>
      </w:r>
      <w:r w:rsidRPr="175D4568">
        <w:t>, no history of incarceration, travel distance of more than 5km to the dosing location, and treatment with buprenorphine compared with methadone treatment.</w:t>
      </w:r>
    </w:p>
    <w:p w14:paraId="738C8E21" w14:textId="3B1A790E" w:rsidR="0027185D" w:rsidRDefault="003C1F66" w:rsidP="004139FC">
      <w:r>
        <w:t>Consumers</w:t>
      </w:r>
      <w:r w:rsidRPr="175D4568">
        <w:t xml:space="preserve"> reported that they spent one-eighth of their income on out-of-pocket costs associated, with the financial burden higher for those attending private clinics compared with public clinics or pharmacies, which often involves unsupervised dosing. Some people face a higher burden of treatment</w:t>
      </w:r>
      <w:r>
        <w:t>:</w:t>
      </w:r>
      <w:r w:rsidRPr="175D4568">
        <w:t xml:space="preserve"> 23% of participants paid fees comprising 10% to &lt;20</w:t>
      </w:r>
      <w:r w:rsidRPr="1A8245CE">
        <w:t>% of their monthly income,</w:t>
      </w:r>
      <w:r w:rsidRPr="175D4568">
        <w:t xml:space="preserve"> and 7% of participants paid fees comprising 20% or more of </w:t>
      </w:r>
      <w:r w:rsidRPr="1A8245CE">
        <w:t>their</w:t>
      </w:r>
      <w:r w:rsidRPr="730A6126">
        <w:t xml:space="preserve"> monthly income</w:t>
      </w:r>
      <w:r w:rsidR="0004275A">
        <w:t>.</w:t>
      </w:r>
      <w:hyperlink w:anchor="_ENREF_4" w:tooltip="Zahra, 2022 #4" w:history="1">
        <w:r w:rsidR="002565E6" w:rsidRPr="730A6126">
          <w:fldChar w:fldCharType="begin"/>
        </w:r>
        <w:r w:rsidR="002565E6">
          <w:instrText xml:space="preserve"> ADDIN EN.CITE &lt;EndNote&gt;&lt;Cite&gt;&lt;Author&gt;Zahra&lt;/Author&gt;&lt;Year&gt;2022&lt;/Year&gt;&lt;RecNum&gt;4&lt;/RecNum&gt;&lt;DisplayText&gt;&lt;style face="superscript"&gt;4&lt;/style&gt;&lt;/DisplayText&gt;&lt;record&gt;&lt;rec-number&gt;4&lt;/rec-number&gt;&lt;foreign-keys&gt;&lt;key app="EN" db-id="xssz590sx9vzw4ewpzdv0s5sret50aexdtd9" timestamp="1668645253"&gt;4&lt;/key&gt;&lt;/foreign-keys&gt;&lt;ref-type name="Journal Article"&gt;17&lt;/ref-type&gt;&lt;contributors&gt;&lt;authors&gt;&lt;author&gt;Zahra, Emma&lt;/author&gt;&lt;author&gt;Chen, Rory&lt;/author&gt;&lt;author&gt;Nielsen, Suzanne&lt;/author&gt;&lt;author&gt;Tran, Anh&lt;/author&gt;&lt;author&gt;Santo, Thomas&lt;/author&gt;&lt;author&gt;Degenhardt, Louisa&lt;/author&gt;&lt;author&gt;Farrell, Michael&lt;/author&gt;&lt;author&gt;Byrne, Jude&lt;/author&gt;&lt;author&gt;Ali, Robert&lt;/author&gt;&lt;author&gt;Larance, Briony&lt;/author&gt;&lt;/authors&gt;&lt;/contributors&gt;&lt;titles&gt;&lt;title&gt;Examining the cost and impact of dosing fees among clients in opioid agonist treatment: Results from a cross-sectional survey of Australian treatment clients&lt;/title&gt;&lt;secondary-title&gt;Drug and Alchol Review&lt;/secondary-title&gt;&lt;/titles&gt;&lt;dates&gt;&lt;year&gt;2022&lt;/year&gt;&lt;/dates&gt;&lt;urls&gt;&lt;/urls&gt;&lt;/record&gt;&lt;/Cite&gt;&lt;/EndNote&gt;</w:instrText>
        </w:r>
        <w:r w:rsidR="002565E6" w:rsidRPr="730A6126">
          <w:fldChar w:fldCharType="separate"/>
        </w:r>
        <w:r w:rsidR="002565E6" w:rsidRPr="005531C9">
          <w:rPr>
            <w:noProof/>
            <w:vertAlign w:val="superscript"/>
          </w:rPr>
          <w:t>4</w:t>
        </w:r>
        <w:r w:rsidR="002565E6" w:rsidRPr="730A6126">
          <w:fldChar w:fldCharType="end"/>
        </w:r>
      </w:hyperlink>
      <w:r w:rsidRPr="175D4568">
        <w:t xml:space="preserve"> Among those that had ever been </w:t>
      </w:r>
      <w:r w:rsidR="00574A21">
        <w:t>received</w:t>
      </w:r>
      <w:r w:rsidRPr="175D4568">
        <w:t xml:space="preserve"> </w:t>
      </w:r>
      <w:r>
        <w:t>O</w:t>
      </w:r>
      <w:r w:rsidR="00574A21">
        <w:t>D</w:t>
      </w:r>
      <w:r>
        <w:t>T</w:t>
      </w:r>
      <w:r w:rsidR="00574A21">
        <w:t xml:space="preserve"> medicines</w:t>
      </w:r>
      <w:r w:rsidRPr="175D4568">
        <w:t xml:space="preserve">, 72% experienced difficulties in paying treatment costs; 36% left treatment earlier than intended and 25% had been excluded due to payment difficulties. </w:t>
      </w:r>
    </w:p>
    <w:p w14:paraId="1A0829A9" w14:textId="5F1E9DFF" w:rsidR="003C1F66" w:rsidRDefault="003C1F66" w:rsidP="004139FC">
      <w:r w:rsidRPr="175D4568">
        <w:t xml:space="preserve">This often had a detrimental impact on people's social, </w:t>
      </w:r>
      <w:r w:rsidR="00703547" w:rsidRPr="175D4568">
        <w:t>physical,</w:t>
      </w:r>
      <w:r w:rsidRPr="175D4568">
        <w:t xml:space="preserve"> and mental well-being and resulted in a range of strategies to gain income to support treatment continuation. The most common strategies reported were to borrow money from family and/or friends (36%), reduce food intake (17%), theft/fraud/dealing (12%), failure to pay household bills (phone, electricity, gas, etc) (10%), reduc</w:t>
      </w:r>
      <w:r>
        <w:t>tion of</w:t>
      </w:r>
      <w:r w:rsidRPr="175D4568">
        <w:t xml:space="preserve"> drug/alcohol use (9%) and incur</w:t>
      </w:r>
      <w:r>
        <w:t>ring</w:t>
      </w:r>
      <w:r w:rsidRPr="175D4568">
        <w:t xml:space="preserve"> at least one form of debt (38%). </w:t>
      </w:r>
      <w:r>
        <w:t>Consequently, c</w:t>
      </w:r>
      <w:r w:rsidRPr="175D4568">
        <w:t xml:space="preserve">ost savings as a </w:t>
      </w:r>
      <w:r>
        <w:t>result</w:t>
      </w:r>
      <w:r w:rsidRPr="175D4568">
        <w:t xml:space="preserve"> of avoiding pharmacy fees </w:t>
      </w:r>
      <w:r>
        <w:t>from</w:t>
      </w:r>
      <w:r w:rsidRPr="175D4568">
        <w:t xml:space="preserve"> previous daily dosing regimens require</w:t>
      </w:r>
      <w:r>
        <w:t>ments is</w:t>
      </w:r>
      <w:r w:rsidRPr="175D4568">
        <w:t xml:space="preserve"> a </w:t>
      </w:r>
      <w:r>
        <w:t xml:space="preserve">key </w:t>
      </w:r>
      <w:r w:rsidRPr="175D4568">
        <w:t xml:space="preserve">motivator for transitioning to and staying on the reduced dosing schedule required for </w:t>
      </w:r>
      <w:r w:rsidR="004D0AEA">
        <w:t>LAIB</w:t>
      </w:r>
      <w:r w:rsidR="0004275A">
        <w:t>.</w:t>
      </w:r>
      <w:hyperlink w:anchor="_ENREF_58" w:tooltip="Barnett, 2021 #59" w:history="1">
        <w:r w:rsidR="002565E6">
          <w:fldChar w:fldCharType="begin"/>
        </w:r>
        <w:r w:rsidR="002565E6">
          <w:instrText xml:space="preserve"> ADDIN EN.CITE &lt;EndNote&gt;&lt;Cite&gt;&lt;Author&gt;Barnett&lt;/Author&gt;&lt;Year&gt;2021&lt;/Year&gt;&lt;RecNum&gt;59&lt;/RecNum&gt;&lt;DisplayText&gt;&lt;style face="superscript"&gt;58&lt;/style&gt;&lt;/DisplayText&gt;&lt;record&gt;&lt;rec-number&gt;59&lt;/rec-number&gt;&lt;foreign-keys&gt;&lt;key app="EN" db-id="xssz590sx9vzw4ewpzdv0s5sret50aexdtd9" timestamp="1668645554"&gt;59&lt;/key&gt;&lt;/foreign-keys&gt;&lt;ref-type name="Journal Article"&gt;17&lt;/ref-type&gt;&lt;contributors&gt;&lt;authors&gt;&lt;author&gt;Barnett, A.&lt;/author&gt;&lt;author&gt;Savic, M.&lt;/author&gt;&lt;author&gt;Lintzeris, N.&lt;/author&gt;&lt;author&gt;Bathish, R.&lt;/author&gt;&lt;author&gt;Arunogiri, S.&lt;/author&gt;&lt;author&gt;Dunlop, A. J.&lt;/author&gt;&lt;author&gt;Haber, P.&lt;/author&gt;&lt;author&gt;Graham, R.&lt;/author&gt;&lt;author&gt;Hayes, V.&lt;/author&gt;&lt;author&gt;Lubman, D. I.&lt;/author&gt;&lt;/authors&gt;&lt;/contributors&gt;&lt;titles&gt;&lt;title&gt;Tracing the affordances of long-acting injectable depot buprenorphine: A qualitative study of patients&amp;apos; experiences in Australia&lt;/title&gt;&lt;secondary-title&gt;Drug Alcohol Depend&lt;/secondary-title&gt;&lt;/titles&gt;&lt;pages&gt;108959&lt;/pages&gt;&lt;volume&gt;227&lt;/volume&gt;&lt;dates&gt;&lt;year&gt;2021&lt;/year&gt;&lt;/dates&gt;&lt;accession-num&gt;34450472&lt;/accession-num&gt;&lt;urls&gt;&lt;/urls&gt;&lt;electronic-resource-num&gt;10.1016/j.drugalcdep.2021.108959&lt;/electronic-resource-num&gt;&lt;/record&gt;&lt;/Cite&gt;&lt;/EndNote&gt;</w:instrText>
        </w:r>
        <w:r w:rsidR="002565E6">
          <w:fldChar w:fldCharType="separate"/>
        </w:r>
        <w:r w:rsidR="002565E6" w:rsidRPr="00646D54">
          <w:rPr>
            <w:noProof/>
            <w:vertAlign w:val="superscript"/>
          </w:rPr>
          <w:t>58</w:t>
        </w:r>
        <w:r w:rsidR="002565E6">
          <w:fldChar w:fldCharType="end"/>
        </w:r>
      </w:hyperlink>
    </w:p>
    <w:p w14:paraId="42F47D00" w14:textId="08937477" w:rsidR="006F0DAE" w:rsidRPr="006A069E" w:rsidRDefault="006F0DAE" w:rsidP="007E3DC8">
      <w:pPr>
        <w:pStyle w:val="Heading4"/>
        <w:numPr>
          <w:ilvl w:val="2"/>
          <w:numId w:val="45"/>
        </w:numPr>
      </w:pPr>
      <w:bookmarkStart w:id="460" w:name="_Toc99135875"/>
      <w:bookmarkStart w:id="461" w:name="_Toc101790837"/>
      <w:r w:rsidRPr="006A069E">
        <w:t>Costs to governments</w:t>
      </w:r>
      <w:bookmarkEnd w:id="460"/>
      <w:bookmarkEnd w:id="461"/>
    </w:p>
    <w:p w14:paraId="386C52B9" w14:textId="4184F136" w:rsidR="006F0DAE" w:rsidRPr="00EA3458" w:rsidRDefault="006F0DAE">
      <w:pPr>
        <w:pStyle w:val="Heading5"/>
      </w:pPr>
      <w:r w:rsidRPr="00EA3458">
        <w:t>Costs of O</w:t>
      </w:r>
      <w:r w:rsidR="00574A21">
        <w:t>D</w:t>
      </w:r>
      <w:r w:rsidRPr="00EA3458">
        <w:t>T</w:t>
      </w:r>
      <w:r w:rsidR="00574A21">
        <w:t xml:space="preserve"> medicines</w:t>
      </w:r>
      <w:r w:rsidRPr="00EA3458">
        <w:t xml:space="preserve"> in community-based treatment settings</w:t>
      </w:r>
    </w:p>
    <w:p w14:paraId="2EAE685D" w14:textId="03C7D726" w:rsidR="006F0DAE" w:rsidRDefault="006F0DAE" w:rsidP="00981550">
      <w:pPr>
        <w:spacing w:after="0"/>
      </w:pPr>
      <w:r w:rsidRPr="00EA3458">
        <w:t xml:space="preserve">Bottom-up costing using the ingredients approach (meaning the costing of the different clinical components in the local sites were collected) conducted as part of the CoLAB cohort showed that the majority (75%) of the total annual treatment cost for consumers receiving </w:t>
      </w:r>
      <w:r w:rsidR="00890963">
        <w:t xml:space="preserve">LAIB </w:t>
      </w:r>
      <w:r w:rsidRPr="00EA3458">
        <w:t xml:space="preserve">was drug costs paid by the </w:t>
      </w:r>
      <w:r w:rsidR="00FF31B2">
        <w:t>Australian Government</w:t>
      </w:r>
      <w:r w:rsidRPr="00EA3458">
        <w:t xml:space="preserve">, with less than a quarter attributed to state-funded staff time involved in treatment administration (Figure </w:t>
      </w:r>
      <w:r w:rsidR="002D5DBD" w:rsidRPr="00EA3458">
        <w:t>5</w:t>
      </w:r>
      <w:r w:rsidRPr="00EA3458">
        <w:t>).</w:t>
      </w:r>
    </w:p>
    <w:p w14:paraId="1334F5BD" w14:textId="77777777" w:rsidR="00981550" w:rsidRPr="00EA3458" w:rsidRDefault="00981550" w:rsidP="00981550">
      <w:pPr>
        <w:spacing w:after="0"/>
      </w:pPr>
    </w:p>
    <w:p w14:paraId="73E67380" w14:textId="67F440AA" w:rsidR="006F0DAE" w:rsidRPr="00EA3458" w:rsidRDefault="006F0DAE">
      <w:pPr>
        <w:pStyle w:val="FIgures"/>
      </w:pPr>
      <w:bookmarkStart w:id="462" w:name="_Toc99542118"/>
      <w:bookmarkStart w:id="463" w:name="_Toc132823445"/>
      <w:r w:rsidRPr="00EA3458">
        <w:lastRenderedPageBreak/>
        <w:t xml:space="preserve">Figure </w:t>
      </w:r>
      <w:r w:rsidR="002D5DBD" w:rsidRPr="00EA3458">
        <w:t>5</w:t>
      </w:r>
      <w:r w:rsidRPr="00EA3458">
        <w:t xml:space="preserve">. Resource use as a percentage of total annual costs for delivery of 12 months of </w:t>
      </w:r>
      <w:r w:rsidR="00890963">
        <w:t xml:space="preserve">LAIB </w:t>
      </w:r>
      <w:r w:rsidRPr="00EA3458">
        <w:t>treatment</w:t>
      </w:r>
      <w:bookmarkEnd w:id="462"/>
      <w:bookmarkEnd w:id="463"/>
      <w:r w:rsidRPr="00EA3458">
        <w:t xml:space="preserve"> </w:t>
      </w:r>
    </w:p>
    <w:p w14:paraId="6AE9ECC9" w14:textId="77777777" w:rsidR="006F0DAE" w:rsidRPr="00EA3458" w:rsidRDefault="006F0DAE" w:rsidP="00702162">
      <w:pPr>
        <w:spacing w:line="276" w:lineRule="auto"/>
        <w:rPr>
          <w:rFonts w:eastAsia="Calibri" w:cs="Calibri"/>
        </w:rPr>
      </w:pPr>
      <w:r w:rsidRPr="00EA3458">
        <w:rPr>
          <w:noProof/>
        </w:rPr>
        <w:drawing>
          <wp:inline distT="0" distB="0" distL="0" distR="0" wp14:anchorId="71CA4B6D" wp14:editId="0EEFF1F9">
            <wp:extent cx="4735294" cy="3438412"/>
            <wp:effectExtent l="9525" t="9525" r="9525" b="9525"/>
            <wp:docPr id="2" name="Picture 2" descr="Pie chart&#10;&#10;Percentage of annual costs for delivery of 12 months LAIB treatment. &#10;&#10;75% Medicines&#10;23.19% Staff time&#10;1.69% Pathology&#10;0.12% Sund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ie chart&#10;&#10;Percentage of annual costs for delivery of 12 months LAIB treatment. &#10;&#10;75% Medicines&#10;23.19% Staff time&#10;1.69% Pathology&#10;0.12% Sundries"/>
                    <pic:cNvPicPr/>
                  </pic:nvPicPr>
                  <pic:blipFill>
                    <a:blip r:embed="rId27">
                      <a:extLst>
                        <a:ext uri="{28A0092B-C50C-407E-A947-70E740481C1C}">
                          <a14:useLocalDpi xmlns:a14="http://schemas.microsoft.com/office/drawing/2010/main" val="0"/>
                        </a:ext>
                      </a:extLst>
                    </a:blip>
                    <a:stretch>
                      <a:fillRect/>
                    </a:stretch>
                  </pic:blipFill>
                  <pic:spPr>
                    <a:xfrm>
                      <a:off x="0" y="0"/>
                      <a:ext cx="4735294" cy="3438412"/>
                    </a:xfrm>
                    <a:prstGeom prst="rect">
                      <a:avLst/>
                    </a:prstGeom>
                    <a:ln w="9525">
                      <a:solidFill>
                        <a:schemeClr val="tx1"/>
                      </a:solidFill>
                      <a:prstDash val="solid"/>
                    </a:ln>
                  </pic:spPr>
                </pic:pic>
              </a:graphicData>
            </a:graphic>
          </wp:inline>
        </w:drawing>
      </w:r>
    </w:p>
    <w:p w14:paraId="2B2DBB74" w14:textId="688F87B8" w:rsidR="006F0DAE" w:rsidRDefault="006F0DAE" w:rsidP="004F1482">
      <w:pPr>
        <w:spacing w:after="0" w:line="276" w:lineRule="auto"/>
        <w:rPr>
          <w:sz w:val="20"/>
        </w:rPr>
      </w:pPr>
      <w:r w:rsidRPr="00EA3458">
        <w:rPr>
          <w:sz w:val="20"/>
        </w:rPr>
        <w:t>Source: CoLAB study, unpublished</w:t>
      </w:r>
    </w:p>
    <w:p w14:paraId="65569B6C" w14:textId="77777777" w:rsidR="00F01D1F" w:rsidRPr="00EA3458" w:rsidRDefault="00F01D1F" w:rsidP="004F1482">
      <w:pPr>
        <w:spacing w:after="0" w:line="276" w:lineRule="auto"/>
        <w:rPr>
          <w:sz w:val="20"/>
        </w:rPr>
      </w:pPr>
    </w:p>
    <w:p w14:paraId="147D224A" w14:textId="3EBEE403" w:rsidR="006F0DAE" w:rsidRPr="00EA3458" w:rsidRDefault="006F0DAE" w:rsidP="00DA0E77">
      <w:pPr>
        <w:pStyle w:val="Heading5"/>
        <w:rPr>
          <w:rFonts w:ascii="Calibri" w:eastAsia="Calibri" w:hAnsi="Calibri" w:cs="Calibri"/>
          <w:color w:val="1F3864" w:themeColor="accent1" w:themeShade="80"/>
        </w:rPr>
      </w:pPr>
      <w:r w:rsidRPr="00EA3458">
        <w:t>Costs of O</w:t>
      </w:r>
      <w:r w:rsidR="00574A21">
        <w:t>D</w:t>
      </w:r>
      <w:r w:rsidRPr="00EA3458">
        <w:t>T</w:t>
      </w:r>
      <w:r w:rsidR="00574A21">
        <w:t xml:space="preserve"> medication</w:t>
      </w:r>
      <w:r w:rsidRPr="00EA3458">
        <w:t xml:space="preserve"> provision in custodial settings </w:t>
      </w:r>
    </w:p>
    <w:p w14:paraId="32E5EB35" w14:textId="34A023AB" w:rsidR="0043014E" w:rsidRDefault="006F0DAE" w:rsidP="00F22F00">
      <w:r w:rsidRPr="00EA3458">
        <w:rPr>
          <w:color w:val="000000" w:themeColor="text1"/>
        </w:rPr>
        <w:t>The c</w:t>
      </w:r>
      <w:r w:rsidRPr="00EA3458">
        <w:t>ost of O</w:t>
      </w:r>
      <w:r w:rsidR="00574A21">
        <w:t>D</w:t>
      </w:r>
      <w:r w:rsidRPr="00EA3458">
        <w:t>T</w:t>
      </w:r>
      <w:r w:rsidR="00574A21">
        <w:t xml:space="preserve"> medication</w:t>
      </w:r>
      <w:r w:rsidRPr="00EA3458">
        <w:t xml:space="preserve"> provision in NSW correctional facilities</w:t>
      </w:r>
      <w:r w:rsidR="0004275A">
        <w:t>,</w:t>
      </w:r>
      <w:hyperlink w:anchor="_ENREF_80" w:tooltip="R. Ling, 2022 #69" w:history="1">
        <w:r w:rsidR="002565E6">
          <w:fldChar w:fldCharType="begin"/>
        </w:r>
        <w:r w:rsidR="002565E6">
          <w:instrText xml:space="preserve"> ADDIN EN.CITE &lt;EndNote&gt;&lt;Cite&gt;&lt;Author&gt;R. Ling&lt;/Author&gt;&lt;Year&gt;2022&lt;/Year&gt;&lt;RecNum&gt;69&lt;/RecNum&gt;&lt;DisplayText&gt;&lt;style face="superscript"&gt;80&lt;/style&gt;&lt;/DisplayText&gt;&lt;record&gt;&lt;rec-number&gt;69&lt;/rec-number&gt;&lt;foreign-keys&gt;&lt;key app="EN" db-id="xssz590sx9vzw4ewpzdv0s5sret50aexdtd9" timestamp="1669338829"&gt;69&lt;/key&gt;&lt;/foreign-keys&gt;&lt;ref-type name="Journal Article"&gt;17&lt;/ref-type&gt;&lt;contributors&gt;&lt;authors&gt;&lt;author&gt;R. Ling, B. White, J. Roberts, M. Cretikos, M. V. Howard, P. S. Haber, N. Lintzeris, P. Reeves, A. J. Dunlop, A. Searles&lt;/author&gt;&lt;/authors&gt;&lt;/contributors&gt;&lt;titles&gt;&lt;title&gt;Depot buprenorphine as an opioid agonist therapy in New South Wales correctional centres: a costing model&lt;/title&gt;&lt;secondary-title&gt;BMC Health Services Research&lt;/secondary-title&gt;&lt;/titles&gt;&lt;pages&gt;1326&lt;/pages&gt;&lt;volume&gt;22&lt;/volume&gt;&lt;number&gt;1&lt;/number&gt;&lt;dates&gt;&lt;year&gt;2022&lt;/year&gt;&lt;pub-dates&gt;&lt;date&gt;08/11/2022&lt;/date&gt;&lt;/pub-dates&gt;&lt;/dates&gt;&lt;urls&gt;&lt;/urls&gt;&lt;electronic-resource-num&gt;10.1186/s12913-022-08687-8&lt;/electronic-resource-num&gt;&lt;/record&gt;&lt;/Cite&gt;&lt;/EndNote&gt;</w:instrText>
        </w:r>
        <w:r w:rsidR="002565E6">
          <w:fldChar w:fldCharType="separate"/>
        </w:r>
        <w:r w:rsidR="002565E6" w:rsidRPr="002565E6">
          <w:rPr>
            <w:noProof/>
            <w:vertAlign w:val="superscript"/>
          </w:rPr>
          <w:t>80</w:t>
        </w:r>
        <w:r w:rsidR="002565E6">
          <w:fldChar w:fldCharType="end"/>
        </w:r>
      </w:hyperlink>
      <w:r w:rsidRPr="00EA3458">
        <w:t xml:space="preserve"> estimated by a bottom-up approach as part of an open-label, non-randomised study (</w:t>
      </w:r>
      <w:r w:rsidRPr="006562D4">
        <w:rPr>
          <w:i/>
          <w:iCs/>
        </w:rPr>
        <w:t>the 'UNLOC-T' study, ACTRN12618000942257</w:t>
      </w:r>
      <w:r w:rsidRPr="00EA3458">
        <w:t xml:space="preserve">) revealed potential savings in the cost of medication administration for LAIB compared with the sublingual formulation and with </w:t>
      </w:r>
      <w:r w:rsidR="00574A21">
        <w:t xml:space="preserve">oral </w:t>
      </w:r>
      <w:r w:rsidRPr="00EA3458">
        <w:t>methadone. The monthly costs of treatment administration (</w:t>
      </w:r>
      <w:r w:rsidRPr="00EA3458">
        <w:rPr>
          <w:rStyle w:val="normaltextrun"/>
          <w:rFonts w:cs="Calibri"/>
          <w:bdr w:val="none" w:sz="0" w:space="0" w:color="auto" w:frame="1"/>
        </w:rPr>
        <w:t>in 2019 Australian dollars)</w:t>
      </w:r>
      <w:r w:rsidRPr="00EA3458">
        <w:t>, funded by the NSW government (both Corrective Services NSW and the Justice Health and Forensic Mental Health Network)</w:t>
      </w:r>
      <w:r w:rsidR="0043014E">
        <w:t>, and</w:t>
      </w:r>
      <w:r w:rsidRPr="00EA3458">
        <w:t xml:space="preserve"> </w:t>
      </w:r>
      <w:r w:rsidR="0028256B" w:rsidRPr="00EA3458">
        <w:t>the costs of the actual medication, paid for by the Commonwealth government</w:t>
      </w:r>
      <w:r w:rsidR="0028256B">
        <w:t xml:space="preserve"> are summarised </w:t>
      </w:r>
      <w:r w:rsidR="0028256B" w:rsidRPr="00156F80">
        <w:t xml:space="preserve">in Table </w:t>
      </w:r>
      <w:r w:rsidR="00156F80" w:rsidRPr="00156F80">
        <w:t>11</w:t>
      </w:r>
      <w:r w:rsidR="0028256B">
        <w:t xml:space="preserve">. </w:t>
      </w:r>
      <w:r w:rsidR="0028256B" w:rsidRPr="00EA3458">
        <w:t>As in the community, the costs of the actual medication comprised the bulk of the total cost for LAIB.</w:t>
      </w:r>
    </w:p>
    <w:p w14:paraId="50CE56BF" w14:textId="7348E1E9" w:rsidR="0043014E" w:rsidRDefault="0043014E" w:rsidP="00574A21">
      <w:pPr>
        <w:pStyle w:val="Tables"/>
      </w:pPr>
      <w:bookmarkStart w:id="464" w:name="_Toc132823431"/>
      <w:r w:rsidRPr="00156F80">
        <w:t xml:space="preserve">Table </w:t>
      </w:r>
      <w:r w:rsidR="00156F80" w:rsidRPr="00156F80">
        <w:t>11</w:t>
      </w:r>
      <w:r w:rsidRPr="00156F80">
        <w:t xml:space="preserve">. </w:t>
      </w:r>
      <w:r w:rsidR="0028256B" w:rsidRPr="00156F80">
        <w:rPr>
          <w:rStyle w:val="normaltextrun"/>
        </w:rPr>
        <w:t>Costs</w:t>
      </w:r>
      <w:r w:rsidR="0028256B">
        <w:rPr>
          <w:rStyle w:val="normaltextrun"/>
        </w:rPr>
        <w:t xml:space="preserve"> of </w:t>
      </w:r>
      <w:r w:rsidR="00574A21">
        <w:rPr>
          <w:rStyle w:val="normaltextrun"/>
        </w:rPr>
        <w:t>ODT medicines</w:t>
      </w:r>
      <w:r w:rsidR="0028256B">
        <w:rPr>
          <w:rStyle w:val="normaltextrun"/>
        </w:rPr>
        <w:t xml:space="preserve"> in NSW correctional facilities</w:t>
      </w:r>
      <w:hyperlink w:anchor="_ENREF_80" w:tooltip="R. Ling, 2022 #69" w:history="1">
        <w:r w:rsidR="00156F80">
          <w:fldChar w:fldCharType="begin"/>
        </w:r>
        <w:r w:rsidR="00156F80">
          <w:instrText xml:space="preserve"> ADDIN EN.CITE &lt;EndNote&gt;&lt;Cite&gt;&lt;Author&gt;R. Ling&lt;/Author&gt;&lt;Year&gt;2022&lt;/Year&gt;&lt;RecNum&gt;69&lt;/RecNum&gt;&lt;DisplayText&gt;&lt;style face="superscript"&gt;80&lt;/style&gt;&lt;/DisplayText&gt;&lt;record&gt;&lt;rec-number&gt;69&lt;/rec-number&gt;&lt;foreign-keys&gt;&lt;key app="EN" db-id="xssz590sx9vzw4ewpzdv0s5sret50aexdtd9" timestamp="1669338829"&gt;69&lt;/key&gt;&lt;/foreign-keys&gt;&lt;ref-type name="Journal Article"&gt;17&lt;/ref-type&gt;&lt;contributors&gt;&lt;authors&gt;&lt;author&gt;R. Ling, B. White, J. Roberts, M. Cretikos, M. V. Howard, P. S. Haber, N. Lintzeris, P. Reeves, A. J. Dunlop, A. Searles&lt;/author&gt;&lt;/authors&gt;&lt;/contributors&gt;&lt;titles&gt;&lt;title&gt;Depot buprenorphine as an opioid agonist therapy in New South Wales correctional centres: a costing model&lt;/title&gt;&lt;secondary-title&gt;BMC Health Services Research&lt;/secondary-title&gt;&lt;/titles&gt;&lt;pages&gt;1326&lt;/pages&gt;&lt;volume&gt;22&lt;/volume&gt;&lt;number&gt;1&lt;/number&gt;&lt;dates&gt;&lt;year&gt;2022&lt;/year&gt;&lt;pub-dates&gt;&lt;date&gt;08/11/2022&lt;/date&gt;&lt;/pub-dates&gt;&lt;/dates&gt;&lt;urls&gt;&lt;/urls&gt;&lt;electronic-resource-num&gt;10.1186/s12913-022-08687-8&lt;/electronic-resource-num&gt;&lt;/record&gt;&lt;/Cite&gt;&lt;/EndNote&gt;</w:instrText>
        </w:r>
        <w:r w:rsidR="00156F80">
          <w:fldChar w:fldCharType="separate"/>
        </w:r>
        <w:r w:rsidR="00156F80" w:rsidRPr="002565E6">
          <w:rPr>
            <w:noProof/>
            <w:vertAlign w:val="superscript"/>
          </w:rPr>
          <w:t>80</w:t>
        </w:r>
        <w:bookmarkEnd w:id="464"/>
        <w:r w:rsidR="00156F80">
          <w:fldChar w:fldCharType="end"/>
        </w:r>
      </w:hyperlink>
    </w:p>
    <w:tbl>
      <w:tblPr>
        <w:tblStyle w:val="TableGrid"/>
        <w:tblW w:w="0" w:type="auto"/>
        <w:tblInd w:w="0" w:type="dxa"/>
        <w:tblLook w:val="04A0" w:firstRow="1" w:lastRow="0" w:firstColumn="1" w:lastColumn="0" w:noHBand="0" w:noVBand="1"/>
      </w:tblPr>
      <w:tblGrid>
        <w:gridCol w:w="3005"/>
        <w:gridCol w:w="3005"/>
        <w:gridCol w:w="3006"/>
      </w:tblGrid>
      <w:tr w:rsidR="0043014E" w14:paraId="536E1A45" w14:textId="77777777" w:rsidTr="00632B62">
        <w:tc>
          <w:tcPr>
            <w:tcW w:w="3005" w:type="dxa"/>
            <w:shd w:val="clear" w:color="auto" w:fill="D9D9D9" w:themeFill="background1" w:themeFillShade="D9"/>
          </w:tcPr>
          <w:p w14:paraId="54EEEB73" w14:textId="0E67C36D" w:rsidR="0043014E" w:rsidRPr="00574A21" w:rsidRDefault="0043014E" w:rsidP="00574A21">
            <w:pPr>
              <w:jc w:val="left"/>
              <w:rPr>
                <w:b/>
                <w:bCs/>
              </w:rPr>
            </w:pPr>
            <w:r w:rsidRPr="00574A21">
              <w:rPr>
                <w:b/>
                <w:bCs/>
              </w:rPr>
              <w:t>Medicine</w:t>
            </w:r>
          </w:p>
        </w:tc>
        <w:tc>
          <w:tcPr>
            <w:tcW w:w="3005" w:type="dxa"/>
            <w:shd w:val="clear" w:color="auto" w:fill="D9D9D9" w:themeFill="background1" w:themeFillShade="D9"/>
          </w:tcPr>
          <w:p w14:paraId="6CCB767D" w14:textId="0E9C0C1C" w:rsidR="0043014E" w:rsidRPr="00574A21" w:rsidRDefault="0043014E" w:rsidP="00574A21">
            <w:pPr>
              <w:jc w:val="left"/>
              <w:rPr>
                <w:b/>
                <w:bCs/>
              </w:rPr>
            </w:pPr>
            <w:r w:rsidRPr="00574A21">
              <w:rPr>
                <w:b/>
                <w:bCs/>
              </w:rPr>
              <w:t>Monthly cost of treatment administration</w:t>
            </w:r>
          </w:p>
        </w:tc>
        <w:tc>
          <w:tcPr>
            <w:tcW w:w="3006" w:type="dxa"/>
            <w:shd w:val="clear" w:color="auto" w:fill="D9D9D9" w:themeFill="background1" w:themeFillShade="D9"/>
          </w:tcPr>
          <w:p w14:paraId="548D7FD6" w14:textId="2F7249F6" w:rsidR="0043014E" w:rsidRPr="00574A21" w:rsidRDefault="0043014E" w:rsidP="00574A21">
            <w:pPr>
              <w:jc w:val="left"/>
              <w:rPr>
                <w:b/>
                <w:bCs/>
              </w:rPr>
            </w:pPr>
            <w:r w:rsidRPr="00574A21">
              <w:rPr>
                <w:b/>
                <w:bCs/>
              </w:rPr>
              <w:t>Monthly cost of medication</w:t>
            </w:r>
          </w:p>
        </w:tc>
      </w:tr>
      <w:tr w:rsidR="0043014E" w14:paraId="242F66E8" w14:textId="77777777" w:rsidTr="0043014E">
        <w:tc>
          <w:tcPr>
            <w:tcW w:w="3005" w:type="dxa"/>
          </w:tcPr>
          <w:p w14:paraId="41F2A7A0" w14:textId="4CC3BDC5" w:rsidR="0043014E" w:rsidRDefault="0043014E" w:rsidP="00574A21">
            <w:pPr>
              <w:jc w:val="left"/>
            </w:pPr>
            <w:r>
              <w:t>LAIB</w:t>
            </w:r>
          </w:p>
        </w:tc>
        <w:tc>
          <w:tcPr>
            <w:tcW w:w="3005" w:type="dxa"/>
          </w:tcPr>
          <w:p w14:paraId="151587CF" w14:textId="7E8528DD" w:rsidR="0043014E" w:rsidRDefault="0043014E" w:rsidP="00574A21">
            <w:pPr>
              <w:jc w:val="left"/>
            </w:pPr>
            <w:r>
              <w:t>$151</w:t>
            </w:r>
          </w:p>
        </w:tc>
        <w:tc>
          <w:tcPr>
            <w:tcW w:w="3006" w:type="dxa"/>
          </w:tcPr>
          <w:p w14:paraId="7607CC24" w14:textId="557DAD01" w:rsidR="0043014E" w:rsidRDefault="0043014E" w:rsidP="00574A21">
            <w:pPr>
              <w:jc w:val="left"/>
            </w:pPr>
            <w:r>
              <w:t>$434</w:t>
            </w:r>
          </w:p>
        </w:tc>
      </w:tr>
      <w:tr w:rsidR="0043014E" w14:paraId="3B4500CC" w14:textId="77777777" w:rsidTr="0043014E">
        <w:tc>
          <w:tcPr>
            <w:tcW w:w="3005" w:type="dxa"/>
          </w:tcPr>
          <w:p w14:paraId="498BA66D" w14:textId="128EEB5D" w:rsidR="0043014E" w:rsidRDefault="0043014E" w:rsidP="00574A21">
            <w:pPr>
              <w:jc w:val="left"/>
            </w:pPr>
            <w:r>
              <w:t>Sublingual buprenorphine</w:t>
            </w:r>
          </w:p>
        </w:tc>
        <w:tc>
          <w:tcPr>
            <w:tcW w:w="3005" w:type="dxa"/>
          </w:tcPr>
          <w:p w14:paraId="0D7C7CC4" w14:textId="5162EFFB" w:rsidR="0043014E" w:rsidRDefault="0043014E" w:rsidP="00574A21">
            <w:pPr>
              <w:jc w:val="left"/>
            </w:pPr>
            <w:r>
              <w:t>$1,529</w:t>
            </w:r>
          </w:p>
        </w:tc>
        <w:tc>
          <w:tcPr>
            <w:tcW w:w="3006" w:type="dxa"/>
          </w:tcPr>
          <w:p w14:paraId="7BCB2485" w14:textId="5B9D4A3F" w:rsidR="0043014E" w:rsidRDefault="0043014E" w:rsidP="00574A21">
            <w:pPr>
              <w:jc w:val="left"/>
            </w:pPr>
            <w:r>
              <w:t>$525</w:t>
            </w:r>
          </w:p>
        </w:tc>
      </w:tr>
      <w:tr w:rsidR="0043014E" w14:paraId="3A5B86CB" w14:textId="77777777" w:rsidTr="0043014E">
        <w:tc>
          <w:tcPr>
            <w:tcW w:w="3005" w:type="dxa"/>
          </w:tcPr>
          <w:p w14:paraId="613C5CF6" w14:textId="606AC36A" w:rsidR="0043014E" w:rsidRDefault="00156F80" w:rsidP="00574A21">
            <w:pPr>
              <w:jc w:val="left"/>
            </w:pPr>
            <w:r>
              <w:t>Oral m</w:t>
            </w:r>
            <w:r w:rsidR="0043014E">
              <w:t>ethadone</w:t>
            </w:r>
          </w:p>
        </w:tc>
        <w:tc>
          <w:tcPr>
            <w:tcW w:w="3005" w:type="dxa"/>
          </w:tcPr>
          <w:p w14:paraId="63C734D0" w14:textId="3C363977" w:rsidR="0043014E" w:rsidRDefault="0043014E" w:rsidP="00574A21">
            <w:pPr>
              <w:jc w:val="left"/>
            </w:pPr>
            <w:r>
              <w:t>$379</w:t>
            </w:r>
          </w:p>
        </w:tc>
        <w:tc>
          <w:tcPr>
            <w:tcW w:w="3006" w:type="dxa"/>
          </w:tcPr>
          <w:p w14:paraId="6C41FB88" w14:textId="07475743" w:rsidR="0043014E" w:rsidRDefault="0043014E" w:rsidP="00574A21">
            <w:pPr>
              <w:jc w:val="left"/>
            </w:pPr>
            <w:r>
              <w:t>$80</w:t>
            </w:r>
          </w:p>
        </w:tc>
      </w:tr>
    </w:tbl>
    <w:p w14:paraId="0036234B" w14:textId="3086C3FD" w:rsidR="0043014E" w:rsidRPr="00574A21" w:rsidRDefault="008C6473" w:rsidP="00F22F00">
      <w:pPr>
        <w:rPr>
          <w:sz w:val="20"/>
          <w:szCs w:val="20"/>
        </w:rPr>
      </w:pPr>
      <w:r>
        <w:rPr>
          <w:sz w:val="20"/>
          <w:szCs w:val="20"/>
        </w:rPr>
        <w:t>C</w:t>
      </w:r>
      <w:r w:rsidR="0043014E">
        <w:rPr>
          <w:sz w:val="20"/>
          <w:szCs w:val="20"/>
        </w:rPr>
        <w:t>osts are in 2019 Australian dollars</w:t>
      </w:r>
    </w:p>
    <w:p w14:paraId="1F993FDC" w14:textId="56EB4E53" w:rsidR="006F0DAE" w:rsidRPr="00EA3458" w:rsidRDefault="006F0DAE" w:rsidP="00F22F00">
      <w:r w:rsidRPr="00EA3458">
        <w:t>A simulated scenario of long-acting scale-up in which 5% of consumers on O</w:t>
      </w:r>
      <w:r w:rsidR="00574A21">
        <w:t>D</w:t>
      </w:r>
      <w:r w:rsidRPr="00EA3458">
        <w:t>T</w:t>
      </w:r>
      <w:r w:rsidR="00574A21">
        <w:t xml:space="preserve"> medicines</w:t>
      </w:r>
      <w:r w:rsidRPr="00EA3458">
        <w:t xml:space="preserve"> were transferred to </w:t>
      </w:r>
      <w:r w:rsidR="00574A21">
        <w:t>LAIB</w:t>
      </w:r>
      <w:r w:rsidRPr="00EA3458">
        <w:t xml:space="preserve"> each month revealed potential for cost savings related to treatment administration. </w:t>
      </w:r>
      <w:r w:rsidR="00703547" w:rsidRPr="00EA3458">
        <w:t>If</w:t>
      </w:r>
      <w:r w:rsidRPr="00EA3458">
        <w:t xml:space="preserve"> consumers transferring from </w:t>
      </w:r>
      <w:r w:rsidR="00574A21">
        <w:t xml:space="preserve">oral </w:t>
      </w:r>
      <w:r w:rsidRPr="00EA3458">
        <w:t xml:space="preserve">methadone received two weekly LAIB </w:t>
      </w:r>
      <w:r w:rsidRPr="00EA3458">
        <w:lastRenderedPageBreak/>
        <w:t xml:space="preserve">doses before dosing frequency was reduced to monthly, whereas those transferring from sublingual buprenorphine to LAIB were initiated immediately on monthly dosing, the monthly per consumer cost for </w:t>
      </w:r>
      <w:r w:rsidR="00890963">
        <w:t xml:space="preserve">LAIB </w:t>
      </w:r>
      <w:r w:rsidRPr="00EA3458">
        <w:t xml:space="preserve">treatment administration was $178 after month </w:t>
      </w:r>
      <w:r w:rsidR="0004275A">
        <w:t>one</w:t>
      </w:r>
      <w:r w:rsidRPr="00EA3458">
        <w:t>. This fell to $92 after 12 months, whereas the per consumer monthly administration cost of sublingual buprenorphine increased to $2</w:t>
      </w:r>
      <w:r w:rsidR="0004275A">
        <w:t>,</w:t>
      </w:r>
      <w:r w:rsidRPr="00EA3458">
        <w:t>162 and methadone costs increased to $530.</w:t>
      </w:r>
    </w:p>
    <w:p w14:paraId="55339FA1" w14:textId="77777777" w:rsidR="006F0DAE" w:rsidRPr="00EA3458" w:rsidRDefault="006F0DAE" w:rsidP="007E3DC8">
      <w:pPr>
        <w:pStyle w:val="Heading4"/>
        <w:numPr>
          <w:ilvl w:val="2"/>
          <w:numId w:val="45"/>
        </w:numPr>
      </w:pPr>
      <w:bookmarkStart w:id="465" w:name="_Toc99135876"/>
      <w:bookmarkStart w:id="466" w:name="_Toc101790838"/>
      <w:r w:rsidRPr="00EA3458">
        <w:t>Costs to prescribers</w:t>
      </w:r>
      <w:bookmarkEnd w:id="465"/>
      <w:bookmarkEnd w:id="466"/>
    </w:p>
    <w:p w14:paraId="387FD2FB" w14:textId="43665801" w:rsidR="006F0DAE" w:rsidRPr="00EA3458" w:rsidRDefault="006F0DAE" w:rsidP="00F22F00">
      <w:r w:rsidRPr="00EA3458">
        <w:t>A cost-effectiveness analysis of an RCT comparing methadone and buprenorphine</w:t>
      </w:r>
      <w:hyperlink w:anchor="_ENREF_81" w:tooltip="Doran, 2003 #3627" w:history="1">
        <w:r w:rsidR="002565E6" w:rsidRPr="00EA3458">
          <w:fldChar w:fldCharType="begin"/>
        </w:r>
        <w:r w:rsidR="002565E6">
          <w:instrText xml:space="preserve"> ADDIN EN.CITE &lt;EndNote&gt;&lt;Cite&gt;&lt;Author&gt;Doran&lt;/Author&gt;&lt;Year&gt;2003&lt;/Year&gt;&lt;RecNum&gt;3627&lt;/RecNum&gt;&lt;DisplayText&gt;&lt;style face="superscript"&gt;81&lt;/style&gt;&lt;/DisplayText&gt;&lt;record&gt;&lt;rec-number&gt;3627&lt;/rec-number&gt;&lt;foreign-keys&gt;&lt;key app="EN" db-id="pdp2v9rwnsez9qedfx2xtwa7tsw99rvd5zxv" timestamp="1646882255"&gt;3627&lt;/key&gt;&lt;/foreign-keys&gt;&lt;ref-type name="Journal Article"&gt;17&lt;/ref-type&gt;&lt;contributors&gt;&lt;authors&gt;&lt;author&gt;Doran, C.&lt;/author&gt;&lt;author&gt;Shanahan, M.&lt;/author&gt;&lt;author&gt;Mattick, R. &lt;/author&gt;&lt;author&gt;Ali, R. &lt;/author&gt;&lt;author&gt;White, J. &lt;/author&gt;&lt;author&gt;Bell, J. &lt;/author&gt;&lt;/authors&gt;&lt;/contributors&gt;&lt;titles&gt;&lt;title&gt;Buprenorphine versus methadone maintenance: a cost-effectiveness analysis &lt;/title&gt;&lt;secondary-title&gt;Drug and Alcohol Dependence&lt;/secondary-title&gt;&lt;/titles&gt;&lt;periodical&gt;&lt;full-title&gt;Drug and Alcohol Dependence&lt;/full-title&gt;&lt;/periodical&gt;&lt;pages&gt;295-302 &lt;/pages&gt;&lt;volume&gt;71&lt;/volume&gt;&lt;number&gt;3&lt;/number&gt;&lt;dates&gt;&lt;year&gt;2003&lt;/year&gt;&lt;/dates&gt;&lt;urls&gt;&lt;/urls&gt;&lt;/record&gt;&lt;/Cite&gt;&lt;/EndNote&gt;</w:instrText>
        </w:r>
        <w:r w:rsidR="002565E6" w:rsidRPr="00EA3458">
          <w:fldChar w:fldCharType="separate"/>
        </w:r>
        <w:r w:rsidR="002565E6" w:rsidRPr="002565E6">
          <w:rPr>
            <w:noProof/>
            <w:vertAlign w:val="superscript"/>
          </w:rPr>
          <w:t>81</w:t>
        </w:r>
        <w:r w:rsidR="002565E6" w:rsidRPr="00EA3458">
          <w:fldChar w:fldCharType="end"/>
        </w:r>
      </w:hyperlink>
      <w:r w:rsidRPr="00EA3458">
        <w:t xml:space="preserve"> found the average per consumer annual cost of treatment with methadone estimated in 1998 </w:t>
      </w:r>
      <w:r w:rsidRPr="00EA3458">
        <w:rPr>
          <w:color w:val="000000" w:themeColor="text1"/>
        </w:rPr>
        <w:t xml:space="preserve">Australian dollars was </w:t>
      </w:r>
      <w:r w:rsidR="00A43016">
        <w:t>$</w:t>
      </w:r>
      <w:r w:rsidRPr="00EA3458">
        <w:t>2,830. This consisted of: staff costs (</w:t>
      </w:r>
      <w:r w:rsidR="00A43016">
        <w:t>$</w:t>
      </w:r>
      <w:r w:rsidRPr="00EA3458">
        <w:t>492), diagnostic procedures (</w:t>
      </w:r>
      <w:r w:rsidR="00A43016">
        <w:t>$</w:t>
      </w:r>
      <w:r w:rsidRPr="00EA3458">
        <w:t>368), medications (</w:t>
      </w:r>
      <w:r w:rsidR="00A43016">
        <w:t>$</w:t>
      </w:r>
      <w:r w:rsidRPr="00EA3458">
        <w:t>74), and other facility level costs (</w:t>
      </w:r>
      <w:r w:rsidR="00A43016">
        <w:t>$</w:t>
      </w:r>
      <w:r w:rsidRPr="00EA3458">
        <w:t>1,894)</w:t>
      </w:r>
      <w:r w:rsidR="0004275A">
        <w:t>.</w:t>
      </w:r>
      <w:hyperlink w:anchor="_ENREF_81" w:tooltip="Doran, 2003 #3627" w:history="1">
        <w:r w:rsidR="002565E6" w:rsidRPr="00EA3458">
          <w:fldChar w:fldCharType="begin"/>
        </w:r>
        <w:r w:rsidR="002565E6">
          <w:instrText xml:space="preserve"> ADDIN EN.CITE &lt;EndNote&gt;&lt;Cite&gt;&lt;Author&gt;Doran&lt;/Author&gt;&lt;Year&gt;2003&lt;/Year&gt;&lt;RecNum&gt;3627&lt;/RecNum&gt;&lt;DisplayText&gt;&lt;style face="superscript"&gt;81&lt;/style&gt;&lt;/DisplayText&gt;&lt;record&gt;&lt;rec-number&gt;3627&lt;/rec-number&gt;&lt;foreign-keys&gt;&lt;key app="EN" db-id="pdp2v9rwnsez9qedfx2xtwa7tsw99rvd5zxv" timestamp="1646882255"&gt;3627&lt;/key&gt;&lt;/foreign-keys&gt;&lt;ref-type name="Journal Article"&gt;17&lt;/ref-type&gt;&lt;contributors&gt;&lt;authors&gt;&lt;author&gt;Doran, C.&lt;/author&gt;&lt;author&gt;Shanahan, M.&lt;/author&gt;&lt;author&gt;Mattick, R. &lt;/author&gt;&lt;author&gt;Ali, R. &lt;/author&gt;&lt;author&gt;White, J. &lt;/author&gt;&lt;author&gt;Bell, J. &lt;/author&gt;&lt;/authors&gt;&lt;/contributors&gt;&lt;titles&gt;&lt;title&gt;Buprenorphine versus methadone maintenance: a cost-effectiveness analysis &lt;/title&gt;&lt;secondary-title&gt;Drug and Alcohol Dependence&lt;/secondary-title&gt;&lt;/titles&gt;&lt;periodical&gt;&lt;full-title&gt;Drug and Alcohol Dependence&lt;/full-title&gt;&lt;/periodical&gt;&lt;pages&gt;295-302 &lt;/pages&gt;&lt;volume&gt;71&lt;/volume&gt;&lt;number&gt;3&lt;/number&gt;&lt;dates&gt;&lt;year&gt;2003&lt;/year&gt;&lt;/dates&gt;&lt;urls&gt;&lt;/urls&gt;&lt;/record&gt;&lt;/Cite&gt;&lt;/EndNote&gt;</w:instrText>
        </w:r>
        <w:r w:rsidR="002565E6" w:rsidRPr="00EA3458">
          <w:fldChar w:fldCharType="separate"/>
        </w:r>
        <w:r w:rsidR="002565E6" w:rsidRPr="002565E6">
          <w:rPr>
            <w:noProof/>
            <w:vertAlign w:val="superscript"/>
          </w:rPr>
          <w:t>81</w:t>
        </w:r>
        <w:r w:rsidR="002565E6" w:rsidRPr="00EA3458">
          <w:fldChar w:fldCharType="end"/>
        </w:r>
      </w:hyperlink>
      <w:r w:rsidRPr="00EA3458">
        <w:t xml:space="preserve"> The study estimated the annual consumer costs of treatment with sublingual buprenorphine at </w:t>
      </w:r>
      <w:r w:rsidR="0004275A">
        <w:t>$</w:t>
      </w:r>
      <w:r w:rsidRPr="00EA3458">
        <w:t>3,458, constituting: staff time (</w:t>
      </w:r>
      <w:r w:rsidR="00A43016">
        <w:t>$</w:t>
      </w:r>
      <w:r w:rsidRPr="00EA3458">
        <w:t>698), diagnostic procedures (</w:t>
      </w:r>
      <w:r w:rsidR="00A43016">
        <w:t>$</w:t>
      </w:r>
      <w:r w:rsidRPr="00EA3458">
        <w:t>202), medications (</w:t>
      </w:r>
      <w:r w:rsidR="00A43016">
        <w:t>$</w:t>
      </w:r>
      <w:r w:rsidRPr="00EA3458">
        <w:t>918), and other facility level costs (</w:t>
      </w:r>
      <w:r w:rsidR="00A43016">
        <w:t>$</w:t>
      </w:r>
      <w:r w:rsidRPr="00EA3458">
        <w:t>1,534).</w:t>
      </w:r>
    </w:p>
    <w:p w14:paraId="1ACDCBD1" w14:textId="3D55C4B7" w:rsidR="006F0DAE" w:rsidRPr="00EA3458" w:rsidRDefault="006F0DAE" w:rsidP="00F22F00">
      <w:r w:rsidRPr="00EA3458">
        <w:t xml:space="preserve">In 2015, the average annual per consumer costs of treatment with supervised buprenorphine </w:t>
      </w:r>
      <w:r w:rsidR="00270D98">
        <w:t xml:space="preserve">+ </w:t>
      </w:r>
      <w:r w:rsidRPr="00EA3458">
        <w:t xml:space="preserve">naloxone were estimated at </w:t>
      </w:r>
      <w:r w:rsidR="00A43016">
        <w:t>$</w:t>
      </w:r>
      <w:r w:rsidRPr="00EA3458">
        <w:t xml:space="preserve">8,552 (95% </w:t>
      </w:r>
      <w:r w:rsidR="00691FB8">
        <w:t>confidence interval</w:t>
      </w:r>
      <w:r w:rsidR="00691FB8" w:rsidRPr="00EA3458">
        <w:t xml:space="preserve"> </w:t>
      </w:r>
      <w:r w:rsidR="00A43016">
        <w:t>$</w:t>
      </w:r>
      <w:r w:rsidRPr="00EA3458">
        <w:t>6,852 –</w:t>
      </w:r>
      <w:r w:rsidR="00A43016">
        <w:t>$</w:t>
      </w:r>
      <w:r w:rsidRPr="00EA3458">
        <w:t>10,248) (costing year 2015). This constitutes 13.1% staff costs, 23.2% medicines, 17.5% dosing and dispensing, 9.4% diagnostics and 41.1% other health facility costs</w:t>
      </w:r>
      <w:r w:rsidR="0004275A">
        <w:t>.</w:t>
      </w:r>
      <w:hyperlink w:anchor="_ENREF_82" w:tooltip="Bell, 2007 #3778" w:history="1">
        <w:r w:rsidR="002565E6" w:rsidRPr="00EA3458">
          <w:fldChar w:fldCharType="begin"/>
        </w:r>
        <w:r w:rsidR="002565E6">
          <w:instrText xml:space="preserve"> ADDIN EN.CITE &lt;EndNote&gt;&lt;Cite&gt;&lt;Author&gt;Bell&lt;/Author&gt;&lt;Year&gt;2007&lt;/Year&gt;&lt;RecNum&gt;3778&lt;/RecNum&gt;&lt;DisplayText&gt;&lt;style face="superscript"&gt;82&lt;/style&gt;&lt;/DisplayText&gt;&lt;record&gt;&lt;rec-number&gt;3778&lt;/rec-number&gt;&lt;foreign-keys&gt;&lt;key app="EN" db-id="pdp2v9rwnsez9qedfx2xtwa7tsw99rvd5zxv" timestamp="1646962456"&gt;3778&lt;/key&gt;&lt;/foreign-keys&gt;&lt;ref-type name="Journal Article"&gt;17&lt;/ref-type&gt;&lt;contributors&gt;&lt;authors&gt;&lt;author&gt;Bell, J.&lt;/author&gt;&lt;author&gt;Shanahan, M. &lt;/author&gt;&lt;author&gt;Mutch, C.&lt;/author&gt;&lt;author&gt;Rea, F.&lt;/author&gt;&lt;author&gt;Ryan, A. &lt;/author&gt;&lt;author&gt;Batey, R. &lt;/author&gt;&lt;author&gt;Dunlop, A.&lt;/author&gt;&lt;author&gt;Winstock, A.&lt;/author&gt;&lt;/authors&gt;&lt;/contributors&gt;&lt;titles&gt;&lt;title&gt;A randomized trial of effectiveness and cost-effectiveness of observed versus unobserved administration of buprenorphine-naloxone for heroin dependence &lt;/title&gt;&lt;secondary-title&gt;Addiction&lt;/secondary-title&gt;&lt;/titles&gt;&lt;pages&gt;1899-1907&lt;/pages&gt;&lt;volume&gt;102&lt;/volume&gt;&lt;number&gt;12&lt;/number&gt;&lt;dates&gt;&lt;year&gt;2007&lt;/year&gt;&lt;/dates&gt;&lt;urls&gt;&lt;/urls&gt;&lt;/record&gt;&lt;/Cite&gt;&lt;/EndNote&gt;</w:instrText>
        </w:r>
        <w:r w:rsidR="002565E6" w:rsidRPr="00EA3458">
          <w:fldChar w:fldCharType="separate"/>
        </w:r>
        <w:r w:rsidR="002565E6" w:rsidRPr="002565E6">
          <w:rPr>
            <w:noProof/>
            <w:vertAlign w:val="superscript"/>
          </w:rPr>
          <w:t>82</w:t>
        </w:r>
        <w:r w:rsidR="002565E6" w:rsidRPr="00EA3458">
          <w:fldChar w:fldCharType="end"/>
        </w:r>
      </w:hyperlink>
    </w:p>
    <w:p w14:paraId="6410C23A" w14:textId="5AEA4BAB" w:rsidR="006F0DAE" w:rsidRPr="00EA3458" w:rsidRDefault="006F0DAE" w:rsidP="004139FC">
      <w:pPr>
        <w:rPr>
          <w:color w:val="000000"/>
          <w:shd w:val="clear" w:color="auto" w:fill="FFFFFF"/>
        </w:rPr>
      </w:pPr>
      <w:r w:rsidRPr="00EA3458">
        <w:t xml:space="preserve">The CoLAB study showed that for healthcare services providing supervised daily dosing of </w:t>
      </w:r>
      <w:r w:rsidR="00694A1A">
        <w:t>ODT medicines</w:t>
      </w:r>
      <w:r w:rsidRPr="00EA3458">
        <w:t xml:space="preserve">, there is the opportunity for substantial staff cost savings with </w:t>
      </w:r>
      <w:r w:rsidR="00890963">
        <w:t xml:space="preserve">LAIB </w:t>
      </w:r>
      <w:r w:rsidRPr="00EA3458">
        <w:t xml:space="preserve">compared to oral and sublingual opioid dependence treatments (CoLAB study, unpublished data). The annual average cost of providing 12 months of treatment with </w:t>
      </w:r>
      <w:r w:rsidR="004D0AEA">
        <w:t>LAIB</w:t>
      </w:r>
      <w:r w:rsidRPr="00EA3458">
        <w:t xml:space="preserve">, estimated through bottom-up costing from a healthcare provider perspective using prospective resource data collection by CoLAB study sites, was </w:t>
      </w:r>
      <w:r w:rsidR="00A43016">
        <w:t>$</w:t>
      </w:r>
      <w:r w:rsidRPr="00EA3458">
        <w:t>6,425 (</w:t>
      </w:r>
      <w:r w:rsidR="00A43016">
        <w:t>$</w:t>
      </w:r>
      <w:r w:rsidRPr="00EA3458">
        <w:t>5,811–</w:t>
      </w:r>
      <w:r w:rsidR="00A43016">
        <w:t>$</w:t>
      </w:r>
      <w:r w:rsidRPr="00EA3458">
        <w:t xml:space="preserve">7,793). </w:t>
      </w:r>
      <w:r w:rsidRPr="00EA3458">
        <w:rPr>
          <w:rStyle w:val="normaltextrun"/>
          <w:rFonts w:cs="Calibri"/>
          <w:color w:val="000000"/>
          <w:shd w:val="clear" w:color="auto" w:fill="FFFFFF"/>
        </w:rPr>
        <w:t xml:space="preserve">The bulk of the cost was administering the medication (medications and staff time involved) </w:t>
      </w:r>
      <w:r w:rsidR="008E1718">
        <w:rPr>
          <w:rStyle w:val="normaltextrun"/>
          <w:rFonts w:cs="Calibri"/>
          <w:color w:val="000000"/>
          <w:shd w:val="clear" w:color="auto" w:fill="FFFFFF"/>
        </w:rPr>
        <w:br/>
      </w:r>
      <w:r w:rsidRPr="00EA3458">
        <w:rPr>
          <w:rStyle w:val="normaltextrun"/>
          <w:rFonts w:cs="Calibri"/>
          <w:color w:val="000000"/>
          <w:shd w:val="clear" w:color="auto" w:fill="FFFFFF"/>
        </w:rPr>
        <w:t>(</w:t>
      </w:r>
      <w:r w:rsidR="000B733C">
        <w:rPr>
          <w:rStyle w:val="normaltextrun"/>
          <w:rFonts w:cs="Calibri"/>
          <w:color w:val="000000"/>
          <w:shd w:val="clear" w:color="auto" w:fill="FFFFFF"/>
        </w:rPr>
        <w:t>$</w:t>
      </w:r>
      <w:r w:rsidRPr="00EA3458">
        <w:rPr>
          <w:rStyle w:val="normaltextrun"/>
          <w:rFonts w:cs="Calibri"/>
          <w:color w:val="000000"/>
          <w:shd w:val="clear" w:color="auto" w:fill="FFFFFF"/>
        </w:rPr>
        <w:t xml:space="preserve">5,071 per year), and the </w:t>
      </w:r>
      <w:r w:rsidR="00FF31B2">
        <w:rPr>
          <w:rStyle w:val="normaltextrun"/>
          <w:rFonts w:cs="Calibri"/>
          <w:color w:val="000000"/>
          <w:shd w:val="clear" w:color="auto" w:fill="FFFFFF"/>
        </w:rPr>
        <w:t>Australian Government</w:t>
      </w:r>
      <w:r w:rsidRPr="00EA3458">
        <w:rPr>
          <w:rStyle w:val="normaltextrun"/>
          <w:rFonts w:cs="Calibri"/>
          <w:color w:val="000000"/>
          <w:shd w:val="clear" w:color="auto" w:fill="FFFFFF"/>
        </w:rPr>
        <w:t xml:space="preserve"> funded medicine costs constituted 95% of this cost with the remaining 5% making up the state cost for staff time and sundries. The average annual costs for other activities </w:t>
      </w:r>
      <w:r w:rsidR="00135831" w:rsidRPr="00EA3458">
        <w:rPr>
          <w:rStyle w:val="normaltextrun"/>
          <w:rFonts w:cs="Calibri"/>
          <w:color w:val="000000"/>
          <w:shd w:val="clear" w:color="auto" w:fill="FFFFFF"/>
        </w:rPr>
        <w:t>were</w:t>
      </w:r>
      <w:r w:rsidRPr="00EA3458">
        <w:rPr>
          <w:rStyle w:val="normaltextrun"/>
          <w:rFonts w:cs="Calibri"/>
          <w:color w:val="000000"/>
          <w:shd w:val="clear" w:color="auto" w:fill="FFFFFF"/>
        </w:rPr>
        <w:t xml:space="preserve"> clinical assessment (</w:t>
      </w:r>
      <w:r w:rsidR="00A43016">
        <w:rPr>
          <w:rStyle w:val="normaltextrun"/>
          <w:rFonts w:cs="Calibri"/>
          <w:color w:val="000000"/>
          <w:shd w:val="clear" w:color="auto" w:fill="FFFFFF"/>
        </w:rPr>
        <w:t>$</w:t>
      </w:r>
      <w:r w:rsidRPr="00EA3458">
        <w:rPr>
          <w:rStyle w:val="normaltextrun"/>
          <w:rFonts w:cs="Calibri"/>
          <w:color w:val="000000"/>
          <w:shd w:val="clear" w:color="auto" w:fill="FFFFFF"/>
        </w:rPr>
        <w:t>405), clinic administration (</w:t>
      </w:r>
      <w:r w:rsidR="00A43016">
        <w:rPr>
          <w:rStyle w:val="normaltextrun"/>
          <w:rFonts w:cs="Calibri"/>
          <w:color w:val="000000"/>
          <w:shd w:val="clear" w:color="auto" w:fill="FFFFFF"/>
        </w:rPr>
        <w:t>$</w:t>
      </w:r>
      <w:r w:rsidRPr="00EA3458">
        <w:rPr>
          <w:rStyle w:val="normaltextrun"/>
          <w:rFonts w:cs="Calibri"/>
          <w:color w:val="000000"/>
          <w:shd w:val="clear" w:color="auto" w:fill="FFFFFF"/>
        </w:rPr>
        <w:t>241), medicines storage and handling (</w:t>
      </w:r>
      <w:r w:rsidR="00A43016">
        <w:rPr>
          <w:rStyle w:val="normaltextrun"/>
          <w:rFonts w:cs="Calibri"/>
          <w:color w:val="000000"/>
          <w:shd w:val="clear" w:color="auto" w:fill="FFFFFF"/>
        </w:rPr>
        <w:t>$</w:t>
      </w:r>
      <w:r w:rsidRPr="00EA3458">
        <w:rPr>
          <w:rStyle w:val="normaltextrun"/>
          <w:rFonts w:cs="Calibri"/>
          <w:color w:val="000000"/>
          <w:shd w:val="clear" w:color="auto" w:fill="FFFFFF"/>
        </w:rPr>
        <w:t>246), screening (initial assessment and medical history) (</w:t>
      </w:r>
      <w:r w:rsidR="00A43016">
        <w:rPr>
          <w:rStyle w:val="normaltextrun"/>
          <w:rFonts w:cs="Calibri"/>
          <w:color w:val="000000"/>
          <w:shd w:val="clear" w:color="auto" w:fill="FFFFFF"/>
        </w:rPr>
        <w:t>$</w:t>
      </w:r>
      <w:r w:rsidRPr="00EA3458">
        <w:rPr>
          <w:rStyle w:val="normaltextrun"/>
          <w:rFonts w:cs="Calibri"/>
          <w:color w:val="000000"/>
          <w:shd w:val="clear" w:color="auto" w:fill="FFFFFF"/>
        </w:rPr>
        <w:t>282), case management and psychosocial services (</w:t>
      </w:r>
      <w:r w:rsidR="00A43016">
        <w:rPr>
          <w:rStyle w:val="normaltextrun"/>
          <w:rFonts w:cs="Calibri"/>
          <w:color w:val="000000"/>
          <w:shd w:val="clear" w:color="auto" w:fill="FFFFFF"/>
        </w:rPr>
        <w:t>$</w:t>
      </w:r>
      <w:r w:rsidRPr="00EA3458">
        <w:rPr>
          <w:rStyle w:val="normaltextrun"/>
          <w:rFonts w:cs="Calibri"/>
          <w:color w:val="000000"/>
          <w:shd w:val="clear" w:color="auto" w:fill="FFFFFF"/>
        </w:rPr>
        <w:t>99), and adverse events management (</w:t>
      </w:r>
      <w:r w:rsidR="00A43016">
        <w:rPr>
          <w:rStyle w:val="normaltextrun"/>
          <w:rFonts w:cs="Calibri"/>
          <w:color w:val="000000"/>
          <w:shd w:val="clear" w:color="auto" w:fill="FFFFFF"/>
        </w:rPr>
        <w:t>$</w:t>
      </w:r>
      <w:r w:rsidRPr="00EA3458">
        <w:rPr>
          <w:rStyle w:val="normaltextrun"/>
          <w:rFonts w:cs="Calibri"/>
          <w:color w:val="000000"/>
          <w:shd w:val="clear" w:color="auto" w:fill="FFFFFF"/>
        </w:rPr>
        <w:t xml:space="preserve">67). The type of staff who provided services for the different activities varied by study site, which included five specialist clinics and one primary care </w:t>
      </w:r>
      <w:r w:rsidRPr="00F01D1F">
        <w:rPr>
          <w:rStyle w:val="normaltextrun"/>
          <w:rFonts w:cs="Calibri"/>
          <w:color w:val="000000"/>
          <w:shd w:val="clear" w:color="auto" w:fill="FFFFFF"/>
        </w:rPr>
        <w:t xml:space="preserve">clinic (Table </w:t>
      </w:r>
      <w:r w:rsidR="00F578D5" w:rsidRPr="00F01D1F">
        <w:rPr>
          <w:rStyle w:val="normaltextrun"/>
          <w:rFonts w:cs="Calibri"/>
          <w:color w:val="000000"/>
          <w:shd w:val="clear" w:color="auto" w:fill="FFFFFF"/>
        </w:rPr>
        <w:t>1</w:t>
      </w:r>
      <w:r w:rsidR="00156F80">
        <w:rPr>
          <w:rStyle w:val="normaltextrun"/>
          <w:rFonts w:cs="Calibri"/>
          <w:color w:val="000000"/>
          <w:shd w:val="clear" w:color="auto" w:fill="FFFFFF"/>
        </w:rPr>
        <w:t>2</w:t>
      </w:r>
      <w:r w:rsidRPr="00F01D1F">
        <w:rPr>
          <w:rStyle w:val="normaltextrun"/>
          <w:rFonts w:cs="Calibri"/>
          <w:color w:val="000000"/>
          <w:shd w:val="clear" w:color="auto" w:fill="FFFFFF"/>
        </w:rPr>
        <w:t>).</w:t>
      </w:r>
      <w:r w:rsidRPr="00EA3458">
        <w:rPr>
          <w:rStyle w:val="normaltextrun"/>
          <w:rFonts w:cs="Calibri"/>
          <w:color w:val="000000"/>
          <w:shd w:val="clear" w:color="auto" w:fill="FFFFFF"/>
        </w:rPr>
        <w:t xml:space="preserve"> The main cost driver of care was the actual delivery of treatment (administering the medication), accounting for 79% of the annual average participant cost, followed by clinical assessment (6%). Administration, drug storage and handling and screening each accounted for approximately 4% of the average cost while case management and adverse events management accounted for approximately 1% of costs. </w:t>
      </w:r>
      <w:r w:rsidRPr="00EA3458">
        <w:rPr>
          <w:rStyle w:val="eop"/>
          <w:rFonts w:cs="Calibri"/>
          <w:color w:val="000000"/>
          <w:shd w:val="clear" w:color="auto" w:fill="FFFFFF"/>
        </w:rPr>
        <w:t> </w:t>
      </w:r>
    </w:p>
    <w:p w14:paraId="71F818D6" w14:textId="3D0C067F" w:rsidR="006F0DAE" w:rsidRDefault="006F0DAE" w:rsidP="004139FC">
      <w:r w:rsidRPr="00EA3458">
        <w:t xml:space="preserve">Although the study found that staff and other costs were a much smaller quantum of the total cost of providing treatment with </w:t>
      </w:r>
      <w:r w:rsidR="00890963">
        <w:t xml:space="preserve">LAIB </w:t>
      </w:r>
      <w:r w:rsidRPr="00EA3458">
        <w:t>compared to the cost of medicines, overheads and other indirect health costs were excluded, as were costs borne by the consumers.</w:t>
      </w:r>
    </w:p>
    <w:p w14:paraId="116213E0" w14:textId="77777777" w:rsidR="00F41C56" w:rsidRPr="00EA3458" w:rsidRDefault="00F41C56" w:rsidP="004139FC">
      <w:pPr>
        <w:rPr>
          <w:sz w:val="20"/>
        </w:rPr>
      </w:pPr>
    </w:p>
    <w:p w14:paraId="3931B216" w14:textId="38AAACA3" w:rsidR="00F41C56" w:rsidRPr="00FF31B2" w:rsidRDefault="00F41C56" w:rsidP="00FF31B2">
      <w:pPr>
        <w:spacing w:after="160"/>
        <w:rPr>
          <w:sz w:val="20"/>
        </w:rPr>
        <w:sectPr w:rsidR="00F41C56" w:rsidRPr="00FF31B2">
          <w:pgSz w:w="11906" w:h="16838"/>
          <w:pgMar w:top="1440" w:right="1440" w:bottom="1440" w:left="1440" w:header="708" w:footer="708" w:gutter="0"/>
          <w:cols w:space="708"/>
          <w:docGrid w:linePitch="360"/>
        </w:sectPr>
      </w:pPr>
      <w:bookmarkStart w:id="467" w:name="_Toc99542100"/>
    </w:p>
    <w:p w14:paraId="4289D813" w14:textId="3B36CF43" w:rsidR="006F0DAE" w:rsidRPr="00EA3458" w:rsidRDefault="006F0DAE">
      <w:pPr>
        <w:pStyle w:val="Tables"/>
      </w:pPr>
      <w:bookmarkStart w:id="468" w:name="_Toc120183443"/>
      <w:bookmarkStart w:id="469" w:name="_Toc132823432"/>
      <w:r w:rsidRPr="00EA3458">
        <w:lastRenderedPageBreak/>
        <w:t xml:space="preserve">Table </w:t>
      </w:r>
      <w:r w:rsidR="00F578D5">
        <w:t>1</w:t>
      </w:r>
      <w:r w:rsidR="00156F80">
        <w:t>2</w:t>
      </w:r>
      <w:r w:rsidR="001957C9">
        <w:t>.</w:t>
      </w:r>
      <w:r w:rsidRPr="00EA3458">
        <w:t xml:space="preserve"> </w:t>
      </w:r>
      <w:bookmarkEnd w:id="467"/>
      <w:r w:rsidRPr="00EA3458">
        <w:rPr>
          <w:rStyle w:val="normaltextrun"/>
        </w:rPr>
        <w:t>Staff type and time use for the delivery of the different activities in treatment using LAIB</w:t>
      </w:r>
      <w:bookmarkEnd w:id="468"/>
      <w:bookmarkEnd w:id="469"/>
    </w:p>
    <w:p w14:paraId="3D3321D3" w14:textId="77777777" w:rsidR="006F0DAE" w:rsidRPr="00EA3458" w:rsidRDefault="006F0DAE"/>
    <w:tbl>
      <w:tblPr>
        <w:tblW w:w="5000" w:type="pct"/>
        <w:tblLook w:val="04A0" w:firstRow="1" w:lastRow="0" w:firstColumn="1" w:lastColumn="0" w:noHBand="0" w:noVBand="1"/>
      </w:tblPr>
      <w:tblGrid>
        <w:gridCol w:w="2354"/>
        <w:gridCol w:w="2145"/>
        <w:gridCol w:w="1501"/>
        <w:gridCol w:w="1504"/>
        <w:gridCol w:w="1565"/>
        <w:gridCol w:w="1250"/>
        <w:gridCol w:w="1972"/>
        <w:gridCol w:w="1657"/>
      </w:tblGrid>
      <w:tr w:rsidR="006F0DAE" w:rsidRPr="00EA3458" w14:paraId="26EF1EFA" w14:textId="77777777" w:rsidTr="0021604E">
        <w:trPr>
          <w:trHeight w:val="555"/>
        </w:trPr>
        <w:tc>
          <w:tcPr>
            <w:tcW w:w="84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A57C15" w14:textId="77777777" w:rsidR="006F0DAE" w:rsidRPr="00CE72DA" w:rsidRDefault="006F0DAE" w:rsidP="0021604E">
            <w:pPr>
              <w:jc w:val="left"/>
              <w:rPr>
                <w:rFonts w:eastAsia="Calibri"/>
                <w:sz w:val="20"/>
                <w:szCs w:val="20"/>
              </w:rPr>
            </w:pPr>
          </w:p>
        </w:tc>
        <w:tc>
          <w:tcPr>
            <w:tcW w:w="76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962912" w14:textId="77777777" w:rsidR="006F0DAE" w:rsidRPr="00CE72DA" w:rsidRDefault="006F0DAE" w:rsidP="0021604E">
            <w:pPr>
              <w:jc w:val="left"/>
              <w:rPr>
                <w:sz w:val="20"/>
                <w:szCs w:val="20"/>
              </w:rPr>
            </w:pPr>
            <w:r w:rsidRPr="00CE72DA">
              <w:rPr>
                <w:rFonts w:eastAsia="Calibri"/>
                <w:b/>
                <w:bCs/>
                <w:color w:val="000000" w:themeColor="text1"/>
                <w:sz w:val="20"/>
                <w:szCs w:val="20"/>
              </w:rPr>
              <w:t>SOUTH AUSTRALIA</w:t>
            </w:r>
          </w:p>
        </w:tc>
        <w:tc>
          <w:tcPr>
            <w:tcW w:w="1638"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B23956" w14:textId="77777777" w:rsidR="006F0DAE" w:rsidRPr="00CE72DA" w:rsidRDefault="006F0DAE" w:rsidP="0021604E">
            <w:pPr>
              <w:jc w:val="left"/>
              <w:rPr>
                <w:sz w:val="20"/>
                <w:szCs w:val="20"/>
              </w:rPr>
            </w:pPr>
            <w:r w:rsidRPr="00CE72DA">
              <w:rPr>
                <w:rFonts w:eastAsia="Calibri"/>
                <w:b/>
                <w:bCs/>
                <w:color w:val="000000" w:themeColor="text1"/>
                <w:sz w:val="20"/>
                <w:szCs w:val="20"/>
              </w:rPr>
              <w:t>NEW SOUTH WALES</w:t>
            </w:r>
          </w:p>
        </w:tc>
        <w:tc>
          <w:tcPr>
            <w:tcW w:w="115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4E48A6" w14:textId="77777777" w:rsidR="006F0DAE" w:rsidRPr="00CE72DA" w:rsidRDefault="006F0DAE" w:rsidP="0021604E">
            <w:pPr>
              <w:jc w:val="left"/>
              <w:rPr>
                <w:sz w:val="20"/>
                <w:szCs w:val="20"/>
              </w:rPr>
            </w:pPr>
            <w:r w:rsidRPr="00CE72DA">
              <w:rPr>
                <w:rFonts w:eastAsia="Calibri"/>
                <w:b/>
                <w:bCs/>
                <w:sz w:val="20"/>
                <w:szCs w:val="20"/>
              </w:rPr>
              <w:t>VICTORIA</w:t>
            </w:r>
          </w:p>
        </w:tc>
        <w:tc>
          <w:tcPr>
            <w:tcW w:w="5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45D452" w14:textId="77777777" w:rsidR="006F0DAE" w:rsidRPr="00CE72DA" w:rsidRDefault="006F0DAE" w:rsidP="0021604E">
            <w:pPr>
              <w:jc w:val="left"/>
              <w:rPr>
                <w:sz w:val="20"/>
                <w:szCs w:val="20"/>
              </w:rPr>
            </w:pPr>
          </w:p>
        </w:tc>
      </w:tr>
      <w:tr w:rsidR="006F0DAE" w:rsidRPr="00EA3458" w14:paraId="561BEFF0" w14:textId="77777777" w:rsidTr="0021604E">
        <w:trPr>
          <w:trHeight w:val="1466"/>
        </w:trPr>
        <w:tc>
          <w:tcPr>
            <w:tcW w:w="84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841C19" w14:textId="77777777" w:rsidR="006F0DAE" w:rsidRPr="00CE72DA" w:rsidRDefault="006F0DAE" w:rsidP="0021604E">
            <w:pPr>
              <w:jc w:val="left"/>
              <w:rPr>
                <w:sz w:val="20"/>
                <w:szCs w:val="20"/>
              </w:rPr>
            </w:pPr>
            <w:r w:rsidRPr="00CE72DA">
              <w:rPr>
                <w:sz w:val="20"/>
                <w:szCs w:val="20"/>
              </w:rPr>
              <w:t>Activity</w:t>
            </w:r>
          </w:p>
        </w:tc>
        <w:tc>
          <w:tcPr>
            <w:tcW w:w="76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36C0E9" w14:textId="77777777" w:rsidR="006F0DAE" w:rsidRPr="00CE72DA" w:rsidRDefault="006F0DAE" w:rsidP="0021604E">
            <w:pPr>
              <w:jc w:val="left"/>
              <w:rPr>
                <w:rFonts w:eastAsia="Calibri"/>
                <w:b/>
                <w:bCs/>
                <w:color w:val="000000" w:themeColor="text1"/>
                <w:sz w:val="20"/>
                <w:szCs w:val="20"/>
              </w:rPr>
            </w:pPr>
            <w:r w:rsidRPr="00CE72DA">
              <w:rPr>
                <w:rFonts w:eastAsia="Calibri"/>
                <w:b/>
                <w:bCs/>
                <w:color w:val="000000" w:themeColor="text1"/>
                <w:sz w:val="20"/>
                <w:szCs w:val="20"/>
              </w:rPr>
              <w:t>Specialist Drug &amp; Alcohol Clinic #1</w:t>
            </w:r>
          </w:p>
        </w:tc>
        <w:tc>
          <w:tcPr>
            <w:tcW w:w="53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939A49" w14:textId="77777777" w:rsidR="006F0DAE" w:rsidRPr="00CE72DA" w:rsidRDefault="006F0DAE" w:rsidP="0021604E">
            <w:pPr>
              <w:jc w:val="left"/>
              <w:rPr>
                <w:sz w:val="20"/>
                <w:szCs w:val="20"/>
              </w:rPr>
            </w:pPr>
            <w:r w:rsidRPr="00CE72DA">
              <w:rPr>
                <w:rFonts w:eastAsia="Calibri"/>
                <w:b/>
                <w:color w:val="000000" w:themeColor="text1"/>
                <w:sz w:val="20"/>
                <w:szCs w:val="20"/>
              </w:rPr>
              <w:t>Specialist Drug &amp; Alcohol Clinic #1</w:t>
            </w:r>
          </w:p>
        </w:tc>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92D53D" w14:textId="77777777" w:rsidR="006F0DAE" w:rsidRPr="00CE72DA" w:rsidRDefault="006F0DAE" w:rsidP="0021604E">
            <w:pPr>
              <w:jc w:val="left"/>
              <w:rPr>
                <w:sz w:val="20"/>
                <w:szCs w:val="20"/>
              </w:rPr>
            </w:pPr>
            <w:r w:rsidRPr="00CE72DA">
              <w:rPr>
                <w:rFonts w:eastAsia="Calibri"/>
                <w:b/>
                <w:bCs/>
                <w:color w:val="000000" w:themeColor="text1"/>
                <w:sz w:val="20"/>
                <w:szCs w:val="20"/>
              </w:rPr>
              <w:t>Specialist Drug &amp; Alcohol Clinic #2</w:t>
            </w:r>
          </w:p>
        </w:tc>
        <w:tc>
          <w:tcPr>
            <w:tcW w:w="56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0B3C28" w14:textId="77777777" w:rsidR="006F0DAE" w:rsidRPr="00CE72DA" w:rsidRDefault="006F0DAE" w:rsidP="0021604E">
            <w:pPr>
              <w:jc w:val="left"/>
              <w:rPr>
                <w:sz w:val="20"/>
                <w:szCs w:val="20"/>
              </w:rPr>
            </w:pPr>
            <w:r w:rsidRPr="00CE72DA">
              <w:rPr>
                <w:rFonts w:eastAsia="Calibri"/>
                <w:b/>
                <w:color w:val="000000" w:themeColor="text1"/>
                <w:sz w:val="20"/>
                <w:szCs w:val="20"/>
              </w:rPr>
              <w:t>Specialist Drug &amp; Alcohol Clinic #3</w:t>
            </w:r>
          </w:p>
        </w:tc>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0FB0CF" w14:textId="77777777" w:rsidR="006F0DAE" w:rsidRPr="00CE72DA" w:rsidRDefault="006F0DAE" w:rsidP="0021604E">
            <w:pPr>
              <w:jc w:val="left"/>
              <w:rPr>
                <w:sz w:val="20"/>
                <w:szCs w:val="20"/>
              </w:rPr>
            </w:pPr>
            <w:r w:rsidRPr="00CE72DA">
              <w:rPr>
                <w:rFonts w:eastAsia="Calibri"/>
                <w:b/>
                <w:bCs/>
                <w:sz w:val="20"/>
                <w:szCs w:val="20"/>
              </w:rPr>
              <w:t>General practice</w:t>
            </w:r>
          </w:p>
        </w:tc>
        <w:tc>
          <w:tcPr>
            <w:tcW w:w="70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FED854" w14:textId="77777777" w:rsidR="006F0DAE" w:rsidRPr="00CE72DA" w:rsidRDefault="006F0DAE" w:rsidP="0021604E">
            <w:pPr>
              <w:jc w:val="left"/>
              <w:rPr>
                <w:sz w:val="20"/>
                <w:szCs w:val="20"/>
              </w:rPr>
            </w:pPr>
            <w:r w:rsidRPr="00CE72DA">
              <w:rPr>
                <w:rFonts w:eastAsia="Calibri"/>
                <w:b/>
                <w:bCs/>
                <w:color w:val="000000" w:themeColor="text1"/>
                <w:sz w:val="20"/>
                <w:szCs w:val="20"/>
              </w:rPr>
              <w:t>Specialist Drug &amp; Alcohol Clinic #1</w:t>
            </w:r>
          </w:p>
        </w:tc>
        <w:tc>
          <w:tcPr>
            <w:tcW w:w="59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BDF444" w14:textId="77777777" w:rsidR="006F0DAE" w:rsidRPr="00CE72DA" w:rsidRDefault="006F0DAE" w:rsidP="0021604E">
            <w:pPr>
              <w:jc w:val="left"/>
              <w:rPr>
                <w:sz w:val="20"/>
                <w:szCs w:val="20"/>
              </w:rPr>
            </w:pPr>
            <w:r w:rsidRPr="00CE72DA">
              <w:rPr>
                <w:rFonts w:eastAsia="Calibri"/>
                <w:b/>
                <w:bCs/>
                <w:color w:val="000000" w:themeColor="text1"/>
                <w:sz w:val="20"/>
                <w:szCs w:val="20"/>
              </w:rPr>
              <w:t>Average time per person per visit in minutes</w:t>
            </w:r>
          </w:p>
          <w:p w14:paraId="2050C82B" w14:textId="77777777" w:rsidR="006F0DAE" w:rsidRPr="00CE72DA" w:rsidRDefault="006F0DAE" w:rsidP="0021604E">
            <w:pPr>
              <w:jc w:val="left"/>
              <w:rPr>
                <w:sz w:val="20"/>
                <w:szCs w:val="20"/>
              </w:rPr>
            </w:pPr>
            <w:r w:rsidRPr="00CE72DA">
              <w:rPr>
                <w:rFonts w:eastAsia="Calibri"/>
                <w:b/>
                <w:bCs/>
                <w:color w:val="000000" w:themeColor="text1"/>
                <w:sz w:val="20"/>
                <w:szCs w:val="20"/>
              </w:rPr>
              <w:t>(range)</w:t>
            </w:r>
          </w:p>
        </w:tc>
      </w:tr>
      <w:tr w:rsidR="006F0DAE" w:rsidRPr="00EA3458" w14:paraId="6BD5D0F2" w14:textId="77777777" w:rsidTr="0021604E">
        <w:trPr>
          <w:trHeight w:val="555"/>
        </w:trPr>
        <w:tc>
          <w:tcPr>
            <w:tcW w:w="844" w:type="pct"/>
            <w:tcBorders>
              <w:top w:val="single" w:sz="4" w:space="0" w:color="auto"/>
              <w:left w:val="single" w:sz="4" w:space="0" w:color="auto"/>
              <w:bottom w:val="dotted" w:sz="4" w:space="0" w:color="auto"/>
              <w:right w:val="single" w:sz="4" w:space="0" w:color="auto"/>
            </w:tcBorders>
            <w:vAlign w:val="center"/>
          </w:tcPr>
          <w:p w14:paraId="08D0AD9F" w14:textId="77777777" w:rsidR="006F0DAE" w:rsidRPr="00CE72DA" w:rsidRDefault="006F0DAE" w:rsidP="0021604E">
            <w:pPr>
              <w:jc w:val="left"/>
              <w:rPr>
                <w:sz w:val="20"/>
                <w:szCs w:val="20"/>
              </w:rPr>
            </w:pPr>
            <w:r w:rsidRPr="00CE72DA">
              <w:rPr>
                <w:rFonts w:eastAsia="Calibri"/>
                <w:b/>
                <w:bCs/>
                <w:color w:val="000000" w:themeColor="text1"/>
                <w:sz w:val="20"/>
                <w:szCs w:val="20"/>
              </w:rPr>
              <w:t>Screening (Initial assessment and medical history)</w:t>
            </w:r>
          </w:p>
        </w:tc>
        <w:tc>
          <w:tcPr>
            <w:tcW w:w="769" w:type="pct"/>
            <w:tcBorders>
              <w:top w:val="single" w:sz="4" w:space="0" w:color="auto"/>
              <w:left w:val="single" w:sz="4" w:space="0" w:color="auto"/>
              <w:bottom w:val="dotted" w:sz="4" w:space="0" w:color="auto"/>
              <w:right w:val="single" w:sz="4" w:space="0" w:color="auto"/>
            </w:tcBorders>
            <w:vAlign w:val="center"/>
          </w:tcPr>
          <w:p w14:paraId="48A161A9" w14:textId="77777777" w:rsidR="006F0DAE" w:rsidRPr="00CE72DA" w:rsidRDefault="006F0DAE" w:rsidP="0021604E">
            <w:pPr>
              <w:jc w:val="left"/>
              <w:rPr>
                <w:sz w:val="20"/>
                <w:szCs w:val="20"/>
              </w:rPr>
            </w:pPr>
            <w:r w:rsidRPr="00CE72DA">
              <w:rPr>
                <w:rFonts w:eastAsia="Calibri"/>
                <w:color w:val="000000" w:themeColor="text1"/>
                <w:sz w:val="20"/>
                <w:szCs w:val="20"/>
              </w:rPr>
              <w:t>Medical Officer, Nurse</w:t>
            </w:r>
          </w:p>
        </w:tc>
        <w:tc>
          <w:tcPr>
            <w:tcW w:w="538" w:type="pct"/>
            <w:tcBorders>
              <w:top w:val="single" w:sz="4" w:space="0" w:color="auto"/>
              <w:left w:val="single" w:sz="4" w:space="0" w:color="auto"/>
              <w:bottom w:val="dotted" w:sz="4" w:space="0" w:color="auto"/>
              <w:right w:val="dotted" w:sz="4" w:space="0" w:color="auto"/>
            </w:tcBorders>
            <w:vAlign w:val="center"/>
          </w:tcPr>
          <w:p w14:paraId="722C735F" w14:textId="77777777" w:rsidR="006F0DAE" w:rsidRPr="00CE72DA" w:rsidRDefault="006F0DAE" w:rsidP="0021604E">
            <w:pPr>
              <w:jc w:val="left"/>
              <w:rPr>
                <w:sz w:val="20"/>
                <w:szCs w:val="20"/>
              </w:rPr>
            </w:pPr>
            <w:r w:rsidRPr="00CE72DA">
              <w:rPr>
                <w:rFonts w:eastAsia="Calibri"/>
                <w:color w:val="000000" w:themeColor="text1"/>
                <w:sz w:val="20"/>
                <w:szCs w:val="20"/>
              </w:rPr>
              <w:t>Medical Officer, Nurse</w:t>
            </w:r>
          </w:p>
        </w:tc>
        <w:tc>
          <w:tcPr>
            <w:tcW w:w="539" w:type="pct"/>
            <w:tcBorders>
              <w:top w:val="single" w:sz="4" w:space="0" w:color="auto"/>
              <w:left w:val="dotted" w:sz="4" w:space="0" w:color="auto"/>
              <w:bottom w:val="dotted" w:sz="4" w:space="0" w:color="auto"/>
              <w:right w:val="dotted" w:sz="4" w:space="0" w:color="auto"/>
            </w:tcBorders>
            <w:vAlign w:val="center"/>
          </w:tcPr>
          <w:p w14:paraId="2E5301B1" w14:textId="77777777" w:rsidR="006F0DAE" w:rsidRPr="00CE72DA" w:rsidRDefault="006F0DAE" w:rsidP="0021604E">
            <w:pPr>
              <w:jc w:val="left"/>
              <w:rPr>
                <w:sz w:val="20"/>
                <w:szCs w:val="20"/>
              </w:rPr>
            </w:pPr>
            <w:r w:rsidRPr="00CE72DA">
              <w:rPr>
                <w:rFonts w:eastAsia="Calibri"/>
                <w:color w:val="000000" w:themeColor="text1"/>
                <w:sz w:val="20"/>
                <w:szCs w:val="20"/>
              </w:rPr>
              <w:t>Medical Officer, Nurse</w:t>
            </w:r>
          </w:p>
        </w:tc>
        <w:tc>
          <w:tcPr>
            <w:tcW w:w="560" w:type="pct"/>
            <w:tcBorders>
              <w:top w:val="single" w:sz="4" w:space="0" w:color="auto"/>
              <w:left w:val="dotted" w:sz="4" w:space="0" w:color="auto"/>
              <w:bottom w:val="dotted" w:sz="4" w:space="0" w:color="auto"/>
              <w:right w:val="single" w:sz="4" w:space="0" w:color="auto"/>
            </w:tcBorders>
            <w:vAlign w:val="center"/>
          </w:tcPr>
          <w:p w14:paraId="4174B8A5" w14:textId="77777777" w:rsidR="006F0DAE" w:rsidRPr="00CE72DA" w:rsidRDefault="006F0DAE" w:rsidP="0021604E">
            <w:pPr>
              <w:jc w:val="left"/>
              <w:rPr>
                <w:sz w:val="20"/>
                <w:szCs w:val="20"/>
              </w:rPr>
            </w:pPr>
            <w:r w:rsidRPr="00CE72DA">
              <w:rPr>
                <w:rFonts w:eastAsia="Calibri"/>
                <w:color w:val="000000" w:themeColor="text1"/>
                <w:sz w:val="20"/>
                <w:szCs w:val="20"/>
              </w:rPr>
              <w:t>Medical Officer</w:t>
            </w:r>
          </w:p>
        </w:tc>
        <w:tc>
          <w:tcPr>
            <w:tcW w:w="448" w:type="pct"/>
            <w:tcBorders>
              <w:top w:val="single" w:sz="4" w:space="0" w:color="auto"/>
              <w:left w:val="single" w:sz="4" w:space="0" w:color="auto"/>
              <w:bottom w:val="dotted" w:sz="4" w:space="0" w:color="auto"/>
              <w:right w:val="dotted" w:sz="4" w:space="0" w:color="auto"/>
            </w:tcBorders>
            <w:vAlign w:val="center"/>
          </w:tcPr>
          <w:p w14:paraId="35DC6783" w14:textId="77777777" w:rsidR="006F0DAE" w:rsidRPr="00CE72DA" w:rsidRDefault="006F0DAE" w:rsidP="0021604E">
            <w:pPr>
              <w:jc w:val="left"/>
              <w:rPr>
                <w:sz w:val="20"/>
                <w:szCs w:val="20"/>
              </w:rPr>
            </w:pPr>
            <w:r w:rsidRPr="00CE72DA">
              <w:rPr>
                <w:rFonts w:eastAsia="Calibri"/>
                <w:sz w:val="20"/>
                <w:szCs w:val="20"/>
              </w:rPr>
              <w:t>GP</w:t>
            </w:r>
          </w:p>
        </w:tc>
        <w:tc>
          <w:tcPr>
            <w:tcW w:w="707" w:type="pct"/>
            <w:tcBorders>
              <w:top w:val="single" w:sz="4" w:space="0" w:color="auto"/>
              <w:left w:val="dotted" w:sz="4" w:space="0" w:color="auto"/>
              <w:bottom w:val="dotted" w:sz="4" w:space="0" w:color="auto"/>
              <w:right w:val="single" w:sz="4" w:space="0" w:color="auto"/>
            </w:tcBorders>
            <w:vAlign w:val="center"/>
          </w:tcPr>
          <w:p w14:paraId="637BD0B3" w14:textId="77777777" w:rsidR="006F0DAE" w:rsidRPr="00CE72DA" w:rsidRDefault="006F0DAE" w:rsidP="0021604E">
            <w:pPr>
              <w:jc w:val="left"/>
              <w:rPr>
                <w:sz w:val="20"/>
                <w:szCs w:val="20"/>
              </w:rPr>
            </w:pPr>
            <w:r w:rsidRPr="00CE72DA">
              <w:rPr>
                <w:rFonts w:eastAsia="Calibri"/>
                <w:color w:val="000000" w:themeColor="text1"/>
                <w:sz w:val="20"/>
                <w:szCs w:val="20"/>
              </w:rPr>
              <w:t>Medical Officer, Nurse Practitioner</w:t>
            </w:r>
          </w:p>
        </w:tc>
        <w:tc>
          <w:tcPr>
            <w:tcW w:w="595" w:type="pct"/>
            <w:tcBorders>
              <w:top w:val="single" w:sz="4" w:space="0" w:color="auto"/>
              <w:left w:val="single" w:sz="4" w:space="0" w:color="auto"/>
              <w:bottom w:val="dotted" w:sz="4" w:space="0" w:color="auto"/>
              <w:right w:val="single" w:sz="4" w:space="0" w:color="auto"/>
            </w:tcBorders>
            <w:vAlign w:val="center"/>
          </w:tcPr>
          <w:p w14:paraId="20024124" w14:textId="77777777" w:rsidR="006F0DAE" w:rsidRPr="00CE72DA" w:rsidRDefault="006F0DAE" w:rsidP="0021604E">
            <w:pPr>
              <w:jc w:val="left"/>
              <w:rPr>
                <w:sz w:val="20"/>
                <w:szCs w:val="20"/>
              </w:rPr>
            </w:pPr>
          </w:p>
          <w:p w14:paraId="1189BAF4" w14:textId="77777777" w:rsidR="006F0DAE" w:rsidRPr="00CE72DA" w:rsidRDefault="006F0DAE" w:rsidP="0021604E">
            <w:pPr>
              <w:jc w:val="left"/>
              <w:rPr>
                <w:sz w:val="20"/>
                <w:szCs w:val="20"/>
              </w:rPr>
            </w:pPr>
            <w:r w:rsidRPr="00CE72DA">
              <w:rPr>
                <w:rFonts w:eastAsia="Calibri"/>
                <w:color w:val="000000" w:themeColor="text1"/>
                <w:sz w:val="20"/>
                <w:szCs w:val="20"/>
              </w:rPr>
              <w:t>165 (60 – 180)</w:t>
            </w:r>
          </w:p>
        </w:tc>
      </w:tr>
      <w:tr w:rsidR="006F0DAE" w:rsidRPr="00EA3458" w14:paraId="58806D92" w14:textId="77777777" w:rsidTr="0021604E">
        <w:trPr>
          <w:trHeight w:val="555"/>
        </w:trPr>
        <w:tc>
          <w:tcPr>
            <w:tcW w:w="844" w:type="pct"/>
            <w:tcBorders>
              <w:top w:val="dotted" w:sz="4" w:space="0" w:color="auto"/>
              <w:left w:val="single" w:sz="4" w:space="0" w:color="auto"/>
              <w:bottom w:val="dotted" w:sz="4" w:space="0" w:color="auto"/>
              <w:right w:val="single" w:sz="4" w:space="0" w:color="auto"/>
            </w:tcBorders>
            <w:vAlign w:val="center"/>
          </w:tcPr>
          <w:p w14:paraId="04BDB77F" w14:textId="77777777" w:rsidR="006F0DAE" w:rsidRPr="00CE72DA" w:rsidRDefault="006F0DAE" w:rsidP="0021604E">
            <w:pPr>
              <w:jc w:val="left"/>
              <w:rPr>
                <w:rFonts w:eastAsia="Calibri"/>
                <w:b/>
                <w:color w:val="000000" w:themeColor="text1"/>
                <w:sz w:val="20"/>
                <w:szCs w:val="20"/>
              </w:rPr>
            </w:pPr>
            <w:r w:rsidRPr="00CE72DA">
              <w:rPr>
                <w:rFonts w:eastAsia="Calibri"/>
                <w:b/>
                <w:bCs/>
                <w:color w:val="000000" w:themeColor="text1"/>
                <w:sz w:val="20"/>
                <w:szCs w:val="20"/>
              </w:rPr>
              <w:t>Administering the medication</w:t>
            </w:r>
          </w:p>
        </w:tc>
        <w:tc>
          <w:tcPr>
            <w:tcW w:w="769" w:type="pct"/>
            <w:tcBorders>
              <w:top w:val="dotted" w:sz="4" w:space="0" w:color="auto"/>
              <w:left w:val="single" w:sz="4" w:space="0" w:color="auto"/>
              <w:bottom w:val="dotted" w:sz="4" w:space="0" w:color="auto"/>
              <w:right w:val="single" w:sz="4" w:space="0" w:color="auto"/>
            </w:tcBorders>
            <w:vAlign w:val="center"/>
          </w:tcPr>
          <w:p w14:paraId="7D35460B" w14:textId="77777777" w:rsidR="006F0DAE" w:rsidRPr="00CE72DA" w:rsidRDefault="006F0DAE" w:rsidP="0021604E">
            <w:pPr>
              <w:jc w:val="left"/>
              <w:rPr>
                <w:sz w:val="20"/>
                <w:szCs w:val="20"/>
              </w:rPr>
            </w:pPr>
            <w:r w:rsidRPr="00CE72DA">
              <w:rPr>
                <w:rFonts w:eastAsia="Calibri"/>
                <w:color w:val="000000" w:themeColor="text1"/>
                <w:sz w:val="20"/>
                <w:szCs w:val="20"/>
              </w:rPr>
              <w:t>Nurse, Medical Officer</w:t>
            </w:r>
          </w:p>
        </w:tc>
        <w:tc>
          <w:tcPr>
            <w:tcW w:w="538" w:type="pct"/>
            <w:tcBorders>
              <w:top w:val="dotted" w:sz="4" w:space="0" w:color="auto"/>
              <w:left w:val="single" w:sz="4" w:space="0" w:color="auto"/>
              <w:bottom w:val="dotted" w:sz="4" w:space="0" w:color="auto"/>
              <w:right w:val="dotted" w:sz="4" w:space="0" w:color="auto"/>
            </w:tcBorders>
            <w:vAlign w:val="center"/>
          </w:tcPr>
          <w:p w14:paraId="7FCD1C10" w14:textId="77777777" w:rsidR="006F0DAE" w:rsidRPr="00CE72DA" w:rsidRDefault="006F0DAE" w:rsidP="0021604E">
            <w:pPr>
              <w:jc w:val="left"/>
              <w:rPr>
                <w:sz w:val="20"/>
                <w:szCs w:val="20"/>
              </w:rPr>
            </w:pPr>
            <w:r w:rsidRPr="00CE72DA">
              <w:rPr>
                <w:rFonts w:eastAsia="Calibri"/>
                <w:color w:val="000000" w:themeColor="text1"/>
                <w:sz w:val="20"/>
                <w:szCs w:val="20"/>
              </w:rPr>
              <w:t>Nurse</w:t>
            </w:r>
          </w:p>
        </w:tc>
        <w:tc>
          <w:tcPr>
            <w:tcW w:w="539" w:type="pct"/>
            <w:tcBorders>
              <w:top w:val="dotted" w:sz="4" w:space="0" w:color="auto"/>
              <w:left w:val="dotted" w:sz="4" w:space="0" w:color="auto"/>
              <w:bottom w:val="dotted" w:sz="4" w:space="0" w:color="auto"/>
              <w:right w:val="dotted" w:sz="4" w:space="0" w:color="auto"/>
            </w:tcBorders>
            <w:vAlign w:val="center"/>
          </w:tcPr>
          <w:p w14:paraId="7ABA8C9E" w14:textId="77777777" w:rsidR="006F0DAE" w:rsidRPr="00CE72DA" w:rsidRDefault="006F0DAE" w:rsidP="0021604E">
            <w:pPr>
              <w:jc w:val="left"/>
              <w:rPr>
                <w:sz w:val="20"/>
                <w:szCs w:val="20"/>
              </w:rPr>
            </w:pPr>
            <w:r w:rsidRPr="00CE72DA">
              <w:rPr>
                <w:rFonts w:eastAsia="Calibri"/>
                <w:color w:val="000000" w:themeColor="text1"/>
                <w:sz w:val="20"/>
                <w:szCs w:val="20"/>
              </w:rPr>
              <w:t>Nurse</w:t>
            </w:r>
          </w:p>
        </w:tc>
        <w:tc>
          <w:tcPr>
            <w:tcW w:w="560" w:type="pct"/>
            <w:tcBorders>
              <w:top w:val="dotted" w:sz="4" w:space="0" w:color="auto"/>
              <w:left w:val="dotted" w:sz="4" w:space="0" w:color="auto"/>
              <w:bottom w:val="dotted" w:sz="4" w:space="0" w:color="auto"/>
              <w:right w:val="single" w:sz="4" w:space="0" w:color="auto"/>
            </w:tcBorders>
            <w:vAlign w:val="center"/>
          </w:tcPr>
          <w:p w14:paraId="61B17E82" w14:textId="77777777" w:rsidR="006F0DAE" w:rsidRPr="00CE72DA" w:rsidRDefault="006F0DAE" w:rsidP="0021604E">
            <w:pPr>
              <w:jc w:val="left"/>
              <w:rPr>
                <w:sz w:val="20"/>
                <w:szCs w:val="20"/>
              </w:rPr>
            </w:pPr>
            <w:r w:rsidRPr="00CE72DA">
              <w:rPr>
                <w:rFonts w:eastAsia="Calibri"/>
                <w:color w:val="000000" w:themeColor="text1"/>
                <w:sz w:val="20"/>
                <w:szCs w:val="20"/>
              </w:rPr>
              <w:t>Nurse, Medical officer</w:t>
            </w:r>
          </w:p>
        </w:tc>
        <w:tc>
          <w:tcPr>
            <w:tcW w:w="448" w:type="pct"/>
            <w:tcBorders>
              <w:top w:val="dotted" w:sz="4" w:space="0" w:color="auto"/>
              <w:left w:val="single" w:sz="4" w:space="0" w:color="auto"/>
              <w:bottom w:val="dotted" w:sz="4" w:space="0" w:color="auto"/>
              <w:right w:val="dotted" w:sz="4" w:space="0" w:color="auto"/>
            </w:tcBorders>
            <w:vAlign w:val="center"/>
          </w:tcPr>
          <w:p w14:paraId="714F3DD4" w14:textId="77777777" w:rsidR="006F0DAE" w:rsidRPr="00CE72DA" w:rsidRDefault="006F0DAE" w:rsidP="0021604E">
            <w:pPr>
              <w:jc w:val="left"/>
              <w:rPr>
                <w:sz w:val="20"/>
                <w:szCs w:val="20"/>
              </w:rPr>
            </w:pPr>
            <w:r w:rsidRPr="00CE72DA">
              <w:rPr>
                <w:rFonts w:eastAsia="Calibri"/>
                <w:sz w:val="20"/>
                <w:szCs w:val="20"/>
              </w:rPr>
              <w:t>Nurse, GP</w:t>
            </w:r>
          </w:p>
        </w:tc>
        <w:tc>
          <w:tcPr>
            <w:tcW w:w="707" w:type="pct"/>
            <w:tcBorders>
              <w:top w:val="dotted" w:sz="4" w:space="0" w:color="auto"/>
              <w:left w:val="dotted" w:sz="4" w:space="0" w:color="auto"/>
              <w:bottom w:val="dotted" w:sz="4" w:space="0" w:color="auto"/>
              <w:right w:val="single" w:sz="4" w:space="0" w:color="auto"/>
            </w:tcBorders>
            <w:vAlign w:val="center"/>
          </w:tcPr>
          <w:p w14:paraId="0803F0D8" w14:textId="77777777" w:rsidR="006F0DAE" w:rsidRPr="00CE72DA" w:rsidRDefault="006F0DAE" w:rsidP="0021604E">
            <w:pPr>
              <w:jc w:val="left"/>
              <w:rPr>
                <w:sz w:val="20"/>
                <w:szCs w:val="20"/>
              </w:rPr>
            </w:pPr>
            <w:r w:rsidRPr="00CE72DA">
              <w:rPr>
                <w:rFonts w:eastAsia="Calibri"/>
                <w:color w:val="000000" w:themeColor="text1"/>
                <w:sz w:val="20"/>
                <w:szCs w:val="20"/>
              </w:rPr>
              <w:t>Nurse practitioner</w:t>
            </w:r>
          </w:p>
        </w:tc>
        <w:tc>
          <w:tcPr>
            <w:tcW w:w="595" w:type="pct"/>
            <w:tcBorders>
              <w:top w:val="dotted" w:sz="4" w:space="0" w:color="auto"/>
              <w:left w:val="single" w:sz="4" w:space="0" w:color="auto"/>
              <w:bottom w:val="dotted" w:sz="4" w:space="0" w:color="auto"/>
              <w:right w:val="single" w:sz="4" w:space="0" w:color="auto"/>
            </w:tcBorders>
            <w:vAlign w:val="center"/>
          </w:tcPr>
          <w:p w14:paraId="1A3B47A4" w14:textId="77777777" w:rsidR="006F0DAE" w:rsidRPr="00CE72DA" w:rsidRDefault="006F0DAE" w:rsidP="0021604E">
            <w:pPr>
              <w:jc w:val="left"/>
              <w:rPr>
                <w:sz w:val="20"/>
                <w:szCs w:val="20"/>
              </w:rPr>
            </w:pPr>
          </w:p>
          <w:p w14:paraId="6F3828C1" w14:textId="77777777" w:rsidR="006F0DAE" w:rsidRPr="00CE72DA" w:rsidRDefault="006F0DAE" w:rsidP="0021604E">
            <w:pPr>
              <w:jc w:val="left"/>
              <w:rPr>
                <w:sz w:val="20"/>
                <w:szCs w:val="20"/>
              </w:rPr>
            </w:pPr>
            <w:r w:rsidRPr="00CE72DA">
              <w:rPr>
                <w:rFonts w:eastAsia="Calibri"/>
                <w:color w:val="000000" w:themeColor="text1"/>
                <w:sz w:val="20"/>
                <w:szCs w:val="20"/>
              </w:rPr>
              <w:t>16 (10 – 30)</w:t>
            </w:r>
          </w:p>
        </w:tc>
      </w:tr>
      <w:tr w:rsidR="006F0DAE" w:rsidRPr="00EA3458" w14:paraId="6AA824CC" w14:textId="77777777" w:rsidTr="0021604E">
        <w:trPr>
          <w:trHeight w:val="555"/>
        </w:trPr>
        <w:tc>
          <w:tcPr>
            <w:tcW w:w="844" w:type="pct"/>
            <w:tcBorders>
              <w:top w:val="dotted" w:sz="4" w:space="0" w:color="auto"/>
              <w:left w:val="single" w:sz="4" w:space="0" w:color="auto"/>
              <w:bottom w:val="dotted" w:sz="4" w:space="0" w:color="auto"/>
              <w:right w:val="single" w:sz="4" w:space="0" w:color="auto"/>
            </w:tcBorders>
            <w:vAlign w:val="center"/>
          </w:tcPr>
          <w:p w14:paraId="51F864D0" w14:textId="77777777" w:rsidR="006F0DAE" w:rsidRPr="00CE72DA" w:rsidRDefault="006F0DAE" w:rsidP="0021604E">
            <w:pPr>
              <w:jc w:val="left"/>
              <w:rPr>
                <w:sz w:val="20"/>
                <w:szCs w:val="20"/>
              </w:rPr>
            </w:pPr>
            <w:r w:rsidRPr="00CE72DA">
              <w:rPr>
                <w:rFonts w:eastAsia="Calibri"/>
                <w:b/>
                <w:bCs/>
                <w:color w:val="000000" w:themeColor="text1"/>
                <w:sz w:val="20"/>
                <w:szCs w:val="20"/>
              </w:rPr>
              <w:t>Clinical Assessment</w:t>
            </w:r>
          </w:p>
        </w:tc>
        <w:tc>
          <w:tcPr>
            <w:tcW w:w="769" w:type="pct"/>
            <w:tcBorders>
              <w:top w:val="dotted" w:sz="4" w:space="0" w:color="auto"/>
              <w:left w:val="single" w:sz="4" w:space="0" w:color="auto"/>
              <w:bottom w:val="dotted" w:sz="4" w:space="0" w:color="auto"/>
              <w:right w:val="single" w:sz="4" w:space="0" w:color="auto"/>
            </w:tcBorders>
            <w:vAlign w:val="center"/>
          </w:tcPr>
          <w:p w14:paraId="4140532F" w14:textId="77777777" w:rsidR="006F0DAE" w:rsidRPr="00CE72DA" w:rsidRDefault="006F0DAE" w:rsidP="0021604E">
            <w:pPr>
              <w:jc w:val="left"/>
              <w:rPr>
                <w:sz w:val="20"/>
                <w:szCs w:val="20"/>
              </w:rPr>
            </w:pPr>
            <w:r w:rsidRPr="00CE72DA">
              <w:rPr>
                <w:rFonts w:eastAsia="Calibri"/>
                <w:color w:val="000000" w:themeColor="text1"/>
                <w:sz w:val="20"/>
                <w:szCs w:val="20"/>
              </w:rPr>
              <w:t>Nurse</w:t>
            </w:r>
          </w:p>
        </w:tc>
        <w:tc>
          <w:tcPr>
            <w:tcW w:w="538" w:type="pct"/>
            <w:tcBorders>
              <w:top w:val="dotted" w:sz="4" w:space="0" w:color="auto"/>
              <w:left w:val="single" w:sz="4" w:space="0" w:color="auto"/>
              <w:bottom w:val="dotted" w:sz="4" w:space="0" w:color="auto"/>
              <w:right w:val="dotted" w:sz="4" w:space="0" w:color="auto"/>
            </w:tcBorders>
            <w:vAlign w:val="center"/>
          </w:tcPr>
          <w:p w14:paraId="5BC400D3" w14:textId="77777777" w:rsidR="006F0DAE" w:rsidRPr="00CE72DA" w:rsidRDefault="006F0DAE" w:rsidP="0021604E">
            <w:pPr>
              <w:jc w:val="left"/>
              <w:rPr>
                <w:sz w:val="20"/>
                <w:szCs w:val="20"/>
              </w:rPr>
            </w:pPr>
            <w:r w:rsidRPr="00CE72DA">
              <w:rPr>
                <w:rFonts w:eastAsia="Calibri"/>
                <w:color w:val="000000" w:themeColor="text1"/>
                <w:sz w:val="20"/>
                <w:szCs w:val="20"/>
              </w:rPr>
              <w:t>Nurse</w:t>
            </w:r>
          </w:p>
        </w:tc>
        <w:tc>
          <w:tcPr>
            <w:tcW w:w="539" w:type="pct"/>
            <w:tcBorders>
              <w:top w:val="dotted" w:sz="4" w:space="0" w:color="auto"/>
              <w:left w:val="dotted" w:sz="4" w:space="0" w:color="auto"/>
              <w:bottom w:val="dotted" w:sz="4" w:space="0" w:color="auto"/>
              <w:right w:val="dotted" w:sz="4" w:space="0" w:color="auto"/>
            </w:tcBorders>
            <w:vAlign w:val="center"/>
          </w:tcPr>
          <w:p w14:paraId="096074D3" w14:textId="77777777" w:rsidR="006F0DAE" w:rsidRPr="00CE72DA" w:rsidRDefault="006F0DAE" w:rsidP="0021604E">
            <w:pPr>
              <w:jc w:val="left"/>
              <w:rPr>
                <w:sz w:val="20"/>
                <w:szCs w:val="20"/>
              </w:rPr>
            </w:pPr>
            <w:r w:rsidRPr="00CE72DA">
              <w:rPr>
                <w:rFonts w:eastAsia="Calibri"/>
                <w:color w:val="000000" w:themeColor="text1"/>
                <w:sz w:val="20"/>
                <w:szCs w:val="20"/>
              </w:rPr>
              <w:t>Nurse</w:t>
            </w:r>
          </w:p>
        </w:tc>
        <w:tc>
          <w:tcPr>
            <w:tcW w:w="560" w:type="pct"/>
            <w:tcBorders>
              <w:top w:val="dotted" w:sz="4" w:space="0" w:color="auto"/>
              <w:left w:val="dotted" w:sz="4" w:space="0" w:color="auto"/>
              <w:bottom w:val="dotted" w:sz="4" w:space="0" w:color="auto"/>
              <w:right w:val="single" w:sz="4" w:space="0" w:color="auto"/>
            </w:tcBorders>
            <w:vAlign w:val="center"/>
          </w:tcPr>
          <w:p w14:paraId="546E71C8" w14:textId="77777777" w:rsidR="006F0DAE" w:rsidRPr="00CE72DA" w:rsidRDefault="006F0DAE" w:rsidP="0021604E">
            <w:pPr>
              <w:jc w:val="left"/>
              <w:rPr>
                <w:sz w:val="20"/>
                <w:szCs w:val="20"/>
              </w:rPr>
            </w:pPr>
            <w:r w:rsidRPr="00CE72DA">
              <w:rPr>
                <w:rFonts w:eastAsia="Calibri"/>
                <w:color w:val="000000" w:themeColor="text1"/>
                <w:sz w:val="20"/>
                <w:szCs w:val="20"/>
              </w:rPr>
              <w:t>Medical Officer</w:t>
            </w:r>
          </w:p>
        </w:tc>
        <w:tc>
          <w:tcPr>
            <w:tcW w:w="448" w:type="pct"/>
            <w:tcBorders>
              <w:top w:val="dotted" w:sz="4" w:space="0" w:color="auto"/>
              <w:left w:val="single" w:sz="4" w:space="0" w:color="auto"/>
              <w:bottom w:val="dotted" w:sz="4" w:space="0" w:color="auto"/>
              <w:right w:val="dotted" w:sz="4" w:space="0" w:color="auto"/>
            </w:tcBorders>
            <w:vAlign w:val="center"/>
          </w:tcPr>
          <w:p w14:paraId="2C0FE92A" w14:textId="77777777" w:rsidR="006F0DAE" w:rsidRPr="00CE72DA" w:rsidRDefault="006F0DAE" w:rsidP="0021604E">
            <w:pPr>
              <w:jc w:val="left"/>
              <w:rPr>
                <w:sz w:val="20"/>
                <w:szCs w:val="20"/>
              </w:rPr>
            </w:pPr>
            <w:r w:rsidRPr="00CE72DA">
              <w:rPr>
                <w:rFonts w:eastAsia="Calibri"/>
                <w:sz w:val="20"/>
                <w:szCs w:val="20"/>
              </w:rPr>
              <w:t>GP</w:t>
            </w:r>
          </w:p>
        </w:tc>
        <w:tc>
          <w:tcPr>
            <w:tcW w:w="707" w:type="pct"/>
            <w:tcBorders>
              <w:top w:val="dotted" w:sz="4" w:space="0" w:color="auto"/>
              <w:left w:val="dotted" w:sz="4" w:space="0" w:color="auto"/>
              <w:bottom w:val="dotted" w:sz="4" w:space="0" w:color="auto"/>
              <w:right w:val="single" w:sz="4" w:space="0" w:color="auto"/>
            </w:tcBorders>
            <w:vAlign w:val="center"/>
          </w:tcPr>
          <w:p w14:paraId="7970AC1F" w14:textId="77777777" w:rsidR="006F0DAE" w:rsidRPr="00CE72DA" w:rsidRDefault="006F0DAE" w:rsidP="0021604E">
            <w:pPr>
              <w:jc w:val="left"/>
              <w:rPr>
                <w:sz w:val="20"/>
                <w:szCs w:val="20"/>
              </w:rPr>
            </w:pPr>
            <w:r w:rsidRPr="00CE72DA">
              <w:rPr>
                <w:rFonts w:eastAsia="Calibri"/>
                <w:color w:val="000000" w:themeColor="text1"/>
                <w:sz w:val="20"/>
                <w:szCs w:val="20"/>
              </w:rPr>
              <w:t>Nurse</w:t>
            </w:r>
          </w:p>
        </w:tc>
        <w:tc>
          <w:tcPr>
            <w:tcW w:w="595" w:type="pct"/>
            <w:tcBorders>
              <w:top w:val="dotted" w:sz="4" w:space="0" w:color="auto"/>
              <w:left w:val="single" w:sz="4" w:space="0" w:color="auto"/>
              <w:bottom w:val="dotted" w:sz="4" w:space="0" w:color="auto"/>
              <w:right w:val="single" w:sz="4" w:space="0" w:color="auto"/>
            </w:tcBorders>
            <w:vAlign w:val="center"/>
          </w:tcPr>
          <w:p w14:paraId="7288267B" w14:textId="77777777" w:rsidR="006F0DAE" w:rsidRPr="00CE72DA" w:rsidRDefault="006F0DAE" w:rsidP="0021604E">
            <w:pPr>
              <w:jc w:val="left"/>
              <w:rPr>
                <w:sz w:val="20"/>
                <w:szCs w:val="20"/>
              </w:rPr>
            </w:pPr>
          </w:p>
          <w:p w14:paraId="6C393B63" w14:textId="77777777" w:rsidR="006F0DAE" w:rsidRPr="00CE72DA" w:rsidRDefault="006F0DAE" w:rsidP="0021604E">
            <w:pPr>
              <w:jc w:val="left"/>
              <w:rPr>
                <w:sz w:val="20"/>
                <w:szCs w:val="20"/>
              </w:rPr>
            </w:pPr>
            <w:r w:rsidRPr="00CE72DA">
              <w:rPr>
                <w:rFonts w:eastAsia="Calibri"/>
                <w:color w:val="000000" w:themeColor="text1"/>
                <w:sz w:val="20"/>
                <w:szCs w:val="20"/>
              </w:rPr>
              <w:t>25 (15 – 45)</w:t>
            </w:r>
          </w:p>
        </w:tc>
      </w:tr>
      <w:tr w:rsidR="006F0DAE" w:rsidRPr="00EA3458" w14:paraId="2AFA3BDE" w14:textId="77777777" w:rsidTr="0021604E">
        <w:trPr>
          <w:trHeight w:val="225"/>
        </w:trPr>
        <w:tc>
          <w:tcPr>
            <w:tcW w:w="844" w:type="pct"/>
            <w:tcBorders>
              <w:top w:val="dotted" w:sz="4" w:space="0" w:color="auto"/>
              <w:left w:val="single" w:sz="4" w:space="0" w:color="auto"/>
              <w:bottom w:val="dotted" w:sz="4" w:space="0" w:color="auto"/>
              <w:right w:val="single" w:sz="4" w:space="0" w:color="auto"/>
            </w:tcBorders>
            <w:vAlign w:val="center"/>
          </w:tcPr>
          <w:p w14:paraId="4F988C3C" w14:textId="77777777" w:rsidR="006F0DAE" w:rsidRPr="00CE72DA" w:rsidRDefault="006F0DAE" w:rsidP="0021604E">
            <w:pPr>
              <w:jc w:val="left"/>
              <w:rPr>
                <w:sz w:val="20"/>
                <w:szCs w:val="20"/>
              </w:rPr>
            </w:pPr>
            <w:r w:rsidRPr="00CE72DA">
              <w:rPr>
                <w:rFonts w:eastAsia="Calibri"/>
                <w:b/>
                <w:bCs/>
                <w:color w:val="000000" w:themeColor="text1"/>
                <w:sz w:val="20"/>
                <w:szCs w:val="20"/>
              </w:rPr>
              <w:t>Case management and psychosocial services</w:t>
            </w:r>
          </w:p>
        </w:tc>
        <w:tc>
          <w:tcPr>
            <w:tcW w:w="769" w:type="pct"/>
            <w:tcBorders>
              <w:top w:val="dotted" w:sz="4" w:space="0" w:color="auto"/>
              <w:left w:val="single" w:sz="4" w:space="0" w:color="auto"/>
              <w:bottom w:val="dotted" w:sz="4" w:space="0" w:color="auto"/>
              <w:right w:val="single" w:sz="4" w:space="0" w:color="auto"/>
            </w:tcBorders>
            <w:vAlign w:val="center"/>
          </w:tcPr>
          <w:p w14:paraId="2A48C9BE" w14:textId="77777777" w:rsidR="006F0DAE" w:rsidRPr="00CE72DA" w:rsidRDefault="006F0DAE" w:rsidP="0021604E">
            <w:pPr>
              <w:jc w:val="left"/>
              <w:rPr>
                <w:sz w:val="20"/>
                <w:szCs w:val="20"/>
              </w:rPr>
            </w:pPr>
            <w:r w:rsidRPr="00CE72DA">
              <w:rPr>
                <w:rFonts w:eastAsia="Calibri"/>
                <w:color w:val="000000" w:themeColor="text1"/>
                <w:sz w:val="20"/>
                <w:szCs w:val="20"/>
              </w:rPr>
              <w:t>Nurse, Social worker</w:t>
            </w:r>
          </w:p>
        </w:tc>
        <w:tc>
          <w:tcPr>
            <w:tcW w:w="538" w:type="pct"/>
            <w:tcBorders>
              <w:top w:val="dotted" w:sz="4" w:space="0" w:color="auto"/>
              <w:left w:val="single" w:sz="4" w:space="0" w:color="auto"/>
              <w:bottom w:val="dotted" w:sz="4" w:space="0" w:color="auto"/>
              <w:right w:val="dotted" w:sz="4" w:space="0" w:color="auto"/>
            </w:tcBorders>
            <w:vAlign w:val="center"/>
          </w:tcPr>
          <w:p w14:paraId="45703FBC" w14:textId="77777777" w:rsidR="006F0DAE" w:rsidRPr="00CE72DA" w:rsidRDefault="006F0DAE" w:rsidP="0021604E">
            <w:pPr>
              <w:jc w:val="left"/>
              <w:rPr>
                <w:sz w:val="20"/>
                <w:szCs w:val="20"/>
              </w:rPr>
            </w:pPr>
            <w:r w:rsidRPr="00CE72DA">
              <w:rPr>
                <w:rFonts w:eastAsia="Calibri"/>
                <w:color w:val="000000" w:themeColor="text1"/>
                <w:sz w:val="20"/>
                <w:szCs w:val="20"/>
              </w:rPr>
              <w:t>Nurse</w:t>
            </w:r>
          </w:p>
        </w:tc>
        <w:tc>
          <w:tcPr>
            <w:tcW w:w="539" w:type="pct"/>
            <w:tcBorders>
              <w:top w:val="dotted" w:sz="4" w:space="0" w:color="auto"/>
              <w:left w:val="dotted" w:sz="4" w:space="0" w:color="auto"/>
              <w:bottom w:val="dotted" w:sz="4" w:space="0" w:color="auto"/>
              <w:right w:val="dotted" w:sz="4" w:space="0" w:color="auto"/>
            </w:tcBorders>
            <w:vAlign w:val="center"/>
          </w:tcPr>
          <w:p w14:paraId="7E49F499" w14:textId="77777777" w:rsidR="006F0DAE" w:rsidRPr="00CE72DA" w:rsidRDefault="006F0DAE" w:rsidP="0021604E">
            <w:pPr>
              <w:jc w:val="left"/>
              <w:rPr>
                <w:sz w:val="20"/>
                <w:szCs w:val="20"/>
              </w:rPr>
            </w:pPr>
            <w:r w:rsidRPr="00CE72DA">
              <w:rPr>
                <w:rFonts w:eastAsia="Calibri"/>
                <w:color w:val="000000" w:themeColor="text1"/>
                <w:sz w:val="20"/>
                <w:szCs w:val="20"/>
              </w:rPr>
              <w:t>Medical Officer</w:t>
            </w:r>
          </w:p>
        </w:tc>
        <w:tc>
          <w:tcPr>
            <w:tcW w:w="560" w:type="pct"/>
            <w:tcBorders>
              <w:top w:val="dotted" w:sz="4" w:space="0" w:color="auto"/>
              <w:left w:val="dotted" w:sz="4" w:space="0" w:color="auto"/>
              <w:bottom w:val="dotted" w:sz="4" w:space="0" w:color="auto"/>
              <w:right w:val="single" w:sz="4" w:space="0" w:color="auto"/>
            </w:tcBorders>
            <w:vAlign w:val="center"/>
          </w:tcPr>
          <w:p w14:paraId="76398199" w14:textId="77777777" w:rsidR="006F0DAE" w:rsidRPr="00CE72DA" w:rsidRDefault="006F0DAE" w:rsidP="0021604E">
            <w:pPr>
              <w:jc w:val="left"/>
              <w:rPr>
                <w:sz w:val="20"/>
                <w:szCs w:val="20"/>
              </w:rPr>
            </w:pPr>
            <w:r w:rsidRPr="00CE72DA">
              <w:rPr>
                <w:rFonts w:eastAsia="Calibri"/>
                <w:color w:val="000000" w:themeColor="text1"/>
                <w:sz w:val="20"/>
                <w:szCs w:val="20"/>
              </w:rPr>
              <w:t>Nurse, Psychologist</w:t>
            </w:r>
          </w:p>
        </w:tc>
        <w:tc>
          <w:tcPr>
            <w:tcW w:w="448" w:type="pct"/>
            <w:tcBorders>
              <w:top w:val="dotted" w:sz="4" w:space="0" w:color="auto"/>
              <w:left w:val="single" w:sz="4" w:space="0" w:color="auto"/>
              <w:bottom w:val="dotted" w:sz="4" w:space="0" w:color="auto"/>
              <w:right w:val="dotted" w:sz="4" w:space="0" w:color="auto"/>
            </w:tcBorders>
            <w:vAlign w:val="center"/>
          </w:tcPr>
          <w:p w14:paraId="172DB9B4" w14:textId="77777777" w:rsidR="006F0DAE" w:rsidRPr="00CE72DA" w:rsidRDefault="006F0DAE" w:rsidP="0021604E">
            <w:pPr>
              <w:jc w:val="left"/>
              <w:rPr>
                <w:sz w:val="20"/>
                <w:szCs w:val="20"/>
              </w:rPr>
            </w:pPr>
            <w:r w:rsidRPr="00CE72DA">
              <w:rPr>
                <w:rFonts w:eastAsia="Calibri"/>
                <w:sz w:val="20"/>
                <w:szCs w:val="20"/>
              </w:rPr>
              <w:t>GP</w:t>
            </w:r>
          </w:p>
        </w:tc>
        <w:tc>
          <w:tcPr>
            <w:tcW w:w="707" w:type="pct"/>
            <w:tcBorders>
              <w:top w:val="dotted" w:sz="4" w:space="0" w:color="auto"/>
              <w:left w:val="dotted" w:sz="4" w:space="0" w:color="auto"/>
              <w:bottom w:val="dotted" w:sz="4" w:space="0" w:color="auto"/>
              <w:right w:val="single" w:sz="4" w:space="0" w:color="auto"/>
            </w:tcBorders>
            <w:vAlign w:val="center"/>
          </w:tcPr>
          <w:p w14:paraId="5039F040" w14:textId="77777777" w:rsidR="006F0DAE" w:rsidRPr="00CE72DA" w:rsidRDefault="006F0DAE" w:rsidP="0021604E">
            <w:pPr>
              <w:jc w:val="left"/>
              <w:rPr>
                <w:sz w:val="20"/>
                <w:szCs w:val="20"/>
              </w:rPr>
            </w:pPr>
            <w:r w:rsidRPr="00CE72DA">
              <w:rPr>
                <w:rFonts w:eastAsia="Calibri"/>
                <w:color w:val="000000" w:themeColor="text1"/>
                <w:sz w:val="20"/>
                <w:szCs w:val="20"/>
              </w:rPr>
              <w:t>Nurse</w:t>
            </w:r>
          </w:p>
        </w:tc>
        <w:tc>
          <w:tcPr>
            <w:tcW w:w="595" w:type="pct"/>
            <w:tcBorders>
              <w:top w:val="dotted" w:sz="4" w:space="0" w:color="auto"/>
              <w:left w:val="single" w:sz="4" w:space="0" w:color="auto"/>
              <w:bottom w:val="dotted" w:sz="4" w:space="0" w:color="auto"/>
              <w:right w:val="single" w:sz="4" w:space="0" w:color="auto"/>
            </w:tcBorders>
            <w:vAlign w:val="center"/>
          </w:tcPr>
          <w:p w14:paraId="59C2BA7D" w14:textId="77777777" w:rsidR="006F0DAE" w:rsidRPr="00CE72DA" w:rsidRDefault="006F0DAE" w:rsidP="0021604E">
            <w:pPr>
              <w:jc w:val="left"/>
              <w:rPr>
                <w:sz w:val="20"/>
                <w:szCs w:val="20"/>
              </w:rPr>
            </w:pPr>
          </w:p>
          <w:p w14:paraId="1E793530" w14:textId="77777777" w:rsidR="006F0DAE" w:rsidRPr="00CE72DA" w:rsidRDefault="006F0DAE" w:rsidP="0021604E">
            <w:pPr>
              <w:jc w:val="left"/>
              <w:rPr>
                <w:sz w:val="20"/>
                <w:szCs w:val="20"/>
              </w:rPr>
            </w:pPr>
            <w:r w:rsidRPr="00CE72DA">
              <w:rPr>
                <w:rFonts w:eastAsia="Calibri"/>
                <w:color w:val="000000" w:themeColor="text1"/>
                <w:sz w:val="20"/>
                <w:szCs w:val="20"/>
              </w:rPr>
              <w:t>44 (15 – 75)</w:t>
            </w:r>
          </w:p>
        </w:tc>
      </w:tr>
      <w:tr w:rsidR="006F0DAE" w:rsidRPr="00EA3458" w14:paraId="15EED4B1" w14:textId="77777777" w:rsidTr="0021604E">
        <w:trPr>
          <w:trHeight w:val="555"/>
        </w:trPr>
        <w:tc>
          <w:tcPr>
            <w:tcW w:w="844" w:type="pct"/>
            <w:tcBorders>
              <w:top w:val="dotted" w:sz="4" w:space="0" w:color="auto"/>
              <w:left w:val="single" w:sz="4" w:space="0" w:color="auto"/>
              <w:bottom w:val="dotted" w:sz="4" w:space="0" w:color="auto"/>
              <w:right w:val="single" w:sz="4" w:space="0" w:color="auto"/>
            </w:tcBorders>
            <w:vAlign w:val="center"/>
          </w:tcPr>
          <w:p w14:paraId="5CD78DC9" w14:textId="77777777" w:rsidR="006F0DAE" w:rsidRPr="00CE72DA" w:rsidRDefault="006F0DAE" w:rsidP="0021604E">
            <w:pPr>
              <w:jc w:val="left"/>
              <w:rPr>
                <w:sz w:val="20"/>
                <w:szCs w:val="20"/>
              </w:rPr>
            </w:pPr>
            <w:r w:rsidRPr="00CE72DA">
              <w:rPr>
                <w:rFonts w:eastAsia="Calibri"/>
                <w:b/>
                <w:bCs/>
                <w:color w:val="000000" w:themeColor="text1"/>
                <w:sz w:val="20"/>
                <w:szCs w:val="20"/>
              </w:rPr>
              <w:t>Clinic Administration</w:t>
            </w:r>
          </w:p>
        </w:tc>
        <w:tc>
          <w:tcPr>
            <w:tcW w:w="769" w:type="pct"/>
            <w:tcBorders>
              <w:top w:val="dotted" w:sz="4" w:space="0" w:color="auto"/>
              <w:left w:val="single" w:sz="4" w:space="0" w:color="auto"/>
              <w:bottom w:val="dotted" w:sz="4" w:space="0" w:color="auto"/>
              <w:right w:val="single" w:sz="4" w:space="0" w:color="auto"/>
            </w:tcBorders>
            <w:vAlign w:val="center"/>
          </w:tcPr>
          <w:p w14:paraId="54674590" w14:textId="77777777" w:rsidR="006F0DAE" w:rsidRPr="00CE72DA" w:rsidRDefault="006F0DAE" w:rsidP="0021604E">
            <w:pPr>
              <w:jc w:val="left"/>
              <w:rPr>
                <w:sz w:val="20"/>
                <w:szCs w:val="20"/>
              </w:rPr>
            </w:pPr>
            <w:r w:rsidRPr="00CE72DA">
              <w:rPr>
                <w:rFonts w:eastAsia="Calibri"/>
                <w:color w:val="000000" w:themeColor="text1"/>
                <w:sz w:val="20"/>
                <w:szCs w:val="20"/>
              </w:rPr>
              <w:t>Administrator</w:t>
            </w:r>
          </w:p>
        </w:tc>
        <w:tc>
          <w:tcPr>
            <w:tcW w:w="538" w:type="pct"/>
            <w:tcBorders>
              <w:top w:val="dotted" w:sz="4" w:space="0" w:color="auto"/>
              <w:left w:val="single" w:sz="4" w:space="0" w:color="auto"/>
              <w:bottom w:val="dotted" w:sz="4" w:space="0" w:color="auto"/>
              <w:right w:val="dotted" w:sz="4" w:space="0" w:color="auto"/>
            </w:tcBorders>
            <w:vAlign w:val="center"/>
          </w:tcPr>
          <w:p w14:paraId="18E49495" w14:textId="77777777" w:rsidR="006F0DAE" w:rsidRPr="00CE72DA" w:rsidRDefault="006F0DAE" w:rsidP="0021604E">
            <w:pPr>
              <w:jc w:val="left"/>
              <w:rPr>
                <w:sz w:val="20"/>
                <w:szCs w:val="20"/>
              </w:rPr>
            </w:pPr>
            <w:r w:rsidRPr="00CE72DA">
              <w:rPr>
                <w:rFonts w:eastAsia="Calibri"/>
                <w:color w:val="000000" w:themeColor="text1"/>
                <w:sz w:val="20"/>
                <w:szCs w:val="20"/>
              </w:rPr>
              <w:t>Nurse</w:t>
            </w:r>
          </w:p>
        </w:tc>
        <w:tc>
          <w:tcPr>
            <w:tcW w:w="539" w:type="pct"/>
            <w:tcBorders>
              <w:top w:val="dotted" w:sz="4" w:space="0" w:color="auto"/>
              <w:left w:val="dotted" w:sz="4" w:space="0" w:color="auto"/>
              <w:bottom w:val="dotted" w:sz="4" w:space="0" w:color="auto"/>
              <w:right w:val="dotted" w:sz="4" w:space="0" w:color="auto"/>
            </w:tcBorders>
            <w:vAlign w:val="center"/>
          </w:tcPr>
          <w:p w14:paraId="1424E7DB" w14:textId="77777777" w:rsidR="006F0DAE" w:rsidRPr="00CE72DA" w:rsidRDefault="006F0DAE" w:rsidP="0021604E">
            <w:pPr>
              <w:jc w:val="left"/>
              <w:rPr>
                <w:sz w:val="20"/>
                <w:szCs w:val="20"/>
              </w:rPr>
            </w:pPr>
            <w:r w:rsidRPr="00CE72DA">
              <w:rPr>
                <w:rFonts w:eastAsia="Calibri"/>
                <w:color w:val="000000" w:themeColor="text1"/>
                <w:sz w:val="20"/>
                <w:szCs w:val="20"/>
              </w:rPr>
              <w:t>Nurse</w:t>
            </w:r>
          </w:p>
        </w:tc>
        <w:tc>
          <w:tcPr>
            <w:tcW w:w="560" w:type="pct"/>
            <w:tcBorders>
              <w:top w:val="dotted" w:sz="4" w:space="0" w:color="auto"/>
              <w:left w:val="dotted" w:sz="4" w:space="0" w:color="auto"/>
              <w:bottom w:val="dotted" w:sz="4" w:space="0" w:color="auto"/>
              <w:right w:val="single" w:sz="4" w:space="0" w:color="auto"/>
            </w:tcBorders>
            <w:vAlign w:val="center"/>
          </w:tcPr>
          <w:p w14:paraId="66DF7A39" w14:textId="77777777" w:rsidR="006F0DAE" w:rsidRPr="00CE72DA" w:rsidRDefault="006F0DAE" w:rsidP="0021604E">
            <w:pPr>
              <w:jc w:val="left"/>
              <w:rPr>
                <w:sz w:val="20"/>
                <w:szCs w:val="20"/>
              </w:rPr>
            </w:pPr>
            <w:r w:rsidRPr="00CE72DA">
              <w:rPr>
                <w:rFonts w:eastAsia="Calibri"/>
                <w:color w:val="000000" w:themeColor="text1"/>
                <w:sz w:val="20"/>
                <w:szCs w:val="20"/>
              </w:rPr>
              <w:t>Administrator</w:t>
            </w:r>
          </w:p>
        </w:tc>
        <w:tc>
          <w:tcPr>
            <w:tcW w:w="448" w:type="pct"/>
            <w:tcBorders>
              <w:top w:val="dotted" w:sz="4" w:space="0" w:color="auto"/>
              <w:left w:val="single" w:sz="4" w:space="0" w:color="auto"/>
              <w:bottom w:val="dotted" w:sz="4" w:space="0" w:color="auto"/>
              <w:right w:val="dotted" w:sz="4" w:space="0" w:color="auto"/>
            </w:tcBorders>
            <w:vAlign w:val="center"/>
          </w:tcPr>
          <w:p w14:paraId="2660C95B" w14:textId="77777777" w:rsidR="006F0DAE" w:rsidRPr="00CE72DA" w:rsidRDefault="006F0DAE" w:rsidP="0021604E">
            <w:pPr>
              <w:jc w:val="left"/>
              <w:rPr>
                <w:sz w:val="20"/>
                <w:szCs w:val="20"/>
              </w:rPr>
            </w:pPr>
            <w:r w:rsidRPr="00CE72DA">
              <w:rPr>
                <w:rFonts w:eastAsia="Calibri"/>
                <w:sz w:val="20"/>
                <w:szCs w:val="20"/>
              </w:rPr>
              <w:t>Nurse</w:t>
            </w:r>
          </w:p>
        </w:tc>
        <w:tc>
          <w:tcPr>
            <w:tcW w:w="707" w:type="pct"/>
            <w:tcBorders>
              <w:top w:val="dotted" w:sz="4" w:space="0" w:color="auto"/>
              <w:left w:val="dotted" w:sz="4" w:space="0" w:color="auto"/>
              <w:bottom w:val="dotted" w:sz="4" w:space="0" w:color="auto"/>
              <w:right w:val="single" w:sz="4" w:space="0" w:color="auto"/>
            </w:tcBorders>
            <w:vAlign w:val="center"/>
          </w:tcPr>
          <w:p w14:paraId="6A196A11" w14:textId="77777777" w:rsidR="006F0DAE" w:rsidRPr="00CE72DA" w:rsidRDefault="006F0DAE" w:rsidP="0021604E">
            <w:pPr>
              <w:jc w:val="left"/>
              <w:rPr>
                <w:sz w:val="20"/>
                <w:szCs w:val="20"/>
              </w:rPr>
            </w:pPr>
            <w:r w:rsidRPr="00CE72DA">
              <w:rPr>
                <w:rFonts w:eastAsia="Calibri"/>
                <w:color w:val="000000" w:themeColor="text1"/>
                <w:sz w:val="20"/>
                <w:szCs w:val="20"/>
              </w:rPr>
              <w:t>Administrator</w:t>
            </w:r>
          </w:p>
        </w:tc>
        <w:tc>
          <w:tcPr>
            <w:tcW w:w="595" w:type="pct"/>
            <w:tcBorders>
              <w:top w:val="dotted" w:sz="4" w:space="0" w:color="auto"/>
              <w:left w:val="single" w:sz="4" w:space="0" w:color="auto"/>
              <w:bottom w:val="dotted" w:sz="4" w:space="0" w:color="auto"/>
              <w:right w:val="single" w:sz="4" w:space="0" w:color="auto"/>
            </w:tcBorders>
            <w:vAlign w:val="center"/>
          </w:tcPr>
          <w:p w14:paraId="6C070F5A" w14:textId="77777777" w:rsidR="006F0DAE" w:rsidRPr="00CE72DA" w:rsidRDefault="006F0DAE" w:rsidP="0021604E">
            <w:pPr>
              <w:jc w:val="left"/>
              <w:rPr>
                <w:sz w:val="20"/>
                <w:szCs w:val="20"/>
              </w:rPr>
            </w:pPr>
          </w:p>
          <w:p w14:paraId="65E4CF3A" w14:textId="77777777" w:rsidR="006F0DAE" w:rsidRPr="00CE72DA" w:rsidRDefault="006F0DAE" w:rsidP="0021604E">
            <w:pPr>
              <w:jc w:val="left"/>
              <w:rPr>
                <w:sz w:val="20"/>
                <w:szCs w:val="20"/>
              </w:rPr>
            </w:pPr>
            <w:r w:rsidRPr="00CE72DA">
              <w:rPr>
                <w:rFonts w:eastAsia="Calibri"/>
                <w:color w:val="000000" w:themeColor="text1"/>
                <w:sz w:val="20"/>
                <w:szCs w:val="20"/>
              </w:rPr>
              <w:t>23 (12 – 40)</w:t>
            </w:r>
          </w:p>
        </w:tc>
      </w:tr>
      <w:tr w:rsidR="006F0DAE" w:rsidRPr="00EA3458" w14:paraId="316AFFCA" w14:textId="77777777" w:rsidTr="0021604E">
        <w:trPr>
          <w:trHeight w:val="555"/>
        </w:trPr>
        <w:tc>
          <w:tcPr>
            <w:tcW w:w="844" w:type="pct"/>
            <w:tcBorders>
              <w:top w:val="dotted" w:sz="4" w:space="0" w:color="auto"/>
              <w:left w:val="single" w:sz="4" w:space="0" w:color="auto"/>
              <w:bottom w:val="dotted" w:sz="4" w:space="0" w:color="auto"/>
              <w:right w:val="single" w:sz="4" w:space="0" w:color="auto"/>
            </w:tcBorders>
            <w:vAlign w:val="center"/>
          </w:tcPr>
          <w:p w14:paraId="06623E01" w14:textId="77777777" w:rsidR="006F0DAE" w:rsidRPr="00CE72DA" w:rsidRDefault="006F0DAE" w:rsidP="0021604E">
            <w:pPr>
              <w:jc w:val="left"/>
              <w:rPr>
                <w:sz w:val="20"/>
                <w:szCs w:val="20"/>
              </w:rPr>
            </w:pPr>
            <w:r w:rsidRPr="00CE72DA">
              <w:rPr>
                <w:rFonts w:eastAsia="Calibri"/>
                <w:b/>
                <w:bCs/>
                <w:color w:val="000000" w:themeColor="text1"/>
                <w:sz w:val="20"/>
                <w:szCs w:val="20"/>
              </w:rPr>
              <w:t>Adverse events management</w:t>
            </w:r>
          </w:p>
        </w:tc>
        <w:tc>
          <w:tcPr>
            <w:tcW w:w="769" w:type="pct"/>
            <w:tcBorders>
              <w:top w:val="dotted" w:sz="4" w:space="0" w:color="auto"/>
              <w:left w:val="single" w:sz="4" w:space="0" w:color="auto"/>
              <w:bottom w:val="dotted" w:sz="4" w:space="0" w:color="auto"/>
              <w:right w:val="single" w:sz="4" w:space="0" w:color="auto"/>
            </w:tcBorders>
            <w:vAlign w:val="center"/>
          </w:tcPr>
          <w:p w14:paraId="01F16C95" w14:textId="77777777" w:rsidR="006F0DAE" w:rsidRPr="00CE72DA" w:rsidRDefault="006F0DAE" w:rsidP="0021604E">
            <w:pPr>
              <w:jc w:val="left"/>
              <w:rPr>
                <w:sz w:val="20"/>
                <w:szCs w:val="20"/>
              </w:rPr>
            </w:pPr>
            <w:r w:rsidRPr="00CE72DA">
              <w:rPr>
                <w:rFonts w:eastAsia="Calibri"/>
                <w:color w:val="000000" w:themeColor="text1"/>
                <w:sz w:val="20"/>
                <w:szCs w:val="20"/>
              </w:rPr>
              <w:t>Nurse</w:t>
            </w:r>
          </w:p>
        </w:tc>
        <w:tc>
          <w:tcPr>
            <w:tcW w:w="538" w:type="pct"/>
            <w:tcBorders>
              <w:top w:val="dotted" w:sz="4" w:space="0" w:color="auto"/>
              <w:left w:val="single" w:sz="4" w:space="0" w:color="auto"/>
              <w:bottom w:val="dotted" w:sz="4" w:space="0" w:color="auto"/>
              <w:right w:val="dotted" w:sz="4" w:space="0" w:color="auto"/>
            </w:tcBorders>
            <w:vAlign w:val="center"/>
          </w:tcPr>
          <w:p w14:paraId="25DF36CB" w14:textId="77777777" w:rsidR="006F0DAE" w:rsidRPr="00CE72DA" w:rsidRDefault="006F0DAE" w:rsidP="0021604E">
            <w:pPr>
              <w:jc w:val="left"/>
              <w:rPr>
                <w:sz w:val="20"/>
                <w:szCs w:val="20"/>
              </w:rPr>
            </w:pPr>
            <w:r w:rsidRPr="00CE72DA">
              <w:rPr>
                <w:rFonts w:eastAsia="Calibri"/>
                <w:color w:val="000000" w:themeColor="text1"/>
                <w:sz w:val="20"/>
                <w:szCs w:val="20"/>
              </w:rPr>
              <w:t>Nurse</w:t>
            </w:r>
          </w:p>
        </w:tc>
        <w:tc>
          <w:tcPr>
            <w:tcW w:w="539" w:type="pct"/>
            <w:tcBorders>
              <w:top w:val="dotted" w:sz="4" w:space="0" w:color="auto"/>
              <w:left w:val="dotted" w:sz="4" w:space="0" w:color="auto"/>
              <w:bottom w:val="dotted" w:sz="4" w:space="0" w:color="auto"/>
              <w:right w:val="dotted" w:sz="4" w:space="0" w:color="auto"/>
            </w:tcBorders>
            <w:vAlign w:val="center"/>
          </w:tcPr>
          <w:p w14:paraId="7F45D918" w14:textId="77777777" w:rsidR="006F0DAE" w:rsidRPr="00CE72DA" w:rsidRDefault="006F0DAE" w:rsidP="0021604E">
            <w:pPr>
              <w:jc w:val="left"/>
              <w:rPr>
                <w:sz w:val="20"/>
                <w:szCs w:val="20"/>
              </w:rPr>
            </w:pPr>
            <w:r w:rsidRPr="00CE72DA">
              <w:rPr>
                <w:rFonts w:eastAsia="Calibri"/>
                <w:color w:val="000000" w:themeColor="text1"/>
                <w:sz w:val="20"/>
                <w:szCs w:val="20"/>
              </w:rPr>
              <w:t>Nurse</w:t>
            </w:r>
          </w:p>
        </w:tc>
        <w:tc>
          <w:tcPr>
            <w:tcW w:w="560" w:type="pct"/>
            <w:tcBorders>
              <w:top w:val="dotted" w:sz="4" w:space="0" w:color="auto"/>
              <w:left w:val="dotted" w:sz="4" w:space="0" w:color="auto"/>
              <w:bottom w:val="dotted" w:sz="4" w:space="0" w:color="auto"/>
              <w:right w:val="single" w:sz="4" w:space="0" w:color="auto"/>
            </w:tcBorders>
            <w:vAlign w:val="center"/>
          </w:tcPr>
          <w:p w14:paraId="35A66C46" w14:textId="77777777" w:rsidR="006F0DAE" w:rsidRPr="00CE72DA" w:rsidRDefault="006F0DAE" w:rsidP="0021604E">
            <w:pPr>
              <w:jc w:val="left"/>
              <w:rPr>
                <w:sz w:val="20"/>
                <w:szCs w:val="20"/>
              </w:rPr>
            </w:pPr>
            <w:r w:rsidRPr="00CE72DA">
              <w:rPr>
                <w:rFonts w:eastAsia="Calibri"/>
                <w:color w:val="000000" w:themeColor="text1"/>
                <w:sz w:val="20"/>
                <w:szCs w:val="20"/>
              </w:rPr>
              <w:t>Nurse</w:t>
            </w:r>
          </w:p>
        </w:tc>
        <w:tc>
          <w:tcPr>
            <w:tcW w:w="448" w:type="pct"/>
            <w:tcBorders>
              <w:top w:val="dotted" w:sz="4" w:space="0" w:color="auto"/>
              <w:left w:val="single" w:sz="4" w:space="0" w:color="auto"/>
              <w:bottom w:val="dotted" w:sz="4" w:space="0" w:color="auto"/>
              <w:right w:val="dotted" w:sz="4" w:space="0" w:color="auto"/>
            </w:tcBorders>
            <w:vAlign w:val="center"/>
          </w:tcPr>
          <w:p w14:paraId="4C948B53" w14:textId="77777777" w:rsidR="006F0DAE" w:rsidRPr="00CE72DA" w:rsidRDefault="006F0DAE" w:rsidP="0021604E">
            <w:pPr>
              <w:jc w:val="left"/>
              <w:rPr>
                <w:sz w:val="20"/>
                <w:szCs w:val="20"/>
              </w:rPr>
            </w:pPr>
            <w:r w:rsidRPr="00CE72DA">
              <w:rPr>
                <w:rFonts w:eastAsia="Calibri"/>
                <w:sz w:val="20"/>
                <w:szCs w:val="20"/>
              </w:rPr>
              <w:t>Nurse</w:t>
            </w:r>
          </w:p>
        </w:tc>
        <w:tc>
          <w:tcPr>
            <w:tcW w:w="707" w:type="pct"/>
            <w:tcBorders>
              <w:top w:val="dotted" w:sz="4" w:space="0" w:color="auto"/>
              <w:left w:val="dotted" w:sz="4" w:space="0" w:color="auto"/>
              <w:bottom w:val="dotted" w:sz="4" w:space="0" w:color="auto"/>
              <w:right w:val="single" w:sz="4" w:space="0" w:color="auto"/>
            </w:tcBorders>
            <w:vAlign w:val="center"/>
          </w:tcPr>
          <w:p w14:paraId="79B1DD72" w14:textId="77777777" w:rsidR="006F0DAE" w:rsidRPr="00CE72DA" w:rsidRDefault="006F0DAE" w:rsidP="0021604E">
            <w:pPr>
              <w:jc w:val="left"/>
              <w:rPr>
                <w:sz w:val="20"/>
                <w:szCs w:val="20"/>
              </w:rPr>
            </w:pPr>
            <w:r w:rsidRPr="00CE72DA">
              <w:rPr>
                <w:rFonts w:eastAsia="Calibri"/>
                <w:color w:val="000000" w:themeColor="text1"/>
                <w:sz w:val="20"/>
                <w:szCs w:val="20"/>
              </w:rPr>
              <w:t>Nurse</w:t>
            </w:r>
          </w:p>
        </w:tc>
        <w:tc>
          <w:tcPr>
            <w:tcW w:w="595" w:type="pct"/>
            <w:tcBorders>
              <w:top w:val="dotted" w:sz="4" w:space="0" w:color="auto"/>
              <w:left w:val="single" w:sz="4" w:space="0" w:color="auto"/>
              <w:bottom w:val="dotted" w:sz="4" w:space="0" w:color="auto"/>
              <w:right w:val="single" w:sz="4" w:space="0" w:color="auto"/>
            </w:tcBorders>
            <w:vAlign w:val="center"/>
          </w:tcPr>
          <w:p w14:paraId="378946A4" w14:textId="77777777" w:rsidR="006F0DAE" w:rsidRPr="00CE72DA" w:rsidRDefault="006F0DAE" w:rsidP="0021604E">
            <w:pPr>
              <w:jc w:val="left"/>
              <w:rPr>
                <w:sz w:val="20"/>
                <w:szCs w:val="20"/>
              </w:rPr>
            </w:pPr>
          </w:p>
          <w:p w14:paraId="2867CE88" w14:textId="77777777" w:rsidR="006F0DAE" w:rsidRPr="00CE72DA" w:rsidRDefault="006F0DAE" w:rsidP="0021604E">
            <w:pPr>
              <w:jc w:val="left"/>
              <w:rPr>
                <w:sz w:val="20"/>
                <w:szCs w:val="20"/>
              </w:rPr>
            </w:pPr>
            <w:r w:rsidRPr="00CE72DA">
              <w:rPr>
                <w:rFonts w:eastAsia="Calibri"/>
                <w:color w:val="000000" w:themeColor="text1"/>
                <w:sz w:val="20"/>
                <w:szCs w:val="20"/>
              </w:rPr>
              <w:t>9 (5 – 15)</w:t>
            </w:r>
          </w:p>
        </w:tc>
      </w:tr>
      <w:tr w:rsidR="006F0DAE" w:rsidRPr="00EA3458" w14:paraId="5B98283E" w14:textId="77777777" w:rsidTr="0021604E">
        <w:trPr>
          <w:trHeight w:val="555"/>
        </w:trPr>
        <w:tc>
          <w:tcPr>
            <w:tcW w:w="844" w:type="pct"/>
            <w:tcBorders>
              <w:top w:val="dotted" w:sz="4" w:space="0" w:color="auto"/>
              <w:left w:val="single" w:sz="4" w:space="0" w:color="auto"/>
              <w:bottom w:val="single" w:sz="4" w:space="0" w:color="auto"/>
              <w:right w:val="single" w:sz="4" w:space="0" w:color="auto"/>
            </w:tcBorders>
            <w:vAlign w:val="center"/>
          </w:tcPr>
          <w:p w14:paraId="70E3ADB0" w14:textId="77777777" w:rsidR="006F0DAE" w:rsidRPr="00CE72DA" w:rsidRDefault="006F0DAE" w:rsidP="0021604E">
            <w:pPr>
              <w:jc w:val="left"/>
              <w:rPr>
                <w:sz w:val="20"/>
                <w:szCs w:val="20"/>
              </w:rPr>
            </w:pPr>
            <w:r w:rsidRPr="00CE72DA">
              <w:rPr>
                <w:rFonts w:eastAsia="Calibri"/>
                <w:b/>
                <w:bCs/>
                <w:color w:val="000000" w:themeColor="text1"/>
                <w:sz w:val="20"/>
                <w:szCs w:val="20"/>
              </w:rPr>
              <w:t>Medicines</w:t>
            </w:r>
            <w:r w:rsidRPr="00CE72DA">
              <w:rPr>
                <w:rFonts w:eastAsia="Calibri"/>
                <w:b/>
                <w:color w:val="000000" w:themeColor="text1"/>
                <w:sz w:val="20"/>
                <w:szCs w:val="20"/>
              </w:rPr>
              <w:t xml:space="preserve"> storage and logistics</w:t>
            </w:r>
          </w:p>
        </w:tc>
        <w:tc>
          <w:tcPr>
            <w:tcW w:w="769" w:type="pct"/>
            <w:tcBorders>
              <w:top w:val="dotted" w:sz="4" w:space="0" w:color="auto"/>
              <w:left w:val="single" w:sz="4" w:space="0" w:color="auto"/>
              <w:bottom w:val="single" w:sz="4" w:space="0" w:color="auto"/>
              <w:right w:val="single" w:sz="4" w:space="0" w:color="auto"/>
            </w:tcBorders>
            <w:vAlign w:val="center"/>
          </w:tcPr>
          <w:p w14:paraId="698B39D0" w14:textId="77777777" w:rsidR="006F0DAE" w:rsidRPr="00CE72DA" w:rsidRDefault="006F0DAE" w:rsidP="0021604E">
            <w:pPr>
              <w:jc w:val="left"/>
              <w:rPr>
                <w:sz w:val="20"/>
                <w:szCs w:val="20"/>
              </w:rPr>
            </w:pPr>
            <w:r w:rsidRPr="00CE72DA">
              <w:rPr>
                <w:rFonts w:eastAsia="Calibri"/>
                <w:color w:val="000000" w:themeColor="text1"/>
                <w:sz w:val="20"/>
                <w:szCs w:val="20"/>
              </w:rPr>
              <w:t>Pharmacist</w:t>
            </w:r>
          </w:p>
        </w:tc>
        <w:tc>
          <w:tcPr>
            <w:tcW w:w="538" w:type="pct"/>
            <w:tcBorders>
              <w:top w:val="dotted" w:sz="4" w:space="0" w:color="auto"/>
              <w:left w:val="single" w:sz="4" w:space="0" w:color="auto"/>
              <w:bottom w:val="single" w:sz="4" w:space="0" w:color="auto"/>
              <w:right w:val="dotted" w:sz="4" w:space="0" w:color="auto"/>
            </w:tcBorders>
            <w:vAlign w:val="center"/>
          </w:tcPr>
          <w:p w14:paraId="1D35CA97" w14:textId="77777777" w:rsidR="006F0DAE" w:rsidRPr="00CE72DA" w:rsidRDefault="006F0DAE" w:rsidP="0021604E">
            <w:pPr>
              <w:jc w:val="left"/>
              <w:rPr>
                <w:sz w:val="20"/>
                <w:szCs w:val="20"/>
              </w:rPr>
            </w:pPr>
            <w:r w:rsidRPr="00CE72DA">
              <w:rPr>
                <w:rFonts w:eastAsia="Calibri"/>
                <w:color w:val="000000" w:themeColor="text1"/>
                <w:sz w:val="20"/>
                <w:szCs w:val="20"/>
              </w:rPr>
              <w:t>Pharmacist</w:t>
            </w:r>
          </w:p>
        </w:tc>
        <w:tc>
          <w:tcPr>
            <w:tcW w:w="539" w:type="pct"/>
            <w:tcBorders>
              <w:top w:val="dotted" w:sz="4" w:space="0" w:color="auto"/>
              <w:left w:val="dotted" w:sz="4" w:space="0" w:color="auto"/>
              <w:bottom w:val="single" w:sz="4" w:space="0" w:color="auto"/>
              <w:right w:val="dotted" w:sz="4" w:space="0" w:color="auto"/>
            </w:tcBorders>
            <w:vAlign w:val="center"/>
          </w:tcPr>
          <w:p w14:paraId="33A9B728" w14:textId="77777777" w:rsidR="006F0DAE" w:rsidRPr="00CE72DA" w:rsidRDefault="006F0DAE" w:rsidP="0021604E">
            <w:pPr>
              <w:jc w:val="left"/>
              <w:rPr>
                <w:sz w:val="20"/>
                <w:szCs w:val="20"/>
              </w:rPr>
            </w:pPr>
            <w:r w:rsidRPr="00CE72DA">
              <w:rPr>
                <w:rFonts w:eastAsia="Calibri"/>
                <w:color w:val="000000" w:themeColor="text1"/>
                <w:sz w:val="20"/>
                <w:szCs w:val="20"/>
              </w:rPr>
              <w:t>Nurse with pharmacist</w:t>
            </w:r>
          </w:p>
        </w:tc>
        <w:tc>
          <w:tcPr>
            <w:tcW w:w="560" w:type="pct"/>
            <w:tcBorders>
              <w:top w:val="dotted" w:sz="4" w:space="0" w:color="auto"/>
              <w:left w:val="dotted" w:sz="4" w:space="0" w:color="auto"/>
              <w:bottom w:val="single" w:sz="4" w:space="0" w:color="auto"/>
              <w:right w:val="single" w:sz="4" w:space="0" w:color="auto"/>
            </w:tcBorders>
            <w:vAlign w:val="center"/>
          </w:tcPr>
          <w:p w14:paraId="10E44B22" w14:textId="77777777" w:rsidR="006F0DAE" w:rsidRPr="00CE72DA" w:rsidRDefault="006F0DAE" w:rsidP="0021604E">
            <w:pPr>
              <w:jc w:val="left"/>
              <w:rPr>
                <w:sz w:val="20"/>
                <w:szCs w:val="20"/>
              </w:rPr>
            </w:pPr>
            <w:r w:rsidRPr="00CE72DA">
              <w:rPr>
                <w:rFonts w:eastAsia="Calibri"/>
                <w:color w:val="000000" w:themeColor="text1"/>
                <w:sz w:val="20"/>
                <w:szCs w:val="20"/>
              </w:rPr>
              <w:t>Nurse with Pharmacist</w:t>
            </w:r>
          </w:p>
        </w:tc>
        <w:tc>
          <w:tcPr>
            <w:tcW w:w="448" w:type="pct"/>
            <w:tcBorders>
              <w:top w:val="dotted" w:sz="4" w:space="0" w:color="auto"/>
              <w:left w:val="single" w:sz="4" w:space="0" w:color="auto"/>
              <w:bottom w:val="single" w:sz="4" w:space="0" w:color="auto"/>
              <w:right w:val="dotted" w:sz="4" w:space="0" w:color="auto"/>
            </w:tcBorders>
            <w:vAlign w:val="center"/>
          </w:tcPr>
          <w:p w14:paraId="21230369" w14:textId="77777777" w:rsidR="006F0DAE" w:rsidRPr="00CE72DA" w:rsidRDefault="006F0DAE" w:rsidP="0021604E">
            <w:pPr>
              <w:jc w:val="left"/>
              <w:rPr>
                <w:sz w:val="20"/>
                <w:szCs w:val="20"/>
              </w:rPr>
            </w:pPr>
            <w:r w:rsidRPr="00CE72DA">
              <w:rPr>
                <w:rFonts w:eastAsia="Calibri"/>
                <w:sz w:val="20"/>
                <w:szCs w:val="20"/>
              </w:rPr>
              <w:t>Pharmacist</w:t>
            </w:r>
          </w:p>
        </w:tc>
        <w:tc>
          <w:tcPr>
            <w:tcW w:w="707" w:type="pct"/>
            <w:tcBorders>
              <w:top w:val="dotted" w:sz="4" w:space="0" w:color="auto"/>
              <w:left w:val="dotted" w:sz="4" w:space="0" w:color="auto"/>
              <w:bottom w:val="single" w:sz="4" w:space="0" w:color="auto"/>
              <w:right w:val="single" w:sz="4" w:space="0" w:color="auto"/>
            </w:tcBorders>
            <w:vAlign w:val="center"/>
          </w:tcPr>
          <w:p w14:paraId="5746A57D" w14:textId="77777777" w:rsidR="006F0DAE" w:rsidRPr="00CE72DA" w:rsidRDefault="006F0DAE" w:rsidP="0021604E">
            <w:pPr>
              <w:jc w:val="left"/>
              <w:rPr>
                <w:sz w:val="20"/>
                <w:szCs w:val="20"/>
              </w:rPr>
            </w:pPr>
            <w:r w:rsidRPr="00CE72DA">
              <w:rPr>
                <w:rFonts w:eastAsia="Calibri"/>
                <w:color w:val="000000" w:themeColor="text1"/>
                <w:sz w:val="20"/>
                <w:szCs w:val="20"/>
              </w:rPr>
              <w:t>Nurse</w:t>
            </w:r>
          </w:p>
        </w:tc>
        <w:tc>
          <w:tcPr>
            <w:tcW w:w="595" w:type="pct"/>
            <w:tcBorders>
              <w:top w:val="dotted" w:sz="4" w:space="0" w:color="auto"/>
              <w:left w:val="single" w:sz="4" w:space="0" w:color="auto"/>
              <w:bottom w:val="single" w:sz="4" w:space="0" w:color="auto"/>
              <w:right w:val="single" w:sz="4" w:space="0" w:color="auto"/>
            </w:tcBorders>
            <w:vAlign w:val="center"/>
          </w:tcPr>
          <w:p w14:paraId="4C479E27" w14:textId="77777777" w:rsidR="006F0DAE" w:rsidRPr="00CE72DA" w:rsidRDefault="006F0DAE" w:rsidP="0021604E">
            <w:pPr>
              <w:jc w:val="left"/>
              <w:rPr>
                <w:sz w:val="20"/>
                <w:szCs w:val="20"/>
              </w:rPr>
            </w:pPr>
          </w:p>
          <w:p w14:paraId="728B0DAA" w14:textId="77777777" w:rsidR="006F0DAE" w:rsidRPr="00CE72DA" w:rsidRDefault="006F0DAE" w:rsidP="0021604E">
            <w:pPr>
              <w:jc w:val="left"/>
              <w:rPr>
                <w:sz w:val="20"/>
                <w:szCs w:val="20"/>
              </w:rPr>
            </w:pPr>
            <w:r w:rsidRPr="00CE72DA">
              <w:rPr>
                <w:rFonts w:eastAsia="Calibri"/>
                <w:color w:val="000000" w:themeColor="text1"/>
                <w:sz w:val="20"/>
                <w:szCs w:val="20"/>
              </w:rPr>
              <w:t>65 (15 – 120)</w:t>
            </w:r>
          </w:p>
        </w:tc>
      </w:tr>
    </w:tbl>
    <w:p w14:paraId="774CCB88" w14:textId="77777777" w:rsidR="006F0DAE" w:rsidRPr="00EA3458" w:rsidRDefault="006F0DAE" w:rsidP="00B54030">
      <w:pPr>
        <w:spacing w:line="276" w:lineRule="auto"/>
        <w:sectPr w:rsidR="006F0DAE" w:rsidRPr="00EA3458" w:rsidSect="00C50C73">
          <w:pgSz w:w="16838" w:h="11906" w:orient="landscape"/>
          <w:pgMar w:top="1440" w:right="1440" w:bottom="1440" w:left="1440" w:header="709" w:footer="709" w:gutter="0"/>
          <w:cols w:space="708"/>
          <w:docGrid w:linePitch="360"/>
        </w:sectPr>
      </w:pPr>
      <w:r w:rsidRPr="00EA3458">
        <w:rPr>
          <w:rFonts w:eastAsia="Calibri" w:cs="Calibri"/>
          <w:sz w:val="20"/>
        </w:rPr>
        <w:t>Note: Data from two sites in New South Wales that were under the same management (an outreach community clinic and a specialist drug and alcohol treatment clinic) were combined.</w:t>
      </w:r>
    </w:p>
    <w:p w14:paraId="582907A8" w14:textId="77777777" w:rsidR="006F0DAE" w:rsidRPr="00EA3458" w:rsidRDefault="006F0DAE" w:rsidP="007E3DC8">
      <w:pPr>
        <w:pStyle w:val="Heading4"/>
        <w:numPr>
          <w:ilvl w:val="2"/>
          <w:numId w:val="45"/>
        </w:numPr>
      </w:pPr>
      <w:bookmarkStart w:id="470" w:name="_Toc99135879"/>
      <w:bookmarkStart w:id="471" w:name="_Toc101790839"/>
      <w:r w:rsidRPr="00EA3458">
        <w:lastRenderedPageBreak/>
        <w:t>Costs to pharmacies</w:t>
      </w:r>
      <w:bookmarkEnd w:id="470"/>
      <w:bookmarkEnd w:id="471"/>
    </w:p>
    <w:p w14:paraId="4E0A2220" w14:textId="0D4496E6" w:rsidR="00253486" w:rsidRDefault="006F0DAE" w:rsidP="00253486">
      <w:r w:rsidRPr="00EA3458">
        <w:t>A key motivator to pharmacies in providing O</w:t>
      </w:r>
      <w:r w:rsidR="00574A21">
        <w:t>D</w:t>
      </w:r>
      <w:r w:rsidRPr="00EA3458">
        <w:t>T</w:t>
      </w:r>
      <w:r w:rsidR="00574A21">
        <w:t xml:space="preserve"> medicines</w:t>
      </w:r>
      <w:r w:rsidRPr="00EA3458">
        <w:t xml:space="preserve"> reported in the literature is financial reward, with provision contingent on perceived favourable risk-benefit profile of including O</w:t>
      </w:r>
      <w:r w:rsidR="00574A21">
        <w:t>D</w:t>
      </w:r>
      <w:r w:rsidRPr="00EA3458">
        <w:t>T</w:t>
      </w:r>
      <w:r w:rsidR="00574A21">
        <w:t xml:space="preserve"> medicine provision</w:t>
      </w:r>
      <w:r w:rsidRPr="00EA3458">
        <w:t xml:space="preserve"> in the business model</w:t>
      </w:r>
      <w:r w:rsidR="000E558F">
        <w:t>.</w:t>
      </w:r>
      <w:hyperlink w:anchor="_ENREF_83" w:tooltip="Chaar, 2013 #3493" w:history="1">
        <w:r w:rsidR="002565E6" w:rsidRPr="00EA3458">
          <w:fldChar w:fldCharType="begin"/>
        </w:r>
        <w:r w:rsidR="002565E6">
          <w:instrText xml:space="preserve"> ADDIN EN.CITE &lt;EndNote&gt;&lt;Cite&gt;&lt;Author&gt;Chaar&lt;/Author&gt;&lt;Year&gt;2013&lt;/Year&gt;&lt;RecNum&gt;3493&lt;/RecNum&gt;&lt;DisplayText&gt;&lt;style face="superscript"&gt;83&lt;/style&gt;&lt;/DisplayText&gt;&lt;record&gt;&lt;rec-number&gt;3493&lt;/rec-number&gt;&lt;foreign-keys&gt;&lt;key app="EN" db-id="pdp2v9rwnsez9qedfx2xtwa7tsw99rvd5zxv" timestamp="1645139709"&gt;3493&lt;/key&gt;&lt;/foreign-keys&gt;&lt;ref-type name="Journal Article"&gt;17&lt;/ref-type&gt;&lt;contributors&gt;&lt;authors&gt;&lt;author&gt;Chaar, B. B.&lt;/author&gt;&lt;author&gt;Wang, H.&lt;/author&gt;&lt;author&gt;Day, C. A.&lt;/author&gt;&lt;author&gt;Hanrahan, J. R.&lt;/author&gt;&lt;author&gt;Winstock, A. R.&lt;/author&gt;&lt;author&gt;Fois, R.&lt;/author&gt;&lt;/authors&gt;&lt;/contributors&gt;&lt;titles&gt;&lt;title&gt;Factors influencing pharmacy services in opioid substitution treatment&lt;/title&gt;&lt;secondary-title&gt;Drug Alcohol Rev&lt;/secondary-title&gt;&lt;/titles&gt;&lt;periodical&gt;&lt;full-title&gt;Drug Alcohol Rev&lt;/full-title&gt;&lt;/periodical&gt;&lt;pages&gt;426-34&lt;/pages&gt;&lt;volume&gt;32&lt;/volume&gt;&lt;number&gt;4&lt;/number&gt;&lt;dates&gt;&lt;year&gt;2013&lt;/year&gt;&lt;/dates&gt;&lt;accession-num&gt;23442133&lt;/accession-num&gt;&lt;urls&gt;&lt;related-urls&gt;&lt;url&gt;https://onlinelibrary.wiley.com/doi/10.1111/dar.12032&lt;/url&gt;&lt;/related-urls&gt;&lt;/urls&gt;&lt;electronic-resource-num&gt;10.1111/dar.12032&lt;/electronic-resource-num&gt;&lt;/record&gt;&lt;/Cite&gt;&lt;/EndNote&gt;</w:instrText>
        </w:r>
        <w:r w:rsidR="002565E6" w:rsidRPr="00EA3458">
          <w:fldChar w:fldCharType="separate"/>
        </w:r>
        <w:r w:rsidR="002565E6" w:rsidRPr="002565E6">
          <w:rPr>
            <w:noProof/>
            <w:vertAlign w:val="superscript"/>
          </w:rPr>
          <w:t>83</w:t>
        </w:r>
        <w:r w:rsidR="002565E6" w:rsidRPr="00EA3458">
          <w:fldChar w:fldCharType="end"/>
        </w:r>
      </w:hyperlink>
      <w:r w:rsidRPr="00EA3458">
        <w:t xml:space="preserve"> Reported risks include financial and interpersonal challenges involved in managing consumers unable to pay dispensing co</w:t>
      </w:r>
      <w:r w:rsidR="000E558F">
        <w:noBreakHyphen/>
      </w:r>
      <w:r w:rsidRPr="00EA3458">
        <w:t xml:space="preserve">payments in the form of daily or weekly dosing fees. Dosing fees vary widely across states and territories because pharmacies set their own fees based on their own cost assessments. Costs </w:t>
      </w:r>
      <w:r w:rsidR="00313785" w:rsidRPr="00EA3458">
        <w:t xml:space="preserve">charged to patients </w:t>
      </w:r>
      <w:r w:rsidRPr="00EA3458">
        <w:t>typically range from $5-</w:t>
      </w:r>
      <w:r w:rsidR="000E558F">
        <w:t>$</w:t>
      </w:r>
      <w:r w:rsidRPr="00EA3458">
        <w:t>8 per day</w:t>
      </w:r>
      <w:hyperlink w:anchor="_ENREF_64" w:tooltip="Gisev, 2018 #3644" w:history="1">
        <w:r w:rsidR="002565E6" w:rsidRPr="00EA3458">
          <w:fldChar w:fldCharType="begin"/>
        </w:r>
        <w:r w:rsidR="002565E6">
          <w:instrText xml:space="preserve"> ADDIN EN.CITE &lt;EndNote&gt;&lt;Cite&gt;&lt;Author&gt;Gisev&lt;/Author&gt;&lt;Year&gt;2018&lt;/Year&gt;&lt;RecNum&gt;3644&lt;/RecNum&gt;&lt;DisplayText&gt;&lt;style face="superscript"&gt;64&lt;/style&gt;&lt;/DisplayText&gt;&lt;record&gt;&lt;rec-number&gt;3644&lt;/rec-number&gt;&lt;foreign-keys&gt;&lt;key app="EN" db-id="pdp2v9rwnsez9qedfx2xtwa7tsw99rvd5zxv" timestamp="1646882255"&gt;3644&lt;/key&gt;&lt;/foreign-keys&gt;&lt;ref-type name="Journal Article"&gt;17&lt;/ref-type&gt;&lt;contributors&gt;&lt;authors&gt;&lt;author&gt;Gisev, N.&lt;/author&gt;&lt;author&gt;Campbell., G.&lt;/author&gt;&lt;author&gt;Lalic, S. &lt;/author&gt;&lt;author&gt;Larney, S. &lt;/author&gt;&lt;author&gt;Peacock, A.&lt;/author&gt;&lt;author&gt;Nielsen, S.&lt;/author&gt;&lt;author&gt;Pearson, S. &lt;/author&gt;&lt;author&gt;Degenhardt, L.&lt;/author&gt;&lt;/authors&gt;&lt;/contributors&gt;&lt;titles&gt;&lt;title&gt;Current Opioid Access, Use and Problems in Australian Jurisdictions&lt;/title&gt;&lt;secondary-title&gt;Current Addiction Reports &lt;/secondary-title&gt;&lt;/titles&gt;&lt;pages&gt;464-472&lt;/pages&gt;&lt;volume&gt;5&lt;/volume&gt;&lt;number&gt;4&lt;/number&gt;&lt;dates&gt;&lt;year&gt;2018&lt;/year&gt;&lt;/dates&gt;&lt;urls&gt;&lt;/urls&gt;&lt;/record&gt;&lt;/Cite&gt;&lt;/EndNote&gt;</w:instrText>
        </w:r>
        <w:r w:rsidR="002565E6" w:rsidRPr="00EA3458">
          <w:fldChar w:fldCharType="separate"/>
        </w:r>
        <w:r w:rsidR="002565E6" w:rsidRPr="00646D54">
          <w:rPr>
            <w:noProof/>
            <w:vertAlign w:val="superscript"/>
          </w:rPr>
          <w:t>64</w:t>
        </w:r>
        <w:r w:rsidR="002565E6" w:rsidRPr="00EA3458">
          <w:fldChar w:fldCharType="end"/>
        </w:r>
      </w:hyperlink>
      <w:r w:rsidR="000A53FA">
        <w:t xml:space="preserve"> (and can be higher)</w:t>
      </w:r>
      <w:r w:rsidRPr="00EA3458">
        <w:t>. Therefore, the average cost consumers are required to pay pharmacies for 12 months of treatment is likely to be as high as $2,920. This compares differently from treatment of other chronic conditions where the per monthly script fee for someone with a healthcare card is $6.80 (capped at $326.40 annually in 2022). Hence, any changes to the funding structure of O</w:t>
      </w:r>
      <w:r w:rsidR="000B733C">
        <w:t>D</w:t>
      </w:r>
      <w:r w:rsidRPr="00EA3458">
        <w:t>T medicines need to consider the direct impact on pharmacies</w:t>
      </w:r>
      <w:r w:rsidR="00253486">
        <w:t>.</w:t>
      </w:r>
    </w:p>
    <w:p w14:paraId="55A65C52" w14:textId="5CCCBABC" w:rsidR="006F0DAE" w:rsidRPr="00EA3458" w:rsidRDefault="006F0DAE" w:rsidP="007E3DC8">
      <w:pPr>
        <w:pStyle w:val="Heading4"/>
        <w:numPr>
          <w:ilvl w:val="2"/>
          <w:numId w:val="45"/>
        </w:numPr>
      </w:pPr>
      <w:bookmarkStart w:id="472" w:name="_Toc99135881"/>
      <w:bookmarkStart w:id="473" w:name="_Toc101790841"/>
      <w:r w:rsidRPr="00EA3458">
        <w:t>Economic evaluation studies</w:t>
      </w:r>
      <w:bookmarkEnd w:id="472"/>
      <w:bookmarkEnd w:id="473"/>
    </w:p>
    <w:p w14:paraId="6A3089DB" w14:textId="234E60B1" w:rsidR="006F0DAE" w:rsidRPr="00EA3458" w:rsidRDefault="006F0DAE" w:rsidP="004139FC">
      <w:r w:rsidRPr="00EA3458">
        <w:t>From 2007 to date there are only five Australian studies on economic evaluations of O</w:t>
      </w:r>
      <w:r w:rsidR="000B733C">
        <w:t>D</w:t>
      </w:r>
      <w:r w:rsidRPr="00EA3458">
        <w:t>T</w:t>
      </w:r>
      <w:r w:rsidR="000B733C">
        <w:t xml:space="preserve"> medicines</w:t>
      </w:r>
      <w:r w:rsidRPr="00EA3458">
        <w:t xml:space="preserve">. These studies, summarised below, investigated </w:t>
      </w:r>
      <w:r w:rsidR="000B733C">
        <w:t xml:space="preserve">oral </w:t>
      </w:r>
      <w:r w:rsidRPr="00EA3458">
        <w:t xml:space="preserve">methadone and/or </w:t>
      </w:r>
      <w:r w:rsidR="000B733C">
        <w:t xml:space="preserve">sublingual </w:t>
      </w:r>
      <w:r w:rsidRPr="00EA3458">
        <w:t xml:space="preserve">buprenorphine compared to no pharmacotherapy </w:t>
      </w:r>
      <w:r w:rsidRPr="000B733C">
        <w:t>treatment, O</w:t>
      </w:r>
      <w:r w:rsidR="000B733C" w:rsidRPr="000B733C">
        <w:t>D</w:t>
      </w:r>
      <w:r w:rsidRPr="000B733C">
        <w:t>T</w:t>
      </w:r>
      <w:r w:rsidR="000B733C" w:rsidRPr="000B733C">
        <w:t xml:space="preserve"> medicines</w:t>
      </w:r>
      <w:r w:rsidRPr="000B733C">
        <w:t xml:space="preserve"> compared to no </w:t>
      </w:r>
      <w:r w:rsidR="000B733C">
        <w:t>pharmacotherapy</w:t>
      </w:r>
      <w:r w:rsidR="000B733C" w:rsidRPr="00EA3458">
        <w:t xml:space="preserve"> </w:t>
      </w:r>
      <w:r w:rsidRPr="000B733C">
        <w:t>treatment</w:t>
      </w:r>
      <w:r w:rsidRPr="00EA3458">
        <w:t xml:space="preserve">, observed compared to unobserved </w:t>
      </w:r>
      <w:r w:rsidR="000B733C">
        <w:t xml:space="preserve">sublingual </w:t>
      </w:r>
      <w:r w:rsidRPr="00EA3458">
        <w:t xml:space="preserve">buprenorphine, </w:t>
      </w:r>
      <w:r w:rsidR="000B733C">
        <w:t xml:space="preserve">sublingual </w:t>
      </w:r>
      <w:r w:rsidRPr="00EA3458">
        <w:t>buprenorphine</w:t>
      </w:r>
      <w:r w:rsidR="00270D98">
        <w:t xml:space="preserve"> + </w:t>
      </w:r>
      <w:r w:rsidRPr="00EA3458">
        <w:t xml:space="preserve">naloxone compared to no pharmacological treatment and </w:t>
      </w:r>
      <w:r w:rsidR="000B733C">
        <w:t xml:space="preserve">oral </w:t>
      </w:r>
      <w:r w:rsidRPr="00EA3458">
        <w:t xml:space="preserve">methadone compared to </w:t>
      </w:r>
      <w:r w:rsidR="000B733C">
        <w:t xml:space="preserve">sublingual </w:t>
      </w:r>
      <w:r w:rsidRPr="00EA3458">
        <w:t>buprenorphine and buprenorphine</w:t>
      </w:r>
      <w:r w:rsidR="00270D98">
        <w:t xml:space="preserve"> + </w:t>
      </w:r>
      <w:r w:rsidRPr="00EA3458">
        <w:t xml:space="preserve">naloxone. There are currently no </w:t>
      </w:r>
      <w:r w:rsidR="000B733C">
        <w:t xml:space="preserve">published </w:t>
      </w:r>
      <w:r w:rsidRPr="00EA3458">
        <w:t xml:space="preserve">studies comparing </w:t>
      </w:r>
      <w:r w:rsidR="00890963">
        <w:t xml:space="preserve">LAIB </w:t>
      </w:r>
      <w:r w:rsidRPr="00EA3458">
        <w:t xml:space="preserve">to other </w:t>
      </w:r>
      <w:r w:rsidR="000B733C">
        <w:t>ODT medicines</w:t>
      </w:r>
      <w:r w:rsidRPr="00EA3458">
        <w:t>.</w:t>
      </w:r>
      <w:bookmarkStart w:id="474" w:name="_Toc99135882"/>
    </w:p>
    <w:p w14:paraId="63258F1E" w14:textId="44FD5516" w:rsidR="006F0DAE" w:rsidRPr="00EA3458" w:rsidRDefault="000B733C">
      <w:pPr>
        <w:pStyle w:val="Heading5"/>
      </w:pPr>
      <w:bookmarkStart w:id="475" w:name="_Toc101790842"/>
      <w:r>
        <w:t>M</w:t>
      </w:r>
      <w:r w:rsidR="006F0DAE" w:rsidRPr="00EA3458">
        <w:t xml:space="preserve">ethadone and/or </w:t>
      </w:r>
      <w:r>
        <w:t xml:space="preserve">sublingual </w:t>
      </w:r>
      <w:r w:rsidR="006F0DAE" w:rsidRPr="00EA3458">
        <w:t>buprenorphine compared to no pharmacotherapy treatment</w:t>
      </w:r>
      <w:bookmarkEnd w:id="474"/>
      <w:bookmarkEnd w:id="475"/>
    </w:p>
    <w:p w14:paraId="32F055B4" w14:textId="1B5DA789" w:rsidR="006F0DAE" w:rsidRPr="00EA3458" w:rsidRDefault="006F0DAE">
      <w:r w:rsidRPr="00EA3458">
        <w:t>Using data from the observational Australian Treatment Outcome Study, and from a societal perspective, Moore et al (2009)</w:t>
      </w:r>
      <w:hyperlink w:anchor="_ENREF_84" w:tooltip="Moore, 2009 #3779" w:history="1">
        <w:r w:rsidR="002565E6" w:rsidRPr="00EA3458">
          <w:fldChar w:fldCharType="begin"/>
        </w:r>
        <w:r w:rsidR="002565E6">
          <w:instrText xml:space="preserve"> ADDIN EN.CITE &lt;EndNote&gt;&lt;Cite&gt;&lt;Author&gt;Moore&lt;/Author&gt;&lt;Year&gt;2009&lt;/Year&gt;&lt;RecNum&gt;3779&lt;/RecNum&gt;&lt;DisplayText&gt;&lt;style face="superscript"&gt;84&lt;/style&gt;&lt;/DisplayText&gt;&lt;record&gt;&lt;rec-number&gt;3779&lt;/rec-number&gt;&lt;foreign-keys&gt;&lt;key app="EN" db-id="pdp2v9rwnsez9qedfx2xtwa7tsw99rvd5zxv" timestamp="1646962456"&gt;3779&lt;/key&gt;&lt;/foreign-keys&gt;&lt;ref-type name="Journal Article"&gt;17&lt;/ref-type&gt;&lt;contributors&gt;&lt;authors&gt;&lt;author&gt;Moore, J.&lt;/author&gt;&lt;author&gt;Ritter, A.&lt;/author&gt;&lt;author&gt;Caulkins, J. &lt;/author&gt;&lt;/authors&gt;&lt;/contributors&gt;&lt;titles&gt;&lt;title&gt;The costs and consequences of three policy options for reducing heroin dependency&lt;/title&gt;&lt;secondary-title&gt;Drug and Alcohol Review&lt;/secondary-title&gt;&lt;/titles&gt;&lt;periodical&gt;&lt;full-title&gt;Drug and Alcohol Review&lt;/full-title&gt;&lt;abbr-1&gt;Drug Alcohol Rev.&lt;/abbr-1&gt;&lt;/periodical&gt;&lt;pages&gt;369-378&lt;/pages&gt;&lt;volume&gt;26&lt;/volume&gt;&lt;number&gt;4&lt;/number&gt;&lt;dates&gt;&lt;year&gt;2009&lt;/year&gt;&lt;/dates&gt;&lt;urls&gt;&lt;/urls&gt;&lt;/record&gt;&lt;/Cite&gt;&lt;/EndNote&gt;</w:instrText>
        </w:r>
        <w:r w:rsidR="002565E6" w:rsidRPr="00EA3458">
          <w:fldChar w:fldCharType="separate"/>
        </w:r>
        <w:r w:rsidR="002565E6" w:rsidRPr="002565E6">
          <w:rPr>
            <w:noProof/>
            <w:vertAlign w:val="superscript"/>
          </w:rPr>
          <w:t>84</w:t>
        </w:r>
        <w:r w:rsidR="002565E6" w:rsidRPr="00EA3458">
          <w:fldChar w:fldCharType="end"/>
        </w:r>
      </w:hyperlink>
      <w:r w:rsidRPr="00EA3458">
        <w:t xml:space="preserve"> evaluated the cost-effectiveness of </w:t>
      </w:r>
      <w:r w:rsidR="000B733C">
        <w:t xml:space="preserve">oral </w:t>
      </w:r>
      <w:r w:rsidRPr="00EA3458">
        <w:t xml:space="preserve">methadone or </w:t>
      </w:r>
      <w:r w:rsidR="000B733C">
        <w:t xml:space="preserve">sublingual </w:t>
      </w:r>
      <w:r w:rsidRPr="00EA3458">
        <w:t>buprenorphine compared to no pharmacotherapy (prison or residential rehabilitation) for consumers seeking treatment for heroin dependence in a community setting in Australia. Pharmacotherapy was more cost-effective at $2</w:t>
      </w:r>
      <w:r w:rsidR="000E558F">
        <w:t>,</w:t>
      </w:r>
      <w:r w:rsidRPr="00EA3458">
        <w:t xml:space="preserve">002 per </w:t>
      </w:r>
      <w:r w:rsidRPr="00EA3458" w:rsidDel="25EE0690">
        <w:t>year</w:t>
      </w:r>
      <w:r w:rsidRPr="00EA3458">
        <w:t xml:space="preserve"> compared to </w:t>
      </w:r>
      <w:r w:rsidRPr="00EA3458" w:rsidDel="25EE0690">
        <w:t>$</w:t>
      </w:r>
      <w:r w:rsidRPr="00EA3458">
        <w:t>52,000 for prison.</w:t>
      </w:r>
    </w:p>
    <w:p w14:paraId="4914B222" w14:textId="62121DD5" w:rsidR="006F0DAE" w:rsidRPr="00EA3458" w:rsidRDefault="006F0DAE">
      <w:pPr>
        <w:pStyle w:val="Heading5"/>
      </w:pPr>
      <w:bookmarkStart w:id="476" w:name="_Toc99135883"/>
      <w:bookmarkStart w:id="477" w:name="_Toc101790843"/>
      <w:r w:rsidRPr="00EA3458">
        <w:t>O</w:t>
      </w:r>
      <w:r w:rsidR="000B733C">
        <w:t>D</w:t>
      </w:r>
      <w:r w:rsidRPr="00EA3458">
        <w:t>T</w:t>
      </w:r>
      <w:r w:rsidR="000B733C">
        <w:t xml:space="preserve"> medicines</w:t>
      </w:r>
      <w:r w:rsidRPr="00EA3458">
        <w:t xml:space="preserve"> compared to no pharmacotherapy treatment</w:t>
      </w:r>
      <w:bookmarkEnd w:id="476"/>
      <w:bookmarkEnd w:id="477"/>
      <w:r w:rsidRPr="00EA3458">
        <w:t xml:space="preserve"> </w:t>
      </w:r>
    </w:p>
    <w:p w14:paraId="3A0290BA" w14:textId="72F0EC29" w:rsidR="006F0DAE" w:rsidRPr="00EA3458" w:rsidRDefault="006F0DAE">
      <w:r w:rsidRPr="00EA3458">
        <w:t>O</w:t>
      </w:r>
      <w:r w:rsidR="000B733C">
        <w:t>D</w:t>
      </w:r>
      <w:r w:rsidRPr="00EA3458">
        <w:t>T</w:t>
      </w:r>
      <w:r w:rsidR="000B733C">
        <w:t xml:space="preserve"> medication</w:t>
      </w:r>
      <w:r w:rsidRPr="00EA3458">
        <w:t xml:space="preserve"> dominated no pharmacotherapy in an observational cohort of recently released opioid dependent people from prison in Australia in an analysis of the cost-effectiveness of O</w:t>
      </w:r>
      <w:r w:rsidR="000B733C">
        <w:t>D</w:t>
      </w:r>
      <w:r w:rsidRPr="00EA3458">
        <w:t>T</w:t>
      </w:r>
      <w:r w:rsidR="000B733C">
        <w:t xml:space="preserve"> medicines</w:t>
      </w:r>
      <w:r w:rsidRPr="00EA3458">
        <w:t xml:space="preserve"> in reducing mortality risk post-release from incarceration. The study conducted from the perspective of the treatment provider and criminal justice system estimated O</w:t>
      </w:r>
      <w:r w:rsidR="000B733C">
        <w:t>D</w:t>
      </w:r>
      <w:r w:rsidRPr="00EA3458">
        <w:t>T</w:t>
      </w:r>
      <w:r w:rsidR="000B733C">
        <w:t xml:space="preserve"> medicines</w:t>
      </w:r>
      <w:r w:rsidRPr="00EA3458">
        <w:t xml:space="preserve"> to be cost-effective with 97% certainty at a willingness-to-pay threshold of $500 per life year saved (2012 Australian dollars)</w:t>
      </w:r>
      <w:r w:rsidR="000E558F">
        <w:t>.</w:t>
      </w:r>
      <w:hyperlink w:anchor="_ENREF_85" w:tooltip="Gisev, 2015 #3780" w:history="1">
        <w:r w:rsidR="002565E6" w:rsidRPr="00EA3458">
          <w:fldChar w:fldCharType="begin"/>
        </w:r>
        <w:r w:rsidR="002565E6">
          <w:instrText xml:space="preserve"> ADDIN EN.CITE &lt;EndNote&gt;&lt;Cite&gt;&lt;Author&gt;Gisev&lt;/Author&gt;&lt;Year&gt;2015&lt;/Year&gt;&lt;RecNum&gt;3780&lt;/RecNum&gt;&lt;DisplayText&gt;&lt;style face="superscript"&gt;85&lt;/style&gt;&lt;/DisplayText&gt;&lt;record&gt;&lt;rec-number&gt;3780&lt;/rec-number&gt;&lt;foreign-keys&gt;&lt;key app="EN" db-id="pdp2v9rwnsez9qedfx2xtwa7tsw99rvd5zxv" timestamp="1646962456"&gt;3780&lt;/key&gt;&lt;/foreign-keys&gt;&lt;ref-type name="Journal Article"&gt;17&lt;/ref-type&gt;&lt;contributors&gt;&lt;authors&gt;&lt;author&gt;Gisev, N.&lt;/author&gt;&lt;author&gt;Shanahan, M.&lt;/author&gt;&lt;author&gt;Weatherburn, D. &lt;/author&gt;&lt;author&gt;Mattick, R.&lt;/author&gt;&lt;author&gt;Larney, S.&lt;/author&gt;&lt;author&gt;Burns, L.&lt;/author&gt;&lt;author&gt;Degenhardt, L.&lt;/author&gt;&lt;/authors&gt;&lt;/contributors&gt;&lt;titles&gt;&lt;title&gt;A cost-effectiveness analysis of opioid substitution therapy upon prison release in reducing mortality among people with a history of opioid dependence &lt;/title&gt;&lt;secondary-title&gt;Addiction&lt;/secondary-title&gt;&lt;/titles&gt;&lt;pages&gt;1975-84&lt;/pages&gt;&lt;volume&gt;110&lt;/volume&gt;&lt;number&gt;12&lt;/number&gt;&lt;dates&gt;&lt;year&gt;2015&lt;/year&gt;&lt;/dates&gt;&lt;urls&gt;&lt;/urls&gt;&lt;/record&gt;&lt;/Cite&gt;&lt;/EndNote&gt;</w:instrText>
        </w:r>
        <w:r w:rsidR="002565E6" w:rsidRPr="00EA3458">
          <w:fldChar w:fldCharType="separate"/>
        </w:r>
        <w:r w:rsidR="002565E6" w:rsidRPr="002565E6">
          <w:rPr>
            <w:noProof/>
            <w:vertAlign w:val="superscript"/>
          </w:rPr>
          <w:t>85</w:t>
        </w:r>
        <w:r w:rsidR="002565E6" w:rsidRPr="00EA3458">
          <w:fldChar w:fldCharType="end"/>
        </w:r>
      </w:hyperlink>
      <w:r w:rsidRPr="00EA3458">
        <w:t xml:space="preserve"> Indeed, it was estimated to be cost saving.</w:t>
      </w:r>
    </w:p>
    <w:p w14:paraId="0F770943" w14:textId="34D5BC95" w:rsidR="006F0DAE" w:rsidRPr="00EA3458" w:rsidRDefault="006F0DAE">
      <w:pPr>
        <w:pStyle w:val="Heading5"/>
      </w:pPr>
      <w:bookmarkStart w:id="478" w:name="_Toc99135884"/>
      <w:bookmarkStart w:id="479" w:name="_Toc101790844"/>
      <w:r w:rsidRPr="00EA3458">
        <w:t xml:space="preserve">Observed compared to unobserved dosing of </w:t>
      </w:r>
      <w:r w:rsidR="000B733C">
        <w:t xml:space="preserve">sublingual </w:t>
      </w:r>
      <w:r w:rsidRPr="00EA3458">
        <w:t>buprenorphine</w:t>
      </w:r>
      <w:bookmarkEnd w:id="478"/>
      <w:bookmarkEnd w:id="479"/>
    </w:p>
    <w:p w14:paraId="64AB1313" w14:textId="223751F2" w:rsidR="006F0DAE" w:rsidRPr="00EA3458" w:rsidRDefault="006F0DAE">
      <w:r w:rsidRPr="00EA3458">
        <w:t>Using a health system perspective primarily and including consumer travel costs, Bell et al. 2007</w:t>
      </w:r>
      <w:hyperlink w:anchor="_ENREF_82" w:tooltip="Bell, 2007 #3778" w:history="1">
        <w:r w:rsidR="002565E6" w:rsidRPr="00EA3458">
          <w:fldChar w:fldCharType="begin"/>
        </w:r>
        <w:r w:rsidR="002565E6">
          <w:instrText xml:space="preserve"> ADDIN EN.CITE &lt;EndNote&gt;&lt;Cite&gt;&lt;Author&gt;Bell&lt;/Author&gt;&lt;Year&gt;2007&lt;/Year&gt;&lt;RecNum&gt;3778&lt;/RecNum&gt;&lt;DisplayText&gt;&lt;style face="superscript"&gt;82&lt;/style&gt;&lt;/DisplayText&gt;&lt;record&gt;&lt;rec-number&gt;3778&lt;/rec-number&gt;&lt;foreign-keys&gt;&lt;key app="EN" db-id="pdp2v9rwnsez9qedfx2xtwa7tsw99rvd5zxv" timestamp="1646962456"&gt;3778&lt;/key&gt;&lt;/foreign-keys&gt;&lt;ref-type name="Journal Article"&gt;17&lt;/ref-type&gt;&lt;contributors&gt;&lt;authors&gt;&lt;author&gt;Bell, J.&lt;/author&gt;&lt;author&gt;Shanahan, M. &lt;/author&gt;&lt;author&gt;Mutch, C.&lt;/author&gt;&lt;author&gt;Rea, F.&lt;/author&gt;&lt;author&gt;Ryan, A. &lt;/author&gt;&lt;author&gt;Batey, R. &lt;/author&gt;&lt;author&gt;Dunlop, A.&lt;/author&gt;&lt;author&gt;Winstock, A.&lt;/author&gt;&lt;/authors&gt;&lt;/contributors&gt;&lt;titles&gt;&lt;title&gt;A randomized trial of effectiveness and cost-effectiveness of observed versus unobserved administration of buprenorphine-naloxone for heroin dependence &lt;/title&gt;&lt;secondary-title&gt;Addiction&lt;/secondary-title&gt;&lt;/titles&gt;&lt;pages&gt;1899-1907&lt;/pages&gt;&lt;volume&gt;102&lt;/volume&gt;&lt;number&gt;12&lt;/number&gt;&lt;dates&gt;&lt;year&gt;2007&lt;/year&gt;&lt;/dates&gt;&lt;urls&gt;&lt;/urls&gt;&lt;/record&gt;&lt;/Cite&gt;&lt;/EndNote&gt;</w:instrText>
        </w:r>
        <w:r w:rsidR="002565E6" w:rsidRPr="00EA3458">
          <w:fldChar w:fldCharType="separate"/>
        </w:r>
        <w:r w:rsidR="002565E6" w:rsidRPr="002565E6">
          <w:rPr>
            <w:noProof/>
            <w:vertAlign w:val="superscript"/>
          </w:rPr>
          <w:t>82</w:t>
        </w:r>
        <w:r w:rsidR="002565E6" w:rsidRPr="00EA3458">
          <w:fldChar w:fldCharType="end"/>
        </w:r>
      </w:hyperlink>
      <w:r w:rsidRPr="00EA3458">
        <w:t xml:space="preserve"> assessed the cost-effectiveness of observed compared to unobserved dosing of buprenorphine among </w:t>
      </w:r>
      <w:r w:rsidR="00E86E00">
        <w:t>people who use heroin</w:t>
      </w:r>
      <w:r w:rsidRPr="00EA3458">
        <w:t xml:space="preserve"> in a clinical trial. The results showed no significant differences between groups in terms of days of heroin use, quality of life and psychological state.</w:t>
      </w:r>
    </w:p>
    <w:p w14:paraId="1207A189" w14:textId="162D0FEC" w:rsidR="006F0DAE" w:rsidRPr="00EA3458" w:rsidRDefault="000B733C">
      <w:pPr>
        <w:pStyle w:val="Heading5"/>
      </w:pPr>
      <w:bookmarkStart w:id="480" w:name="_Toc99135885"/>
      <w:bookmarkStart w:id="481" w:name="_Toc101790845"/>
      <w:bookmarkStart w:id="482" w:name="_Hlk118886021"/>
      <w:r>
        <w:lastRenderedPageBreak/>
        <w:t>Sublingual b</w:t>
      </w:r>
      <w:r w:rsidR="006F0DAE" w:rsidRPr="00EA3458">
        <w:t>uprenorphine</w:t>
      </w:r>
      <w:r w:rsidR="00270D98">
        <w:t xml:space="preserve"> + </w:t>
      </w:r>
      <w:r w:rsidR="006F0DAE" w:rsidRPr="00EA3458">
        <w:t>naloxone compared to no pharmacological treatment</w:t>
      </w:r>
      <w:bookmarkEnd w:id="480"/>
      <w:bookmarkEnd w:id="481"/>
    </w:p>
    <w:bookmarkEnd w:id="482"/>
    <w:p w14:paraId="49CCD23F" w14:textId="1FA0E658" w:rsidR="006F0DAE" w:rsidRPr="00EA3458" w:rsidRDefault="006F0DAE">
      <w:r w:rsidRPr="00EA3458">
        <w:t xml:space="preserve">An Australian RCT study estimated the cost-effectiveness of </w:t>
      </w:r>
      <w:r w:rsidR="000B733C">
        <w:t xml:space="preserve">sublingual </w:t>
      </w:r>
      <w:r w:rsidRPr="00EA3458">
        <w:t>buprenorphine</w:t>
      </w:r>
      <w:r w:rsidR="00270D98">
        <w:t xml:space="preserve"> + </w:t>
      </w:r>
      <w:r w:rsidRPr="00EA3458">
        <w:t xml:space="preserve">naloxone compared to no clinical intervention among people with heroin dependence from both a healthcare perspective and a healthcare plus criminal justice perspective. Excluding crime, incremental cost per heroin-free-day gained from treatment was $18.24 (2009 Australian dollars) (95% confidence interval $4.50 - $28.49). Including crime costs, a net saving of $5,722 over 12 weeks (95% confidence interval $3,299 - $8,154) in favour of </w:t>
      </w:r>
      <w:r w:rsidR="000B733C">
        <w:t xml:space="preserve">sublingual </w:t>
      </w:r>
      <w:r w:rsidR="00270D98">
        <w:t>buprenorphine + naloxone</w:t>
      </w:r>
      <w:r w:rsidRPr="00EA3458">
        <w:t xml:space="preserve"> treatment was observed</w:t>
      </w:r>
      <w:r w:rsidR="000E558F">
        <w:t>.</w:t>
      </w:r>
      <w:hyperlink w:anchor="_ENREF_86" w:tooltip="Dunlop, 2017 #5" w:history="1">
        <w:r w:rsidR="002565E6" w:rsidRPr="00EA3458">
          <w:fldChar w:fldCharType="begin"/>
        </w:r>
        <w:r w:rsidR="002565E6">
          <w:instrText xml:space="preserve"> ADDIN EN.CITE &lt;EndNote&gt;&lt;Cite&gt;&lt;Author&gt;Dunlop&lt;/Author&gt;&lt;Year&gt;2017&lt;/Year&gt;&lt;RecNum&gt;5&lt;/RecNum&gt;&lt;DisplayText&gt;&lt;style face="superscript"&gt;86&lt;/style&gt;&lt;/DisplayText&gt;&lt;record&gt;&lt;rec-number&gt;5&lt;/rec-number&gt;&lt;foreign-keys&gt;&lt;key app="EN" db-id="pdp2v9rwnsez9qedfx2xtwa7tsw99rvd5zxv" timestamp="1635484347"&gt;5&lt;/key&gt;&lt;/foreign-keys&gt;&lt;ref-type name="Journal Article"&gt;17&lt;/ref-type&gt;&lt;contributors&gt;&lt;authors&gt;&lt;author&gt;Dunlop, Adrian J&lt;/author&gt;&lt;author&gt;Brown, Amanda L&lt;/author&gt;&lt;author&gt;Oldmeadow, Christopher&lt;/author&gt;&lt;author&gt;Harris, Anthony&lt;/author&gt;&lt;author&gt;Gill, Anthony&lt;/author&gt;&lt;author&gt;Sadler, Craig&lt;/author&gt;&lt;author&gt;Ribbons, Karen&lt;/author&gt;&lt;author&gt;Attia, John&lt;/author&gt;&lt;author&gt;Barker, Daniel&lt;/author&gt;&lt;author&gt;Ghijben, Peter&lt;/author&gt;&lt;/authors&gt;&lt;/contributors&gt;&lt;titles&gt;&lt;title&gt;Effectiveness and cost-effectiveness of unsupervised buprenorphine-naloxone for the treatment of heroin dependence in a randomized waitlist controlled trial&lt;/title&gt;&lt;secondary-title&gt;Drug and Alcohol Dependence&lt;/secondary-title&gt;&lt;/titles&gt;&lt;periodical&gt;&lt;full-title&gt;Drug and Alcohol Dependence&lt;/full-title&gt;&lt;/periodical&gt;&lt;pages&gt;181-191&lt;/pages&gt;&lt;volume&gt;174&lt;/volume&gt;&lt;dates&gt;&lt;year&gt;2017&lt;/year&gt;&lt;/dates&gt;&lt;isbn&gt;0376-8716&lt;/isbn&gt;&lt;urls&gt;&lt;/urls&gt;&lt;/record&gt;&lt;/Cite&gt;&lt;/EndNote&gt;</w:instrText>
        </w:r>
        <w:r w:rsidR="002565E6" w:rsidRPr="00EA3458">
          <w:fldChar w:fldCharType="separate"/>
        </w:r>
        <w:r w:rsidR="002565E6" w:rsidRPr="002565E6">
          <w:rPr>
            <w:noProof/>
            <w:vertAlign w:val="superscript"/>
          </w:rPr>
          <w:t>86</w:t>
        </w:r>
        <w:r w:rsidR="002565E6" w:rsidRPr="00EA3458">
          <w:fldChar w:fldCharType="end"/>
        </w:r>
      </w:hyperlink>
      <w:r w:rsidRPr="00EA3458">
        <w:t xml:space="preserve"> </w:t>
      </w:r>
    </w:p>
    <w:p w14:paraId="51AA8DAF" w14:textId="50FD1962" w:rsidR="006F0DAE" w:rsidRPr="00EA3458" w:rsidRDefault="006F0DAE">
      <w:pPr>
        <w:pStyle w:val="Heading5"/>
      </w:pPr>
      <w:bookmarkStart w:id="483" w:name="_Toc99135886"/>
      <w:bookmarkStart w:id="484" w:name="_Toc101790846"/>
      <w:bookmarkStart w:id="485" w:name="_Hlk118886072"/>
      <w:r w:rsidRPr="00EA3458">
        <w:t xml:space="preserve">Methadone compared to </w:t>
      </w:r>
      <w:r w:rsidR="000B733C">
        <w:t xml:space="preserve">sublingual </w:t>
      </w:r>
      <w:r w:rsidRPr="00EA3458">
        <w:t xml:space="preserve">buprenorphine and </w:t>
      </w:r>
      <w:r w:rsidR="00270D98">
        <w:t>buprenorphine + naloxone</w:t>
      </w:r>
      <w:bookmarkEnd w:id="483"/>
      <w:bookmarkEnd w:id="484"/>
    </w:p>
    <w:bookmarkEnd w:id="485"/>
    <w:p w14:paraId="170A4167" w14:textId="20F7D0A1" w:rsidR="006F0DAE" w:rsidRPr="00EA3458" w:rsidRDefault="006F0DAE">
      <w:r w:rsidRPr="00EA3458">
        <w:t>Previously, Doran et al. 2005</w:t>
      </w:r>
      <w:hyperlink w:anchor="_ENREF_87" w:tooltip="Doran, 2005 #3768" w:history="1">
        <w:r w:rsidR="002565E6" w:rsidRPr="00EA3458">
          <w:fldChar w:fldCharType="begin"/>
        </w:r>
        <w:r w:rsidR="002565E6">
          <w:instrText xml:space="preserve"> ADDIN EN.CITE &lt;EndNote&gt;&lt;Cite&gt;&lt;Author&gt;Doran&lt;/Author&gt;&lt;Year&gt;2005&lt;/Year&gt;&lt;RecNum&gt;3768&lt;/RecNum&gt;&lt;DisplayText&gt;&lt;style face="superscript"&gt;87&lt;/style&gt;&lt;/DisplayText&gt;&lt;record&gt;&lt;rec-number&gt;3768&lt;/rec-number&gt;&lt;foreign-keys&gt;&lt;key app="EN" db-id="pdp2v9rwnsez9qedfx2xtwa7tsw99rvd5zxv" timestamp="1646957517"&gt;3768&lt;/key&gt;&lt;/foreign-keys&gt;&lt;ref-type name="Journal Article"&gt;17&lt;/ref-type&gt;&lt;contributors&gt;&lt;authors&gt;&lt;author&gt;Doran, C.&lt;/author&gt;&lt;/authors&gt;&lt;/contributors&gt;&lt;titles&gt;&lt;title&gt;Buprenorphine, buprenorphine/naloxone and methadone maintenance: a cost effectiveness analysis &lt;/title&gt;&lt;secondary-title&gt;Expert Review of Pharmaeconomics and Outcomes Research &lt;/secondary-title&gt;&lt;/titles&gt;&lt;pages&gt;583-591&lt;/pages&gt;&lt;volume&gt;5&lt;/volume&gt;&lt;number&gt;5&lt;/number&gt;&lt;dates&gt;&lt;year&gt;2005&lt;/year&gt;&lt;/dates&gt;&lt;urls&gt;&lt;/urls&gt;&lt;/record&gt;&lt;/Cite&gt;&lt;/EndNote&gt;</w:instrText>
        </w:r>
        <w:r w:rsidR="002565E6" w:rsidRPr="00EA3458">
          <w:fldChar w:fldCharType="separate"/>
        </w:r>
        <w:r w:rsidR="002565E6" w:rsidRPr="002565E6">
          <w:rPr>
            <w:noProof/>
            <w:vertAlign w:val="superscript"/>
          </w:rPr>
          <w:t>87</w:t>
        </w:r>
        <w:r w:rsidR="002565E6" w:rsidRPr="00EA3458">
          <w:fldChar w:fldCharType="end"/>
        </w:r>
      </w:hyperlink>
      <w:r w:rsidRPr="00EA3458">
        <w:t xml:space="preserve"> estimated the cost-effectiveness of methadone, low dose buprenorphine, high dose buprenorphine and </w:t>
      </w:r>
      <w:r w:rsidR="00270D98">
        <w:t>buprenorphine + naloxone</w:t>
      </w:r>
      <w:r w:rsidRPr="00EA3458">
        <w:t xml:space="preserve"> in the maintenance of heroin dependence using a provider perspective in public </w:t>
      </w:r>
      <w:r w:rsidR="000B733C">
        <w:t>OD</w:t>
      </w:r>
      <w:r w:rsidRPr="00EA3458">
        <w:t xml:space="preserve">T clinics in Australia. </w:t>
      </w:r>
      <w:r w:rsidR="000B733C">
        <w:t>Oral m</w:t>
      </w:r>
      <w:r w:rsidRPr="00EA3458">
        <w:t xml:space="preserve">ethadone dominated low-dose </w:t>
      </w:r>
      <w:r w:rsidR="000B733C">
        <w:t xml:space="preserve">sublingual </w:t>
      </w:r>
      <w:r w:rsidRPr="00EA3458">
        <w:t xml:space="preserve">buprenorphine. However, the results for </w:t>
      </w:r>
      <w:r w:rsidR="000B733C">
        <w:t xml:space="preserve">oral </w:t>
      </w:r>
      <w:r w:rsidRPr="00EA3458">
        <w:t xml:space="preserve">methadone compared to high dose </w:t>
      </w:r>
      <w:r w:rsidR="000B733C">
        <w:t xml:space="preserve">sublingual </w:t>
      </w:r>
      <w:r w:rsidRPr="00EA3458">
        <w:t xml:space="preserve">buprenorphine and methadone compared to </w:t>
      </w:r>
      <w:r w:rsidR="000B733C">
        <w:t xml:space="preserve">sublingual </w:t>
      </w:r>
      <w:r w:rsidR="00270D98">
        <w:t>buprenorphine + naloxone</w:t>
      </w:r>
      <w:r w:rsidRPr="00EA3458">
        <w:t xml:space="preserve"> were not statistically significantly different, with confidence intervals of -$2,068 - $2,916 around a point estimate of $906 (methadone compared to high dose buprenorphine) and -$1,520 - $2,367 around a point estimate of $357. Costs are in 1999 AUD.</w:t>
      </w:r>
    </w:p>
    <w:p w14:paraId="7F7BC330" w14:textId="36AF8234" w:rsidR="006F0DAE" w:rsidRPr="00EA3458" w:rsidRDefault="006F0DAE" w:rsidP="007E3DC8">
      <w:pPr>
        <w:pStyle w:val="Heading4"/>
        <w:numPr>
          <w:ilvl w:val="2"/>
          <w:numId w:val="45"/>
        </w:numPr>
      </w:pPr>
      <w:bookmarkStart w:id="486" w:name="_Toc101790847"/>
      <w:r w:rsidRPr="00EA3458">
        <w:t>O</w:t>
      </w:r>
      <w:r w:rsidR="000B733C">
        <w:t>D</w:t>
      </w:r>
      <w:r w:rsidRPr="00EA3458">
        <w:t>T</w:t>
      </w:r>
      <w:r w:rsidR="000B733C">
        <w:t xml:space="preserve"> medication</w:t>
      </w:r>
      <w:r w:rsidRPr="00EA3458">
        <w:t xml:space="preserve"> doses</w:t>
      </w:r>
      <w:bookmarkEnd w:id="486"/>
    </w:p>
    <w:p w14:paraId="49FC002C" w14:textId="2E4992BF" w:rsidR="006F0DAE" w:rsidRDefault="006F0DAE">
      <w:pPr>
        <w:pStyle w:val="Heading5"/>
      </w:pPr>
      <w:bookmarkStart w:id="487" w:name="_Toc101790848"/>
      <w:r w:rsidRPr="00EA3458">
        <w:t>Mean doses prescribed</w:t>
      </w:r>
      <w:bookmarkEnd w:id="487"/>
    </w:p>
    <w:p w14:paraId="1E6DF690" w14:textId="2C1AC28B" w:rsidR="002F31D5" w:rsidRDefault="002F31D5" w:rsidP="002F31D5">
      <w:r>
        <w:t>Individual O</w:t>
      </w:r>
      <w:r w:rsidR="000B733C">
        <w:t>D</w:t>
      </w:r>
      <w:r>
        <w:t xml:space="preserve">T </w:t>
      </w:r>
      <w:r w:rsidR="000B733C">
        <w:t>medicine consumers</w:t>
      </w:r>
      <w:r>
        <w:t xml:space="preserve"> are treated with a range of medicine dosages, depending on their unique circumstances, such as phase of treatment (i.e., initiating treatment or stable), their level of addiction or their tolerance to opioids. For this reason, unlike most other PBS listed medicines, a pack or bottle of O</w:t>
      </w:r>
      <w:r w:rsidR="000B733C">
        <w:t>D</w:t>
      </w:r>
      <w:r>
        <w:t>T medicines will contain a different number of doses depending on individual requirements. In addition, different countries have different guidelines for O</w:t>
      </w:r>
      <w:r w:rsidR="000B733C">
        <w:t>D</w:t>
      </w:r>
      <w:r>
        <w:t>T</w:t>
      </w:r>
      <w:r w:rsidR="000B733C">
        <w:t xml:space="preserve"> medicines</w:t>
      </w:r>
      <w:r>
        <w:t xml:space="preserve">, which may include differences in recommended dosages (refer </w:t>
      </w:r>
      <w:r w:rsidR="006D1683">
        <w:br/>
      </w:r>
      <w:r>
        <w:t xml:space="preserve">Section 2.4.6). To better understand national medicine utilisation trends, it is important to have an idea of what a typical dose is for </w:t>
      </w:r>
      <w:r w:rsidRPr="008064CC">
        <w:t>each medicine for O</w:t>
      </w:r>
      <w:r w:rsidR="000B733C" w:rsidRPr="008064CC">
        <w:t>D</w:t>
      </w:r>
      <w:r w:rsidRPr="008064CC">
        <w:t>T patients in Australia, as will be further discussed in Sections 4.</w:t>
      </w:r>
      <w:r w:rsidR="0046431B" w:rsidRPr="008064CC">
        <w:t>4</w:t>
      </w:r>
      <w:r w:rsidRPr="008064CC">
        <w:t>.2 and 4.</w:t>
      </w:r>
      <w:r w:rsidR="0046431B" w:rsidRPr="008064CC">
        <w:t>4</w:t>
      </w:r>
      <w:r w:rsidRPr="008064CC">
        <w:t>.3.</w:t>
      </w:r>
    </w:p>
    <w:p w14:paraId="639F7C03" w14:textId="77840794" w:rsidR="006F0DAE" w:rsidRPr="00EA3458" w:rsidRDefault="006F0DAE">
      <w:r w:rsidRPr="00EA3458">
        <w:t xml:space="preserve">The mean daily dose of methadone in Australia estimated from the quantitative systematic review is 75mg (Table </w:t>
      </w:r>
      <w:r w:rsidR="002D5DBD" w:rsidRPr="00EA3458">
        <w:t>1</w:t>
      </w:r>
      <w:r w:rsidR="00F578D5">
        <w:t>2</w:t>
      </w:r>
      <w:r w:rsidRPr="00EA3458">
        <w:t>). This is considerably higher than the mean dose prescribed in the UK which is 48mg/day. For sublingual buprenorphine, the mean dose is again higher in Australia, with a mean dose of 16mg/</w:t>
      </w:r>
      <w:r w:rsidRPr="00F01D1F">
        <w:t xml:space="preserve">day (Table </w:t>
      </w:r>
      <w:r w:rsidR="002D5DBD" w:rsidRPr="00F01D1F">
        <w:t>1</w:t>
      </w:r>
      <w:r w:rsidR="00156F80">
        <w:t>3</w:t>
      </w:r>
      <w:r w:rsidRPr="00F01D1F">
        <w:t>) compared</w:t>
      </w:r>
      <w:r w:rsidRPr="00EA3458">
        <w:t xml:space="preserve"> to 9.2mg/day in the UK and lower doses in Canada.</w:t>
      </w:r>
    </w:p>
    <w:p w14:paraId="5C5C5198" w14:textId="77777777" w:rsidR="00B162D0" w:rsidRDefault="00B162D0">
      <w:pPr>
        <w:spacing w:after="160" w:line="259" w:lineRule="auto"/>
        <w:rPr>
          <w:rFonts w:ascii="Yu Gothic Light" w:eastAsiaTheme="majorEastAsia" w:hAnsi="Yu Gothic Light" w:cstheme="majorBidi"/>
          <w:b/>
          <w:iCs/>
        </w:rPr>
      </w:pPr>
      <w:bookmarkStart w:id="488" w:name="_Toc99542101"/>
      <w:r>
        <w:br w:type="page"/>
      </w:r>
    </w:p>
    <w:p w14:paraId="78656BBC" w14:textId="15D63497" w:rsidR="006F0DAE" w:rsidRPr="00EA3458" w:rsidRDefault="006F0DAE">
      <w:pPr>
        <w:pStyle w:val="Tables"/>
      </w:pPr>
      <w:bookmarkStart w:id="489" w:name="_Toc120183444"/>
      <w:bookmarkStart w:id="490" w:name="_Toc132823433"/>
      <w:r w:rsidRPr="00EA3458">
        <w:lastRenderedPageBreak/>
        <w:t>Table</w:t>
      </w:r>
      <w:r w:rsidR="001957C9">
        <w:t xml:space="preserve"> </w:t>
      </w:r>
      <w:r w:rsidR="002D5DBD" w:rsidRPr="00EA3458">
        <w:t>1</w:t>
      </w:r>
      <w:r w:rsidR="00156F80">
        <w:t>3</w:t>
      </w:r>
      <w:r w:rsidRPr="00EA3458">
        <w:t>. Medication type and dose used in the community – data pooled from recent Australian cohort studies</w:t>
      </w:r>
      <w:bookmarkEnd w:id="488"/>
      <w:bookmarkEnd w:id="489"/>
      <w:bookmarkEnd w:id="490"/>
      <w:r w:rsidRPr="00EA3458">
        <w:t xml:space="preserve"> </w:t>
      </w:r>
    </w:p>
    <w:tbl>
      <w:tblPr>
        <w:tblStyle w:val="TableGrid"/>
        <w:tblW w:w="10060" w:type="dxa"/>
        <w:tblInd w:w="0" w:type="dxa"/>
        <w:tblLayout w:type="fixed"/>
        <w:tblLook w:val="04A0" w:firstRow="1" w:lastRow="0" w:firstColumn="1" w:lastColumn="0" w:noHBand="0" w:noVBand="1"/>
      </w:tblPr>
      <w:tblGrid>
        <w:gridCol w:w="1413"/>
        <w:gridCol w:w="1843"/>
        <w:gridCol w:w="992"/>
        <w:gridCol w:w="1701"/>
        <w:gridCol w:w="1134"/>
        <w:gridCol w:w="1984"/>
        <w:gridCol w:w="993"/>
      </w:tblGrid>
      <w:tr w:rsidR="006F0DAE" w:rsidRPr="00EA3458" w14:paraId="1FD1FB10" w14:textId="77777777" w:rsidTr="00CE03C3">
        <w:trPr>
          <w:trHeight w:val="259"/>
        </w:trPr>
        <w:tc>
          <w:tcPr>
            <w:tcW w:w="1413" w:type="dxa"/>
            <w:tcBorders>
              <w:bottom w:val="single" w:sz="4" w:space="0" w:color="auto"/>
            </w:tcBorders>
            <w:shd w:val="clear" w:color="auto" w:fill="D9D9D9" w:themeFill="background1" w:themeFillShade="D9"/>
          </w:tcPr>
          <w:p w14:paraId="65E2F3AC" w14:textId="77777777" w:rsidR="006F0DAE" w:rsidRPr="00EA3458" w:rsidRDefault="006F0DAE" w:rsidP="0021604E">
            <w:pPr>
              <w:jc w:val="left"/>
              <w:rPr>
                <w:sz w:val="20"/>
              </w:rPr>
            </w:pPr>
          </w:p>
        </w:tc>
        <w:tc>
          <w:tcPr>
            <w:tcW w:w="2835" w:type="dxa"/>
            <w:gridSpan w:val="2"/>
            <w:tcBorders>
              <w:bottom w:val="single" w:sz="4" w:space="0" w:color="auto"/>
            </w:tcBorders>
            <w:shd w:val="clear" w:color="auto" w:fill="D9D9D9" w:themeFill="background1" w:themeFillShade="D9"/>
          </w:tcPr>
          <w:p w14:paraId="4EAAE85F" w14:textId="77777777" w:rsidR="006F0DAE" w:rsidRPr="00EA3458" w:rsidRDefault="006F0DAE" w:rsidP="0021604E">
            <w:pPr>
              <w:jc w:val="left"/>
              <w:rPr>
                <w:b/>
                <w:bCs/>
                <w:sz w:val="20"/>
              </w:rPr>
            </w:pPr>
            <w:r w:rsidRPr="00EA3458">
              <w:rPr>
                <w:b/>
                <w:bCs/>
                <w:sz w:val="20"/>
              </w:rPr>
              <w:t>Methadone</w:t>
            </w:r>
          </w:p>
        </w:tc>
        <w:tc>
          <w:tcPr>
            <w:tcW w:w="2835" w:type="dxa"/>
            <w:gridSpan w:val="2"/>
            <w:tcBorders>
              <w:bottom w:val="single" w:sz="4" w:space="0" w:color="auto"/>
            </w:tcBorders>
            <w:shd w:val="clear" w:color="auto" w:fill="D9D9D9" w:themeFill="background1" w:themeFillShade="D9"/>
          </w:tcPr>
          <w:p w14:paraId="0DA16B04" w14:textId="77777777" w:rsidR="006F0DAE" w:rsidRPr="00EA3458" w:rsidRDefault="006F0DAE" w:rsidP="0021604E">
            <w:pPr>
              <w:jc w:val="left"/>
              <w:rPr>
                <w:b/>
                <w:bCs/>
                <w:sz w:val="20"/>
              </w:rPr>
            </w:pPr>
            <w:r w:rsidRPr="00EA3458">
              <w:rPr>
                <w:b/>
                <w:bCs/>
                <w:sz w:val="20"/>
              </w:rPr>
              <w:t>Buprenorphine</w:t>
            </w:r>
          </w:p>
        </w:tc>
        <w:tc>
          <w:tcPr>
            <w:tcW w:w="2977" w:type="dxa"/>
            <w:gridSpan w:val="2"/>
            <w:tcBorders>
              <w:bottom w:val="single" w:sz="4" w:space="0" w:color="auto"/>
            </w:tcBorders>
            <w:shd w:val="clear" w:color="auto" w:fill="D9D9D9" w:themeFill="background1" w:themeFillShade="D9"/>
          </w:tcPr>
          <w:p w14:paraId="04933E84" w14:textId="77777777" w:rsidR="006F0DAE" w:rsidRPr="00EA3458" w:rsidRDefault="006F0DAE" w:rsidP="0021604E">
            <w:pPr>
              <w:jc w:val="left"/>
              <w:rPr>
                <w:b/>
                <w:bCs/>
                <w:sz w:val="20"/>
              </w:rPr>
            </w:pPr>
            <w:r w:rsidRPr="00EA3458">
              <w:rPr>
                <w:b/>
                <w:bCs/>
                <w:sz w:val="20"/>
              </w:rPr>
              <w:t>Long-acting Buprenorphine</w:t>
            </w:r>
          </w:p>
        </w:tc>
      </w:tr>
      <w:tr w:rsidR="006F0DAE" w:rsidRPr="00EA3458" w14:paraId="63590528" w14:textId="77777777" w:rsidTr="00CE03C3">
        <w:trPr>
          <w:trHeight w:val="465"/>
        </w:trPr>
        <w:tc>
          <w:tcPr>
            <w:tcW w:w="1413" w:type="dxa"/>
            <w:tcBorders>
              <w:bottom w:val="single" w:sz="4" w:space="0" w:color="auto"/>
            </w:tcBorders>
            <w:shd w:val="clear" w:color="auto" w:fill="D9D9D9" w:themeFill="background1" w:themeFillShade="D9"/>
          </w:tcPr>
          <w:p w14:paraId="559955A0" w14:textId="77777777" w:rsidR="006F0DAE" w:rsidRPr="00EA3458" w:rsidRDefault="006F0DAE" w:rsidP="0021604E">
            <w:pPr>
              <w:jc w:val="left"/>
              <w:rPr>
                <w:sz w:val="20"/>
              </w:rPr>
            </w:pPr>
          </w:p>
        </w:tc>
        <w:tc>
          <w:tcPr>
            <w:tcW w:w="1843" w:type="dxa"/>
            <w:tcBorders>
              <w:bottom w:val="single" w:sz="4" w:space="0" w:color="auto"/>
            </w:tcBorders>
            <w:shd w:val="clear" w:color="auto" w:fill="D9D9D9" w:themeFill="background1" w:themeFillShade="D9"/>
          </w:tcPr>
          <w:p w14:paraId="7676B988" w14:textId="77777777" w:rsidR="006F0DAE" w:rsidRPr="00EA3458" w:rsidRDefault="006F0DAE" w:rsidP="0021604E">
            <w:pPr>
              <w:jc w:val="left"/>
              <w:rPr>
                <w:b/>
                <w:bCs/>
                <w:sz w:val="20"/>
              </w:rPr>
            </w:pPr>
            <w:r w:rsidRPr="00EA3458">
              <w:rPr>
                <w:b/>
                <w:bCs/>
                <w:sz w:val="20"/>
              </w:rPr>
              <w:t>Pooled Estimate (95% CI)</w:t>
            </w:r>
          </w:p>
        </w:tc>
        <w:tc>
          <w:tcPr>
            <w:tcW w:w="992" w:type="dxa"/>
            <w:tcBorders>
              <w:bottom w:val="single" w:sz="4" w:space="0" w:color="auto"/>
            </w:tcBorders>
            <w:shd w:val="clear" w:color="auto" w:fill="D9D9D9" w:themeFill="background1" w:themeFillShade="D9"/>
          </w:tcPr>
          <w:p w14:paraId="43B89183" w14:textId="77777777" w:rsidR="006F0DAE" w:rsidRPr="00EA3458" w:rsidRDefault="006F0DAE" w:rsidP="0021604E">
            <w:pPr>
              <w:jc w:val="left"/>
              <w:rPr>
                <w:b/>
                <w:bCs/>
                <w:sz w:val="20"/>
              </w:rPr>
            </w:pPr>
            <w:r w:rsidRPr="00EA3458">
              <w:rPr>
                <w:b/>
                <w:bCs/>
                <w:sz w:val="20"/>
              </w:rPr>
              <w:t>Sources</w:t>
            </w:r>
          </w:p>
        </w:tc>
        <w:tc>
          <w:tcPr>
            <w:tcW w:w="1701" w:type="dxa"/>
            <w:tcBorders>
              <w:bottom w:val="single" w:sz="4" w:space="0" w:color="auto"/>
            </w:tcBorders>
            <w:shd w:val="clear" w:color="auto" w:fill="D9D9D9" w:themeFill="background1" w:themeFillShade="D9"/>
          </w:tcPr>
          <w:p w14:paraId="1AB33937" w14:textId="77777777" w:rsidR="006F0DAE" w:rsidRPr="00EA3458" w:rsidRDefault="006F0DAE" w:rsidP="0021604E">
            <w:pPr>
              <w:jc w:val="left"/>
              <w:rPr>
                <w:b/>
                <w:bCs/>
                <w:sz w:val="20"/>
              </w:rPr>
            </w:pPr>
            <w:r w:rsidRPr="00EA3458">
              <w:rPr>
                <w:b/>
                <w:bCs/>
                <w:sz w:val="20"/>
              </w:rPr>
              <w:t>Pooled Estimate (95% CI)</w:t>
            </w:r>
          </w:p>
        </w:tc>
        <w:tc>
          <w:tcPr>
            <w:tcW w:w="1134" w:type="dxa"/>
            <w:tcBorders>
              <w:bottom w:val="single" w:sz="4" w:space="0" w:color="auto"/>
            </w:tcBorders>
            <w:shd w:val="clear" w:color="auto" w:fill="D9D9D9" w:themeFill="background1" w:themeFillShade="D9"/>
          </w:tcPr>
          <w:p w14:paraId="68A6B8A9" w14:textId="77777777" w:rsidR="006F0DAE" w:rsidRPr="00EA3458" w:rsidRDefault="006F0DAE" w:rsidP="0021604E">
            <w:pPr>
              <w:jc w:val="left"/>
              <w:rPr>
                <w:b/>
                <w:bCs/>
                <w:sz w:val="20"/>
              </w:rPr>
            </w:pPr>
            <w:r w:rsidRPr="00EA3458">
              <w:rPr>
                <w:b/>
                <w:bCs/>
                <w:sz w:val="20"/>
              </w:rPr>
              <w:t>Sources</w:t>
            </w:r>
          </w:p>
        </w:tc>
        <w:tc>
          <w:tcPr>
            <w:tcW w:w="1984" w:type="dxa"/>
            <w:tcBorders>
              <w:bottom w:val="single" w:sz="4" w:space="0" w:color="auto"/>
            </w:tcBorders>
            <w:shd w:val="clear" w:color="auto" w:fill="D9D9D9" w:themeFill="background1" w:themeFillShade="D9"/>
          </w:tcPr>
          <w:p w14:paraId="5F0728BF" w14:textId="77777777" w:rsidR="006F0DAE" w:rsidRPr="00EA3458" w:rsidRDefault="006F0DAE" w:rsidP="0021604E">
            <w:pPr>
              <w:jc w:val="left"/>
              <w:rPr>
                <w:b/>
                <w:bCs/>
                <w:sz w:val="20"/>
              </w:rPr>
            </w:pPr>
            <w:r w:rsidRPr="00EA3458">
              <w:rPr>
                <w:b/>
                <w:bCs/>
                <w:sz w:val="20"/>
              </w:rPr>
              <w:t>Pooled Estimate (95% CI)</w:t>
            </w:r>
          </w:p>
        </w:tc>
        <w:tc>
          <w:tcPr>
            <w:tcW w:w="993" w:type="dxa"/>
            <w:tcBorders>
              <w:bottom w:val="single" w:sz="4" w:space="0" w:color="auto"/>
            </w:tcBorders>
            <w:shd w:val="clear" w:color="auto" w:fill="D9D9D9" w:themeFill="background1" w:themeFillShade="D9"/>
          </w:tcPr>
          <w:p w14:paraId="30B3232B" w14:textId="77777777" w:rsidR="006F0DAE" w:rsidRPr="00EA3458" w:rsidRDefault="006F0DAE" w:rsidP="0021604E">
            <w:pPr>
              <w:jc w:val="left"/>
              <w:rPr>
                <w:b/>
                <w:bCs/>
                <w:sz w:val="20"/>
              </w:rPr>
            </w:pPr>
            <w:r w:rsidRPr="00EA3458">
              <w:rPr>
                <w:b/>
                <w:bCs/>
                <w:sz w:val="20"/>
              </w:rPr>
              <w:t>Sources</w:t>
            </w:r>
          </w:p>
        </w:tc>
      </w:tr>
      <w:tr w:rsidR="006F0DAE" w:rsidRPr="00EA3458" w14:paraId="152F315C" w14:textId="77777777" w:rsidTr="00CE03C3">
        <w:trPr>
          <w:trHeight w:val="704"/>
        </w:trPr>
        <w:tc>
          <w:tcPr>
            <w:tcW w:w="1413" w:type="dxa"/>
            <w:tcBorders>
              <w:top w:val="single" w:sz="4" w:space="0" w:color="auto"/>
              <w:bottom w:val="dotted" w:sz="4" w:space="0" w:color="auto"/>
            </w:tcBorders>
          </w:tcPr>
          <w:p w14:paraId="6927B5E2" w14:textId="16D37801" w:rsidR="006F0DAE" w:rsidRPr="00EA3458" w:rsidRDefault="006F0DAE" w:rsidP="0021604E">
            <w:pPr>
              <w:jc w:val="left"/>
              <w:rPr>
                <w:b/>
                <w:bCs/>
                <w:sz w:val="20"/>
              </w:rPr>
            </w:pPr>
            <w:r w:rsidRPr="00EA3458">
              <w:rPr>
                <w:b/>
                <w:bCs/>
                <w:sz w:val="20"/>
              </w:rPr>
              <w:t>Proportion of O</w:t>
            </w:r>
            <w:r w:rsidR="0046431B">
              <w:rPr>
                <w:b/>
                <w:bCs/>
                <w:sz w:val="20"/>
              </w:rPr>
              <w:t>D</w:t>
            </w:r>
            <w:r w:rsidRPr="00EA3458">
              <w:rPr>
                <w:b/>
                <w:bCs/>
                <w:sz w:val="20"/>
              </w:rPr>
              <w:t>T consumers on medication</w:t>
            </w:r>
          </w:p>
        </w:tc>
        <w:tc>
          <w:tcPr>
            <w:tcW w:w="1843" w:type="dxa"/>
            <w:tcBorders>
              <w:top w:val="single" w:sz="4" w:space="0" w:color="auto"/>
              <w:bottom w:val="dotted" w:sz="4" w:space="0" w:color="auto"/>
            </w:tcBorders>
          </w:tcPr>
          <w:p w14:paraId="33797D96" w14:textId="77777777" w:rsidR="006F0DAE" w:rsidRPr="00EA3458" w:rsidRDefault="006F0DAE" w:rsidP="0021604E">
            <w:pPr>
              <w:jc w:val="left"/>
              <w:rPr>
                <w:sz w:val="20"/>
              </w:rPr>
            </w:pPr>
            <w:r w:rsidRPr="00EA3458">
              <w:rPr>
                <w:sz w:val="20"/>
              </w:rPr>
              <w:t>0.55 (0.54, 0.55)</w:t>
            </w:r>
          </w:p>
        </w:tc>
        <w:tc>
          <w:tcPr>
            <w:tcW w:w="992" w:type="dxa"/>
            <w:tcBorders>
              <w:top w:val="single" w:sz="4" w:space="0" w:color="auto"/>
              <w:bottom w:val="dotted" w:sz="4" w:space="0" w:color="auto"/>
            </w:tcBorders>
          </w:tcPr>
          <w:p w14:paraId="56D3BF34" w14:textId="75065BCA" w:rsidR="006F0DAE" w:rsidRPr="00EA3458" w:rsidRDefault="006F0DAE" w:rsidP="0021604E">
            <w:pPr>
              <w:jc w:val="left"/>
              <w:rPr>
                <w:sz w:val="20"/>
              </w:rPr>
            </w:pPr>
            <w:r w:rsidRPr="00EA3458">
              <w:rPr>
                <w:sz w:val="20"/>
              </w:rPr>
              <w:fldChar w:fldCharType="begin">
                <w:fldData xml:space="preserve">c3RyYWxpYTwvdGl0bGU+PHNlY29uZGFyeS10aXRsZT5EcnVnIEFsY29ob2wgUmV2PC9zZWNvbmRh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</w:fldData>
              </w:fldChar>
            </w:r>
            <w:r w:rsidR="002565E6">
              <w:rPr>
                <w:sz w:val="20"/>
              </w:rPr>
              <w:instrText xml:space="preserve"> ADDIN EN.CITE </w:instrText>
            </w:r>
            <w:r w:rsidR="002565E6">
              <w:rPr>
                <w:sz w:val="20"/>
              </w:rPr>
              <w:fldChar w:fldCharType="begin">
                <w:fldData xml:space="preserve">PEVuZE5vdGU+PENpdGUgSGlkZGVuPSIxIj48QXV0aG9yPkxhcmFuY2U8L0F1dGhvcj48WWVhcj4y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==
</w:fldData>
              </w:fldChar>
            </w:r>
            <w:r w:rsidR="002565E6">
              <w:rPr>
                <w:sz w:val="20"/>
              </w:rPr>
              <w:instrText xml:space="preserve"> ADDIN EN.CITE.DATA </w:instrText>
            </w:r>
            <w:r w:rsidR="002565E6">
              <w:rPr>
                <w:sz w:val="20"/>
              </w:rPr>
            </w:r>
            <w:r w:rsidR="002565E6">
              <w:rPr>
                <w:sz w:val="20"/>
              </w:rPr>
              <w:fldChar w:fldCharType="end"/>
            </w:r>
            <w:r w:rsidR="002565E6">
              <w:rPr>
                <w:sz w:val="20"/>
              </w:rPr>
              <w:fldChar w:fldCharType="begin">
                <w:fldData xml:space="preserve">Qi48L2F1dGhvcj48YXV0aG9yPkRlZ2VuaGFyZHQsIEwuPC9hdXRob3I+PGF1dGhvcj5HcmViZWx5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==
</w:fldData>
              </w:fldChar>
            </w:r>
            <w:r w:rsidR="002565E6">
              <w:rPr>
                <w:sz w:val="20"/>
              </w:rPr>
              <w:instrText xml:space="preserve"> ADDIN EN.CITE.DATA </w:instrText>
            </w:r>
            <w:r w:rsidR="002565E6">
              <w:rPr>
                <w:sz w:val="20"/>
              </w:rPr>
            </w:r>
            <w:r w:rsidR="002565E6">
              <w:rPr>
                <w:sz w:val="20"/>
              </w:rPr>
              <w:fldChar w:fldCharType="end"/>
            </w:r>
            <w:r w:rsidR="002565E6">
              <w:rPr>
                <w:sz w:val="20"/>
              </w:rPr>
              <w:fldChar w:fldCharType="begin">
                <w:fldData xml:space="preserve">Y2UgQWJ1c2UsIEludHJhdmVub3VzL2NvbXBsaWNhdGlvbnMvZHJ1ZyB0aGVyYXB5L2VwaWRlbWlv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==
</w:fldData>
              </w:fldChar>
            </w:r>
            <w:r w:rsidR="002565E6">
              <w:rPr>
                <w:sz w:val="20"/>
              </w:rPr>
              <w:instrText xml:space="preserve"> ADDIN EN.CITE.DATA </w:instrText>
            </w:r>
            <w:r w:rsidR="002565E6">
              <w:rPr>
                <w:sz w:val="20"/>
              </w:rPr>
            </w:r>
            <w:r w:rsidR="002565E6">
              <w:rPr>
                <w:sz w:val="20"/>
              </w:rPr>
              <w:fldChar w:fldCharType="end"/>
            </w:r>
            <w:r w:rsidR="002565E6">
              <w:rPr>
                <w:sz w:val="20"/>
              </w:rPr>
              <w:fldChar w:fldCharType="begin">
                <w:fldData xml:space="preserve">PGtleSBhcHA9IkVOIiBkYi1pZD0ieHNzejU5MHN4OXZ6dzRld3B6ZHYwczVzcmV0NTBhZXhkdGQ5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==
</w:fldData>
              </w:fldChar>
            </w:r>
            <w:r w:rsidR="002565E6">
              <w:rPr>
                <w:sz w:val="20"/>
              </w:rPr>
              <w:instrText xml:space="preserve"> ADDIN EN.CITE.DATA </w:instrText>
            </w:r>
            <w:r w:rsidR="002565E6">
              <w:rPr>
                <w:sz w:val="20"/>
              </w:rPr>
            </w:r>
            <w:r w:rsidR="002565E6">
              <w:rPr>
                <w:sz w:val="20"/>
              </w:rPr>
              <w:fldChar w:fldCharType="end"/>
            </w:r>
            <w:r w:rsidR="002565E6">
              <w:rPr>
                <w:sz w:val="20"/>
              </w:rPr>
              <w:fldChar w:fldCharType="begin">
                <w:fldData xml:space="preserve">c3RyYWxpYTwvdGl0bGU+PHNlY29uZGFyeS10aXRsZT5EcnVnIEFsY29ob2wgUmV2PC9zZWNvbmRh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</w:fldData>
              </w:fldChar>
            </w:r>
            <w:r w:rsidR="002565E6">
              <w:rPr>
                <w:sz w:val="20"/>
              </w:rPr>
              <w:instrText xml:space="preserve"> ADDIN EN.CITE.DATA </w:instrText>
            </w:r>
            <w:r w:rsidR="002565E6">
              <w:rPr>
                <w:sz w:val="20"/>
              </w:rPr>
            </w:r>
            <w:r w:rsidR="002565E6">
              <w:rPr>
                <w:sz w:val="20"/>
              </w:rPr>
              <w:fldChar w:fldCharType="end"/>
            </w:r>
            <w:r w:rsidRPr="00EA3458">
              <w:rPr>
                <w:sz w:val="20"/>
              </w:rPr>
            </w:r>
            <w:r w:rsidRPr="00EA3458">
              <w:rPr>
                <w:sz w:val="20"/>
              </w:rPr>
              <w:fldChar w:fldCharType="separate"/>
            </w:r>
            <w:hyperlink w:anchor="_ENREF_2" w:tooltip="Larance, 2020 #2" w:history="1">
              <w:r w:rsidR="002565E6" w:rsidRPr="002565E6">
                <w:rPr>
                  <w:noProof/>
                  <w:sz w:val="20"/>
                  <w:vertAlign w:val="superscript"/>
                </w:rPr>
                <w:t>2</w:t>
              </w:r>
            </w:hyperlink>
            <w:r w:rsidR="002565E6" w:rsidRPr="002565E6">
              <w:rPr>
                <w:noProof/>
                <w:sz w:val="20"/>
                <w:vertAlign w:val="superscript"/>
              </w:rPr>
              <w:t xml:space="preserve">, </w:t>
            </w:r>
            <w:hyperlink w:anchor="_ENREF_7" w:tooltip="Valerio, 2021 #7" w:history="1">
              <w:r w:rsidR="002565E6" w:rsidRPr="002565E6">
                <w:rPr>
                  <w:noProof/>
                  <w:sz w:val="20"/>
                  <w:vertAlign w:val="superscript"/>
                </w:rPr>
                <w:t>7</w:t>
              </w:r>
            </w:hyperlink>
            <w:r w:rsidR="002565E6" w:rsidRPr="002565E6">
              <w:rPr>
                <w:noProof/>
                <w:sz w:val="20"/>
                <w:vertAlign w:val="superscript"/>
              </w:rPr>
              <w:t xml:space="preserve">, </w:t>
            </w:r>
            <w:hyperlink w:anchor="_ENREF_73" w:tooltip="Bharat, 2021 #3450" w:history="1">
              <w:r w:rsidR="002565E6" w:rsidRPr="002565E6">
                <w:rPr>
                  <w:noProof/>
                  <w:sz w:val="20"/>
                  <w:vertAlign w:val="superscript"/>
                </w:rPr>
                <w:t>73</w:t>
              </w:r>
            </w:hyperlink>
            <w:r w:rsidR="002565E6" w:rsidRPr="002565E6">
              <w:rPr>
                <w:noProof/>
                <w:sz w:val="20"/>
                <w:vertAlign w:val="superscript"/>
              </w:rPr>
              <w:t xml:space="preserve">, </w:t>
            </w:r>
            <w:hyperlink w:anchor="_ENREF_79" w:tooltip="Haber, 2017 #3455" w:history="1">
              <w:r w:rsidR="002565E6" w:rsidRPr="002565E6">
                <w:rPr>
                  <w:noProof/>
                  <w:sz w:val="20"/>
                  <w:vertAlign w:val="superscript"/>
                </w:rPr>
                <w:t>79</w:t>
              </w:r>
            </w:hyperlink>
            <w:r w:rsidR="002565E6" w:rsidRPr="002565E6">
              <w:rPr>
                <w:noProof/>
                <w:sz w:val="20"/>
                <w:vertAlign w:val="superscript"/>
              </w:rPr>
              <w:t xml:space="preserve">, </w:t>
            </w:r>
            <w:hyperlink w:anchor="_ENREF_89" w:tooltip="Nielsen, 2018 #3476" w:history="1">
              <w:r w:rsidR="002565E6" w:rsidRPr="002565E6">
                <w:rPr>
                  <w:noProof/>
                  <w:sz w:val="20"/>
                  <w:vertAlign w:val="superscript"/>
                </w:rPr>
                <w:t>89-95</w:t>
              </w:r>
            </w:hyperlink>
            <w:r w:rsidRPr="00EA3458">
              <w:rPr>
                <w:sz w:val="20"/>
              </w:rPr>
              <w:fldChar w:fldCharType="end"/>
            </w:r>
          </w:p>
        </w:tc>
        <w:tc>
          <w:tcPr>
            <w:tcW w:w="1701" w:type="dxa"/>
            <w:tcBorders>
              <w:top w:val="single" w:sz="4" w:space="0" w:color="auto"/>
              <w:bottom w:val="dotted" w:sz="4" w:space="0" w:color="auto"/>
            </w:tcBorders>
          </w:tcPr>
          <w:p w14:paraId="145B1452" w14:textId="77777777" w:rsidR="006F0DAE" w:rsidRPr="00EA3458" w:rsidRDefault="006F0DAE" w:rsidP="0021604E">
            <w:pPr>
              <w:jc w:val="left"/>
              <w:rPr>
                <w:sz w:val="20"/>
              </w:rPr>
            </w:pPr>
            <w:r w:rsidRPr="00EA3458">
              <w:rPr>
                <w:sz w:val="20"/>
              </w:rPr>
              <w:t>0.44 (0.44, 0.45)</w:t>
            </w:r>
          </w:p>
        </w:tc>
        <w:tc>
          <w:tcPr>
            <w:tcW w:w="1134" w:type="dxa"/>
            <w:tcBorders>
              <w:top w:val="single" w:sz="4" w:space="0" w:color="auto"/>
              <w:bottom w:val="dotted" w:sz="4" w:space="0" w:color="auto"/>
            </w:tcBorders>
          </w:tcPr>
          <w:p w14:paraId="05274CE2" w14:textId="26F21E2A" w:rsidR="006F0DAE" w:rsidRPr="00EA3458" w:rsidRDefault="006F0DAE" w:rsidP="0021604E">
            <w:pPr>
              <w:jc w:val="left"/>
              <w:rPr>
                <w:sz w:val="20"/>
              </w:rPr>
            </w:pPr>
            <w:r w:rsidRPr="00EA3458">
              <w:rPr>
                <w:sz w:val="20"/>
              </w:rPr>
              <w:fldChar w:fldCharType="begin">
                <w:fldData xml:space="preserve">eSwgTmV3IFNvdXRoIFdhbGVzLCBBdXN0cmFsaWEuJiN4RDtNYWNxdWFyaWUgVW5pdmVyc2l0eSwg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</w:fldData>
              </w:fldChar>
            </w:r>
            <w:r w:rsidR="002565E6">
              <w:rPr>
                <w:sz w:val="20"/>
              </w:rPr>
              <w:instrText xml:space="preserve"> ADDIN EN.CITE </w:instrText>
            </w:r>
            <w:r w:rsidR="002565E6">
              <w:rPr>
                <w:sz w:val="20"/>
              </w:rPr>
              <w:fldChar w:fldCharType="begin">
                <w:fldData xml:space="preserve">PEVuZE5vdGU+PENpdGU+PEF1dGhvcj5MYXJhbmNlPC9BdXRob3I+PFllYXI+MjAyMDwvWWVhcj48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==
</w:fldData>
              </w:fldChar>
            </w:r>
            <w:r w:rsidR="002565E6">
              <w:rPr>
                <w:sz w:val="20"/>
              </w:rPr>
              <w:instrText xml:space="preserve"> ADDIN EN.CITE.DATA </w:instrText>
            </w:r>
            <w:r w:rsidR="002565E6">
              <w:rPr>
                <w:sz w:val="20"/>
              </w:rPr>
            </w:r>
            <w:r w:rsidR="002565E6">
              <w:rPr>
                <w:sz w:val="20"/>
              </w:rPr>
              <w:fldChar w:fldCharType="end"/>
            </w:r>
            <w:r w:rsidR="002565E6">
              <w:rPr>
                <w:sz w:val="20"/>
              </w:rPr>
              <w:fldChar w:fldCharType="begin">
                <w:fldData xml:space="preserve">PjxhdXRob3I+Sm9obnNvbiwgSi48L2F1dGhvcj48YXV0aG9yPkhhcmR5LCBNLjwvYXV0aG9yPjxh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==
</w:fldData>
              </w:fldChar>
            </w:r>
            <w:r w:rsidR="002565E6">
              <w:rPr>
                <w:sz w:val="20"/>
              </w:rPr>
              <w:instrText xml:space="preserve"> ADDIN EN.CITE.DATA </w:instrText>
            </w:r>
            <w:r w:rsidR="002565E6">
              <w:rPr>
                <w:sz w:val="20"/>
              </w:rPr>
            </w:r>
            <w:r w:rsidR="002565E6">
              <w:rPr>
                <w:sz w:val="20"/>
              </w:rPr>
              <w:fldChar w:fldCharType="end"/>
            </w:r>
            <w:r w:rsidR="002565E6">
              <w:rPr>
                <w:sz w:val="20"/>
              </w:rPr>
              <w:fldChar w:fldCharType="begin">
                <w:fldData xml:space="preserve">MTE4NzkxNzQxPC9lbGVjdHJvbmljLXJlc291cmNlLW51bT48L3JlY29yZD48L0NpdGU+PENpdGU+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==
</w:fldData>
              </w:fldChar>
            </w:r>
            <w:r w:rsidR="002565E6">
              <w:rPr>
                <w:sz w:val="20"/>
              </w:rPr>
              <w:instrText xml:space="preserve"> ADDIN EN.CITE.DATA </w:instrText>
            </w:r>
            <w:r w:rsidR="002565E6">
              <w:rPr>
                <w:sz w:val="20"/>
              </w:rPr>
            </w:r>
            <w:r w:rsidR="002565E6">
              <w:rPr>
                <w:sz w:val="20"/>
              </w:rPr>
              <w:fldChar w:fldCharType="end"/>
            </w:r>
            <w:r w:rsidR="002565E6">
              <w:rPr>
                <w:sz w:val="20"/>
              </w:rPr>
              <w:fldChar w:fldCharType="begin">
                <w:fldData xml:space="preserve">bGU+PC90aXRsZXM+PHBhZ2VzPjEyMTQtMjM8L3BhZ2VzPjx2b2x1bWU+MTExPC92b2x1bWU+PG51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==
</w:fldData>
              </w:fldChar>
            </w:r>
            <w:r w:rsidR="002565E6">
              <w:rPr>
                <w:sz w:val="20"/>
              </w:rPr>
              <w:instrText xml:space="preserve"> ADDIN EN.CITE.DATA </w:instrText>
            </w:r>
            <w:r w:rsidR="002565E6">
              <w:rPr>
                <w:sz w:val="20"/>
              </w:rPr>
            </w:r>
            <w:r w:rsidR="002565E6">
              <w:rPr>
                <w:sz w:val="20"/>
              </w:rPr>
              <w:fldChar w:fldCharType="end"/>
            </w:r>
            <w:r w:rsidR="002565E6">
              <w:rPr>
                <w:sz w:val="20"/>
              </w:rPr>
              <w:fldChar w:fldCharType="begin">
                <w:fldData xml:space="preserve">eSwgTmV3IFNvdXRoIFdhbGVzLCBBdXN0cmFsaWEuJiN4RDtNYWNxdWFyaWUgVW5pdmVyc2l0eSwg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</w:fldData>
              </w:fldChar>
            </w:r>
            <w:r w:rsidR="002565E6">
              <w:rPr>
                <w:sz w:val="20"/>
              </w:rPr>
              <w:instrText xml:space="preserve"> ADDIN EN.CITE.DATA </w:instrText>
            </w:r>
            <w:r w:rsidR="002565E6">
              <w:rPr>
                <w:sz w:val="20"/>
              </w:rPr>
            </w:r>
            <w:r w:rsidR="002565E6">
              <w:rPr>
                <w:sz w:val="20"/>
              </w:rPr>
              <w:fldChar w:fldCharType="end"/>
            </w:r>
            <w:r w:rsidRPr="00EA3458">
              <w:rPr>
                <w:sz w:val="20"/>
              </w:rPr>
            </w:r>
            <w:r w:rsidRPr="00EA3458">
              <w:rPr>
                <w:sz w:val="20"/>
              </w:rPr>
              <w:fldChar w:fldCharType="separate"/>
            </w:r>
            <w:hyperlink w:anchor="_ENREF_2" w:tooltip="Larance, 2020 #2" w:history="1">
              <w:r w:rsidR="002565E6" w:rsidRPr="002565E6">
                <w:rPr>
                  <w:noProof/>
                  <w:sz w:val="20"/>
                  <w:vertAlign w:val="superscript"/>
                </w:rPr>
                <w:t>2</w:t>
              </w:r>
            </w:hyperlink>
            <w:r w:rsidR="002565E6" w:rsidRPr="002565E6">
              <w:rPr>
                <w:noProof/>
                <w:sz w:val="20"/>
                <w:vertAlign w:val="superscript"/>
              </w:rPr>
              <w:t xml:space="preserve">, </w:t>
            </w:r>
            <w:hyperlink w:anchor="_ENREF_7" w:tooltip="Valerio, 2021 #7" w:history="1">
              <w:r w:rsidR="002565E6" w:rsidRPr="002565E6">
                <w:rPr>
                  <w:noProof/>
                  <w:sz w:val="20"/>
                  <w:vertAlign w:val="superscript"/>
                </w:rPr>
                <w:t>7</w:t>
              </w:r>
            </w:hyperlink>
            <w:r w:rsidR="002565E6" w:rsidRPr="002565E6">
              <w:rPr>
                <w:noProof/>
                <w:sz w:val="20"/>
                <w:vertAlign w:val="superscript"/>
              </w:rPr>
              <w:t xml:space="preserve">, </w:t>
            </w:r>
            <w:hyperlink w:anchor="_ENREF_73" w:tooltip="Bharat, 2021 #3450" w:history="1">
              <w:r w:rsidR="002565E6" w:rsidRPr="002565E6">
                <w:rPr>
                  <w:noProof/>
                  <w:sz w:val="20"/>
                  <w:vertAlign w:val="superscript"/>
                </w:rPr>
                <w:t>73</w:t>
              </w:r>
            </w:hyperlink>
            <w:r w:rsidR="002565E6" w:rsidRPr="002565E6">
              <w:rPr>
                <w:noProof/>
                <w:sz w:val="20"/>
                <w:vertAlign w:val="superscript"/>
              </w:rPr>
              <w:t xml:space="preserve">, </w:t>
            </w:r>
            <w:hyperlink w:anchor="_ENREF_79" w:tooltip="Haber, 2017 #3455" w:history="1">
              <w:r w:rsidR="002565E6" w:rsidRPr="002565E6">
                <w:rPr>
                  <w:noProof/>
                  <w:sz w:val="20"/>
                  <w:vertAlign w:val="superscript"/>
                </w:rPr>
                <w:t>79</w:t>
              </w:r>
            </w:hyperlink>
            <w:r w:rsidR="002565E6" w:rsidRPr="002565E6">
              <w:rPr>
                <w:noProof/>
                <w:sz w:val="20"/>
                <w:vertAlign w:val="superscript"/>
              </w:rPr>
              <w:t xml:space="preserve">, </w:t>
            </w:r>
            <w:hyperlink w:anchor="_ENREF_88" w:tooltip="Larance, 2016 #3467" w:history="1">
              <w:r w:rsidR="002565E6" w:rsidRPr="002565E6">
                <w:rPr>
                  <w:noProof/>
                  <w:sz w:val="20"/>
                  <w:vertAlign w:val="superscript"/>
                </w:rPr>
                <w:t>88-94</w:t>
              </w:r>
            </w:hyperlink>
            <w:r w:rsidR="002565E6" w:rsidRPr="002565E6">
              <w:rPr>
                <w:noProof/>
                <w:sz w:val="20"/>
                <w:vertAlign w:val="superscript"/>
              </w:rPr>
              <w:t xml:space="preserve">, </w:t>
            </w:r>
            <w:hyperlink w:anchor="_ENREF_96" w:tooltip="Jamshidi, 2021 #3457" w:history="1">
              <w:r w:rsidR="002565E6" w:rsidRPr="002565E6">
                <w:rPr>
                  <w:noProof/>
                  <w:sz w:val="20"/>
                  <w:vertAlign w:val="superscript"/>
                </w:rPr>
                <w:t>96</w:t>
              </w:r>
            </w:hyperlink>
            <w:r w:rsidRPr="00EA3458">
              <w:rPr>
                <w:sz w:val="20"/>
              </w:rPr>
              <w:fldChar w:fldCharType="end"/>
            </w:r>
          </w:p>
        </w:tc>
        <w:tc>
          <w:tcPr>
            <w:tcW w:w="1984" w:type="dxa"/>
            <w:tcBorders>
              <w:top w:val="single" w:sz="4" w:space="0" w:color="auto"/>
              <w:bottom w:val="dotted" w:sz="4" w:space="0" w:color="auto"/>
            </w:tcBorders>
          </w:tcPr>
          <w:p w14:paraId="4FBD2B54" w14:textId="77777777" w:rsidR="006F0DAE" w:rsidRPr="00EA3458" w:rsidRDefault="006F0DAE" w:rsidP="0021604E">
            <w:pPr>
              <w:jc w:val="left"/>
              <w:rPr>
                <w:sz w:val="20"/>
              </w:rPr>
            </w:pPr>
            <w:r w:rsidRPr="00EA3458">
              <w:rPr>
                <w:sz w:val="20"/>
              </w:rPr>
              <w:t>0.11 (0.09, 0.13)</w:t>
            </w:r>
          </w:p>
        </w:tc>
        <w:tc>
          <w:tcPr>
            <w:tcW w:w="993" w:type="dxa"/>
            <w:tcBorders>
              <w:top w:val="single" w:sz="4" w:space="0" w:color="auto"/>
              <w:bottom w:val="dotted" w:sz="4" w:space="0" w:color="auto"/>
            </w:tcBorders>
          </w:tcPr>
          <w:p w14:paraId="27341C52" w14:textId="7739CEBC" w:rsidR="006F0DAE" w:rsidRPr="00EA3458" w:rsidRDefault="006F0DAE" w:rsidP="0021604E">
            <w:pPr>
              <w:jc w:val="left"/>
              <w:rPr>
                <w:sz w:val="20"/>
              </w:rPr>
            </w:pPr>
            <w:r w:rsidRPr="00EA3458">
              <w:rPr>
                <w:sz w:val="20"/>
              </w:rPr>
              <w:fldChar w:fldCharType="begin">
                <w:fldData xml:space="preserve">PEVuZE5vdGU+PENpdGU+PEF1dGhvcj5MaW50emVyaXM8L0F1dGhvcj48WWVhcj4yMDIxPC9ZZWFy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</w:fldData>
              </w:fldChar>
            </w:r>
            <w:r w:rsidR="002565E6">
              <w:rPr>
                <w:sz w:val="20"/>
              </w:rPr>
              <w:instrText xml:space="preserve"> ADDIN EN.CITE </w:instrText>
            </w:r>
            <w:r w:rsidR="002565E6">
              <w:rPr>
                <w:sz w:val="20"/>
              </w:rPr>
              <w:fldChar w:fldCharType="begin">
                <w:fldData xml:space="preserve">PEVuZE5vdGU+PENpdGU+PEF1dGhvcj5MaW50emVyaXM8L0F1dGhvcj48WWVhcj4yMDIxPC9ZZWFy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</w:fldData>
              </w:fldChar>
            </w:r>
            <w:r w:rsidR="002565E6">
              <w:rPr>
                <w:sz w:val="20"/>
              </w:rPr>
              <w:instrText xml:space="preserve"> ADDIN EN.CITE.DATA </w:instrText>
            </w:r>
            <w:r w:rsidR="002565E6">
              <w:rPr>
                <w:sz w:val="20"/>
              </w:rPr>
            </w:r>
            <w:r w:rsidR="002565E6">
              <w:rPr>
                <w:sz w:val="20"/>
              </w:rPr>
              <w:fldChar w:fldCharType="end"/>
            </w:r>
            <w:r w:rsidRPr="00EA3458">
              <w:rPr>
                <w:sz w:val="20"/>
              </w:rPr>
            </w:r>
            <w:r w:rsidRPr="00EA3458">
              <w:rPr>
                <w:sz w:val="20"/>
              </w:rPr>
              <w:fldChar w:fldCharType="separate"/>
            </w:r>
            <w:hyperlink w:anchor="_ENREF_7" w:tooltip="Valerio, 2021 #7" w:history="1">
              <w:r w:rsidR="002565E6" w:rsidRPr="002565E6">
                <w:rPr>
                  <w:noProof/>
                  <w:sz w:val="20"/>
                  <w:vertAlign w:val="superscript"/>
                </w:rPr>
                <w:t>7</w:t>
              </w:r>
            </w:hyperlink>
            <w:r w:rsidR="002565E6" w:rsidRPr="002565E6">
              <w:rPr>
                <w:noProof/>
                <w:sz w:val="20"/>
                <w:vertAlign w:val="superscript"/>
              </w:rPr>
              <w:t xml:space="preserve">, </w:t>
            </w:r>
            <w:hyperlink w:anchor="_ENREF_91" w:tooltip="Lintzeris, 2021 #3473" w:history="1">
              <w:r w:rsidR="002565E6" w:rsidRPr="002565E6">
                <w:rPr>
                  <w:noProof/>
                  <w:sz w:val="20"/>
                  <w:vertAlign w:val="superscript"/>
                </w:rPr>
                <w:t>91</w:t>
              </w:r>
            </w:hyperlink>
            <w:r w:rsidRPr="00EA3458">
              <w:rPr>
                <w:sz w:val="20"/>
              </w:rPr>
              <w:fldChar w:fldCharType="end"/>
            </w:r>
          </w:p>
        </w:tc>
      </w:tr>
      <w:tr w:rsidR="006F0DAE" w:rsidRPr="00EA3458" w14:paraId="675CEA39" w14:textId="77777777" w:rsidTr="00CE03C3">
        <w:trPr>
          <w:trHeight w:val="423"/>
        </w:trPr>
        <w:tc>
          <w:tcPr>
            <w:tcW w:w="1413" w:type="dxa"/>
            <w:tcBorders>
              <w:top w:val="dotted" w:sz="4" w:space="0" w:color="auto"/>
              <w:bottom w:val="dotted" w:sz="4" w:space="0" w:color="auto"/>
            </w:tcBorders>
          </w:tcPr>
          <w:p w14:paraId="4E855968" w14:textId="77777777" w:rsidR="006F0DAE" w:rsidRPr="00EA3458" w:rsidRDefault="006F0DAE" w:rsidP="0021604E">
            <w:pPr>
              <w:jc w:val="left"/>
              <w:rPr>
                <w:b/>
                <w:bCs/>
                <w:sz w:val="20"/>
              </w:rPr>
            </w:pPr>
            <w:r w:rsidRPr="00EA3458">
              <w:rPr>
                <w:b/>
                <w:bCs/>
                <w:sz w:val="20"/>
              </w:rPr>
              <w:t>Mean dose (mg/day)</w:t>
            </w:r>
          </w:p>
        </w:tc>
        <w:tc>
          <w:tcPr>
            <w:tcW w:w="1843" w:type="dxa"/>
            <w:tcBorders>
              <w:top w:val="dotted" w:sz="4" w:space="0" w:color="auto"/>
              <w:bottom w:val="dotted" w:sz="4" w:space="0" w:color="auto"/>
            </w:tcBorders>
          </w:tcPr>
          <w:p w14:paraId="6CC3D374" w14:textId="77777777" w:rsidR="006F0DAE" w:rsidRPr="00EA3458" w:rsidRDefault="006F0DAE" w:rsidP="0021604E">
            <w:pPr>
              <w:jc w:val="left"/>
              <w:rPr>
                <w:sz w:val="20"/>
              </w:rPr>
            </w:pPr>
            <w:r w:rsidRPr="00EA3458">
              <w:rPr>
                <w:sz w:val="20"/>
              </w:rPr>
              <w:t>74.06 (69.44, 78.69)</w:t>
            </w:r>
          </w:p>
        </w:tc>
        <w:tc>
          <w:tcPr>
            <w:tcW w:w="992" w:type="dxa"/>
            <w:tcBorders>
              <w:top w:val="dotted" w:sz="4" w:space="0" w:color="auto"/>
              <w:bottom w:val="dotted" w:sz="4" w:space="0" w:color="auto"/>
            </w:tcBorders>
          </w:tcPr>
          <w:p w14:paraId="2F93FFD4" w14:textId="2FA56570" w:rsidR="006F0DAE" w:rsidRPr="00EA3458" w:rsidRDefault="006F0DAE" w:rsidP="0021604E">
            <w:pPr>
              <w:jc w:val="left"/>
              <w:rPr>
                <w:sz w:val="20"/>
              </w:rPr>
            </w:pPr>
            <w:r w:rsidRPr="00EA3458">
              <w:rPr>
                <w:sz w:val="20"/>
              </w:rPr>
              <w:fldChar w:fldCharType="begin">
                <w:fldData xml:space="preserve">aXJlY3QtYWN0aW5nIGFudGl2aXJhbHM8L2tleXdvcmQ+PGtleXdvcmQ+KmhlcGF0aXRpcyBDIGVs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</w:fldData>
              </w:fldChar>
            </w:r>
            <w:r w:rsidR="002565E6">
              <w:rPr>
                <w:sz w:val="20"/>
              </w:rPr>
              <w:instrText xml:space="preserve"> ADDIN EN.CITE </w:instrText>
            </w:r>
            <w:r w:rsidR="002565E6">
              <w:rPr>
                <w:sz w:val="20"/>
              </w:rPr>
              <w:fldChar w:fldCharType="begin">
                <w:fldData xml:space="preserve">PEVuZE5vdGU+PENpdGU+PEF1dGhvcj5SZWVjZTwvQXV0aG9yPjxZZWFyPjIwMTc8L1llYXI+PFJl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==
</w:fldData>
              </w:fldChar>
            </w:r>
            <w:r w:rsidR="002565E6">
              <w:rPr>
                <w:sz w:val="20"/>
              </w:rPr>
              <w:instrText xml:space="preserve"> ADDIN EN.CITE.DATA </w:instrText>
            </w:r>
            <w:r w:rsidR="002565E6">
              <w:rPr>
                <w:sz w:val="20"/>
              </w:rPr>
            </w:r>
            <w:r w:rsidR="002565E6">
              <w:rPr>
                <w:sz w:val="20"/>
              </w:rPr>
              <w:fldChar w:fldCharType="end"/>
            </w:r>
            <w:r w:rsidR="002565E6">
              <w:rPr>
                <w:sz w:val="20"/>
              </w:rPr>
              <w:fldChar w:fldCharType="begin">
                <w:fldData xml:space="preserve">aXJlY3QtYWN0aW5nIGFudGl2aXJhbHM8L2tleXdvcmQ+PGtleXdvcmQ+KmhlcGF0aXRpcyBDIGVs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</w:fldData>
              </w:fldChar>
            </w:r>
            <w:r w:rsidR="002565E6">
              <w:rPr>
                <w:sz w:val="20"/>
              </w:rPr>
              <w:instrText xml:space="preserve"> ADDIN EN.CITE.DATA </w:instrText>
            </w:r>
            <w:r w:rsidR="002565E6">
              <w:rPr>
                <w:sz w:val="20"/>
              </w:rPr>
            </w:r>
            <w:r w:rsidR="002565E6">
              <w:rPr>
                <w:sz w:val="20"/>
              </w:rPr>
              <w:fldChar w:fldCharType="end"/>
            </w:r>
            <w:r w:rsidRPr="00EA3458">
              <w:rPr>
                <w:sz w:val="20"/>
              </w:rPr>
            </w:r>
            <w:r w:rsidRPr="00EA3458">
              <w:rPr>
                <w:sz w:val="20"/>
              </w:rPr>
              <w:fldChar w:fldCharType="separate"/>
            </w:r>
            <w:hyperlink w:anchor="_ENREF_7" w:tooltip="Valerio, 2021 #7" w:history="1">
              <w:r w:rsidR="002565E6" w:rsidRPr="002565E6">
                <w:rPr>
                  <w:noProof/>
                  <w:sz w:val="20"/>
                  <w:vertAlign w:val="superscript"/>
                </w:rPr>
                <w:t>7</w:t>
              </w:r>
            </w:hyperlink>
            <w:r w:rsidR="002565E6" w:rsidRPr="002565E6">
              <w:rPr>
                <w:noProof/>
                <w:sz w:val="20"/>
                <w:vertAlign w:val="superscript"/>
              </w:rPr>
              <w:t xml:space="preserve">, </w:t>
            </w:r>
            <w:hyperlink w:anchor="_ENREF_95" w:tooltip="Reece, 2017 #3479" w:history="1">
              <w:r w:rsidR="002565E6" w:rsidRPr="002565E6">
                <w:rPr>
                  <w:noProof/>
                  <w:sz w:val="20"/>
                  <w:vertAlign w:val="superscript"/>
                </w:rPr>
                <w:t>95</w:t>
              </w:r>
            </w:hyperlink>
            <w:r w:rsidRPr="00EA3458">
              <w:rPr>
                <w:sz w:val="20"/>
              </w:rPr>
              <w:fldChar w:fldCharType="end"/>
            </w:r>
          </w:p>
        </w:tc>
        <w:tc>
          <w:tcPr>
            <w:tcW w:w="1701" w:type="dxa"/>
            <w:tcBorders>
              <w:top w:val="dotted" w:sz="4" w:space="0" w:color="auto"/>
              <w:bottom w:val="dotted" w:sz="4" w:space="0" w:color="auto"/>
            </w:tcBorders>
          </w:tcPr>
          <w:p w14:paraId="5BCA3710" w14:textId="77777777" w:rsidR="006F0DAE" w:rsidRPr="00EA3458" w:rsidRDefault="006F0DAE" w:rsidP="0021604E">
            <w:pPr>
              <w:jc w:val="left"/>
              <w:rPr>
                <w:sz w:val="20"/>
              </w:rPr>
            </w:pPr>
            <w:r w:rsidRPr="00EA3458">
              <w:rPr>
                <w:sz w:val="20"/>
              </w:rPr>
              <w:t>16.00 (14.39, 17.61)</w:t>
            </w:r>
          </w:p>
        </w:tc>
        <w:tc>
          <w:tcPr>
            <w:tcW w:w="1134" w:type="dxa"/>
            <w:tcBorders>
              <w:top w:val="dotted" w:sz="4" w:space="0" w:color="auto"/>
              <w:bottom w:val="dotted" w:sz="4" w:space="0" w:color="auto"/>
            </w:tcBorders>
          </w:tcPr>
          <w:p w14:paraId="77AF52DA" w14:textId="6A640D81" w:rsidR="006F0DAE" w:rsidRPr="00EA3458" w:rsidRDefault="00000000" w:rsidP="0021604E">
            <w:pPr>
              <w:jc w:val="left"/>
              <w:rPr>
                <w:sz w:val="20"/>
              </w:rPr>
            </w:pPr>
            <w:hyperlink w:anchor="_ENREF_7" w:tooltip="Valerio, 2021 #7" w:history="1">
              <w:r w:rsidR="002565E6" w:rsidRPr="00EA3458">
                <w:rPr>
                  <w:sz w:val="20"/>
                </w:rPr>
                <w:fldChar w:fldCharType="begin">
                  <w:fldData xml:space="preserve">PEVuZE5vdGU+PENpdGU+PEF1dGhvcj5WYWxlcmlvPC9BdXRob3I+PFllYXI+MjAyMTwvWWVhcj48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</w:fldData>
                </w:fldChar>
              </w:r>
              <w:r w:rsidR="002565E6">
                <w:rPr>
                  <w:sz w:val="20"/>
                </w:rPr>
                <w:instrText xml:space="preserve"> ADDIN EN.CITE </w:instrText>
              </w:r>
              <w:r w:rsidR="002565E6">
                <w:rPr>
                  <w:sz w:val="20"/>
                </w:rPr>
                <w:fldChar w:fldCharType="begin">
                  <w:fldData xml:space="preserve">PEVuZE5vdGU+PENpdGU+PEF1dGhvcj5WYWxlcmlvPC9BdXRob3I+PFllYXI+MjAyMTwvWWVhcj48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</w:fldData>
                </w:fldChar>
              </w:r>
              <w:r w:rsidR="002565E6">
                <w:rPr>
                  <w:sz w:val="20"/>
                </w:rPr>
                <w:instrText xml:space="preserve"> ADDIN EN.CITE.DATA </w:instrText>
              </w:r>
              <w:r w:rsidR="002565E6">
                <w:rPr>
                  <w:sz w:val="20"/>
                </w:rPr>
              </w:r>
              <w:r w:rsidR="002565E6">
                <w:rPr>
                  <w:sz w:val="20"/>
                </w:rPr>
                <w:fldChar w:fldCharType="end"/>
              </w:r>
              <w:r w:rsidR="002565E6" w:rsidRPr="00EA3458">
                <w:rPr>
                  <w:sz w:val="20"/>
                </w:rPr>
              </w:r>
              <w:r w:rsidR="002565E6" w:rsidRPr="00EA3458">
                <w:rPr>
                  <w:sz w:val="20"/>
                </w:rPr>
                <w:fldChar w:fldCharType="separate"/>
              </w:r>
              <w:r w:rsidR="002565E6" w:rsidRPr="005531C9">
                <w:rPr>
                  <w:noProof/>
                  <w:sz w:val="20"/>
                  <w:vertAlign w:val="superscript"/>
                </w:rPr>
                <w:t>7</w:t>
              </w:r>
              <w:r w:rsidR="002565E6" w:rsidRPr="00EA3458">
                <w:rPr>
                  <w:sz w:val="20"/>
                </w:rPr>
                <w:fldChar w:fldCharType="end"/>
              </w:r>
            </w:hyperlink>
          </w:p>
        </w:tc>
        <w:tc>
          <w:tcPr>
            <w:tcW w:w="1984" w:type="dxa"/>
            <w:tcBorders>
              <w:top w:val="dotted" w:sz="4" w:space="0" w:color="auto"/>
              <w:bottom w:val="dotted" w:sz="4" w:space="0" w:color="auto"/>
            </w:tcBorders>
            <w:shd w:val="clear" w:color="auto" w:fill="E7E6E6" w:themeFill="background2"/>
          </w:tcPr>
          <w:p w14:paraId="1C0A6092" w14:textId="77777777" w:rsidR="006F0DAE" w:rsidRPr="00EA3458" w:rsidRDefault="006F0DAE" w:rsidP="0021604E">
            <w:pPr>
              <w:jc w:val="left"/>
              <w:rPr>
                <w:sz w:val="20"/>
              </w:rPr>
            </w:pPr>
          </w:p>
        </w:tc>
        <w:tc>
          <w:tcPr>
            <w:tcW w:w="993" w:type="dxa"/>
            <w:tcBorders>
              <w:top w:val="dotted" w:sz="4" w:space="0" w:color="auto"/>
              <w:bottom w:val="dotted" w:sz="4" w:space="0" w:color="auto"/>
            </w:tcBorders>
            <w:shd w:val="clear" w:color="auto" w:fill="E7E6E6" w:themeFill="background2"/>
          </w:tcPr>
          <w:p w14:paraId="55277FC1" w14:textId="77777777" w:rsidR="006F0DAE" w:rsidRPr="00EA3458" w:rsidRDefault="006F0DAE" w:rsidP="0021604E">
            <w:pPr>
              <w:jc w:val="left"/>
              <w:rPr>
                <w:sz w:val="20"/>
              </w:rPr>
            </w:pPr>
          </w:p>
        </w:tc>
      </w:tr>
      <w:tr w:rsidR="006F0DAE" w:rsidRPr="00EA3458" w14:paraId="1273C5A0" w14:textId="77777777" w:rsidTr="00CE03C3">
        <w:trPr>
          <w:trHeight w:val="953"/>
        </w:trPr>
        <w:tc>
          <w:tcPr>
            <w:tcW w:w="1413" w:type="dxa"/>
            <w:tcBorders>
              <w:top w:val="dotted" w:sz="4" w:space="0" w:color="auto"/>
            </w:tcBorders>
          </w:tcPr>
          <w:p w14:paraId="7292881C" w14:textId="77777777" w:rsidR="006F0DAE" w:rsidRPr="00EA3458" w:rsidRDefault="006F0DAE" w:rsidP="0021604E">
            <w:pPr>
              <w:jc w:val="left"/>
              <w:rPr>
                <w:b/>
                <w:bCs/>
                <w:sz w:val="20"/>
              </w:rPr>
            </w:pPr>
            <w:r w:rsidRPr="00EA3458">
              <w:rPr>
                <w:b/>
                <w:bCs/>
                <w:sz w:val="20"/>
              </w:rPr>
              <w:t>Median dose (mg/day)</w:t>
            </w:r>
          </w:p>
        </w:tc>
        <w:tc>
          <w:tcPr>
            <w:tcW w:w="1843" w:type="dxa"/>
            <w:tcBorders>
              <w:top w:val="dotted" w:sz="4" w:space="0" w:color="auto"/>
            </w:tcBorders>
          </w:tcPr>
          <w:p w14:paraId="7A7CA097" w14:textId="77777777" w:rsidR="006F0DAE" w:rsidRPr="00EA3458" w:rsidRDefault="006F0DAE" w:rsidP="0021604E">
            <w:pPr>
              <w:jc w:val="left"/>
              <w:rPr>
                <w:sz w:val="20"/>
                <w:highlight w:val="yellow"/>
              </w:rPr>
            </w:pPr>
            <w:r w:rsidRPr="00EA3458">
              <w:rPr>
                <w:sz w:val="20"/>
              </w:rPr>
              <w:t>75 (47, 75)</w:t>
            </w:r>
          </w:p>
        </w:tc>
        <w:tc>
          <w:tcPr>
            <w:tcW w:w="992" w:type="dxa"/>
            <w:tcBorders>
              <w:top w:val="dotted" w:sz="4" w:space="0" w:color="auto"/>
            </w:tcBorders>
          </w:tcPr>
          <w:p w14:paraId="1A29BBF7" w14:textId="7B925B3C" w:rsidR="006F0DAE" w:rsidRPr="00EA3458" w:rsidRDefault="006F0DAE" w:rsidP="0021604E">
            <w:pPr>
              <w:jc w:val="left"/>
              <w:rPr>
                <w:sz w:val="20"/>
              </w:rPr>
            </w:pPr>
            <w:r w:rsidRPr="00EA3458">
              <w:rPr>
                <w:sz w:val="20"/>
              </w:rPr>
              <w:fldChar w:fldCharType="begin">
                <w:fldData xml:space="preserve">dHJpYnV0b3JzPjxhdXRob3JzPjxhdXRob3I+VmFsZXJpbywgSC48L2F1dGhvcj48YXV0aG9yPkFs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</w:fldData>
              </w:fldChar>
            </w:r>
            <w:r w:rsidR="002565E6">
              <w:rPr>
                <w:sz w:val="20"/>
              </w:rPr>
              <w:instrText xml:space="preserve"> ADDIN EN.CITE </w:instrText>
            </w:r>
            <w:r w:rsidR="002565E6">
              <w:rPr>
                <w:sz w:val="20"/>
              </w:rPr>
              <w:fldChar w:fldCharType="begin">
                <w:fldData xml:space="preserve">PEVuZE5vdGU+PENpdGU+PEF1dGhvcj5IYWJlcjwvQXV0aG9yPjxZZWFyPjIwMTc8L1llYXI+PFJl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==
</w:fldData>
              </w:fldChar>
            </w:r>
            <w:r w:rsidR="002565E6">
              <w:rPr>
                <w:sz w:val="20"/>
              </w:rPr>
              <w:instrText xml:space="preserve"> ADDIN EN.CITE.DATA </w:instrText>
            </w:r>
            <w:r w:rsidR="002565E6">
              <w:rPr>
                <w:sz w:val="20"/>
              </w:rPr>
            </w:r>
            <w:r w:rsidR="002565E6">
              <w:rPr>
                <w:sz w:val="20"/>
              </w:rPr>
              <w:fldChar w:fldCharType="end"/>
            </w:r>
            <w:r w:rsidR="002565E6">
              <w:rPr>
                <w:sz w:val="20"/>
              </w:rPr>
              <w:fldChar w:fldCharType="begin">
                <w:fldData xml:space="preserve">aGFuYWhhbiwgTS48L2F1dGhvcj48YXV0aG9yPk1lbWVkb3ZpYywgUy48L2F1dGhvcj48YXV0aG9y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==
</w:fldData>
              </w:fldChar>
            </w:r>
            <w:r w:rsidR="002565E6">
              <w:rPr>
                <w:sz w:val="20"/>
              </w:rPr>
              <w:instrText xml:space="preserve"> ADDIN EN.CITE.DATA </w:instrText>
            </w:r>
            <w:r w:rsidR="002565E6">
              <w:rPr>
                <w:sz w:val="20"/>
              </w:rPr>
            </w:r>
            <w:r w:rsidR="002565E6">
              <w:rPr>
                <w:sz w:val="20"/>
              </w:rPr>
              <w:fldChar w:fldCharType="end"/>
            </w:r>
            <w:r w:rsidR="002565E6">
              <w:rPr>
                <w:sz w:val="20"/>
              </w:rPr>
              <w:fldChar w:fldCharType="begin">
                <w:fldData xml:space="preserve">dHJpYnV0b3JzPjxhdXRob3JzPjxhdXRob3I+VmFsZXJpbywgSC48L2F1dGhvcj48YXV0aG9yPkFs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</w:fldData>
              </w:fldChar>
            </w:r>
            <w:r w:rsidR="002565E6">
              <w:rPr>
                <w:sz w:val="20"/>
              </w:rPr>
              <w:instrText xml:space="preserve"> ADDIN EN.CITE.DATA </w:instrText>
            </w:r>
            <w:r w:rsidR="002565E6">
              <w:rPr>
                <w:sz w:val="20"/>
              </w:rPr>
            </w:r>
            <w:r w:rsidR="002565E6">
              <w:rPr>
                <w:sz w:val="20"/>
              </w:rPr>
              <w:fldChar w:fldCharType="end"/>
            </w:r>
            <w:r w:rsidRPr="00EA3458">
              <w:rPr>
                <w:sz w:val="20"/>
              </w:rPr>
            </w:r>
            <w:r w:rsidRPr="00EA3458">
              <w:rPr>
                <w:sz w:val="20"/>
              </w:rPr>
              <w:fldChar w:fldCharType="separate"/>
            </w:r>
            <w:hyperlink w:anchor="_ENREF_2" w:tooltip="Larance, 2020 #2" w:history="1">
              <w:r w:rsidR="002565E6" w:rsidRPr="002565E6">
                <w:rPr>
                  <w:noProof/>
                  <w:sz w:val="20"/>
                  <w:vertAlign w:val="superscript"/>
                </w:rPr>
                <w:t>2</w:t>
              </w:r>
            </w:hyperlink>
            <w:r w:rsidR="002565E6" w:rsidRPr="002565E6">
              <w:rPr>
                <w:noProof/>
                <w:sz w:val="20"/>
                <w:vertAlign w:val="superscript"/>
              </w:rPr>
              <w:t xml:space="preserve">, </w:t>
            </w:r>
            <w:hyperlink w:anchor="_ENREF_7" w:tooltip="Valerio, 2021 #7" w:history="1">
              <w:r w:rsidR="002565E6" w:rsidRPr="002565E6">
                <w:rPr>
                  <w:noProof/>
                  <w:sz w:val="20"/>
                  <w:vertAlign w:val="superscript"/>
                </w:rPr>
                <w:t>7</w:t>
              </w:r>
            </w:hyperlink>
            <w:r w:rsidR="002565E6" w:rsidRPr="002565E6">
              <w:rPr>
                <w:noProof/>
                <w:sz w:val="20"/>
                <w:vertAlign w:val="superscript"/>
              </w:rPr>
              <w:t xml:space="preserve">, </w:t>
            </w:r>
            <w:hyperlink w:anchor="_ENREF_79" w:tooltip="Haber, 2017 #3455" w:history="1">
              <w:r w:rsidR="002565E6" w:rsidRPr="002565E6">
                <w:rPr>
                  <w:noProof/>
                  <w:sz w:val="20"/>
                  <w:vertAlign w:val="superscript"/>
                </w:rPr>
                <w:t>79</w:t>
              </w:r>
            </w:hyperlink>
            <w:r w:rsidR="002565E6" w:rsidRPr="002565E6">
              <w:rPr>
                <w:noProof/>
                <w:sz w:val="20"/>
                <w:vertAlign w:val="superscript"/>
              </w:rPr>
              <w:t xml:space="preserve">, </w:t>
            </w:r>
            <w:hyperlink w:anchor="_ENREF_90" w:tooltip="Kelty, 2017 #3463" w:history="1">
              <w:r w:rsidR="002565E6" w:rsidRPr="002565E6">
                <w:rPr>
                  <w:noProof/>
                  <w:sz w:val="20"/>
                  <w:vertAlign w:val="superscript"/>
                </w:rPr>
                <w:t>90</w:t>
              </w:r>
            </w:hyperlink>
            <w:r w:rsidR="002565E6" w:rsidRPr="002565E6">
              <w:rPr>
                <w:noProof/>
                <w:sz w:val="20"/>
                <w:vertAlign w:val="superscript"/>
              </w:rPr>
              <w:t xml:space="preserve">, </w:t>
            </w:r>
            <w:hyperlink w:anchor="_ENREF_97" w:tooltip="Larney, 2016 #3469" w:history="1">
              <w:r w:rsidR="002565E6" w:rsidRPr="002565E6">
                <w:rPr>
                  <w:noProof/>
                  <w:sz w:val="20"/>
                  <w:vertAlign w:val="superscript"/>
                </w:rPr>
                <w:t>97</w:t>
              </w:r>
            </w:hyperlink>
            <w:r w:rsidRPr="00EA3458">
              <w:rPr>
                <w:sz w:val="20"/>
              </w:rPr>
              <w:fldChar w:fldCharType="end"/>
            </w:r>
          </w:p>
        </w:tc>
        <w:tc>
          <w:tcPr>
            <w:tcW w:w="1701" w:type="dxa"/>
            <w:tcBorders>
              <w:top w:val="dotted" w:sz="4" w:space="0" w:color="auto"/>
            </w:tcBorders>
          </w:tcPr>
          <w:p w14:paraId="4E1CB6FD" w14:textId="77777777" w:rsidR="006F0DAE" w:rsidRPr="00EA3458" w:rsidRDefault="006F0DAE" w:rsidP="0021604E">
            <w:pPr>
              <w:jc w:val="left"/>
              <w:rPr>
                <w:sz w:val="20"/>
              </w:rPr>
            </w:pPr>
            <w:r w:rsidRPr="00EA3458">
              <w:rPr>
                <w:sz w:val="20"/>
              </w:rPr>
              <w:t>13 (13, 16)</w:t>
            </w:r>
          </w:p>
        </w:tc>
        <w:tc>
          <w:tcPr>
            <w:tcW w:w="1134" w:type="dxa"/>
            <w:tcBorders>
              <w:top w:val="dotted" w:sz="4" w:space="0" w:color="auto"/>
            </w:tcBorders>
          </w:tcPr>
          <w:p w14:paraId="3EA4F3F5" w14:textId="2935E4B6" w:rsidR="006F0DAE" w:rsidRPr="00EA3458" w:rsidRDefault="006F0DAE" w:rsidP="0021604E">
            <w:pPr>
              <w:jc w:val="left"/>
              <w:rPr>
                <w:sz w:val="20"/>
              </w:rPr>
            </w:pPr>
            <w:r w:rsidRPr="00EA3458">
              <w:rPr>
                <w:sz w:val="20"/>
              </w:rPr>
              <w:fldChar w:fldCharType="begin">
                <w:fldData xml:space="preserve">b2x1bWU+MTgxPC92b2x1bWU+PGRhdGVzPjx5ZWFyPjIwMTc8L3llYXI+PC9kYXRlcz48cHVibGlz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</w:fldData>
              </w:fldChar>
            </w:r>
            <w:r w:rsidR="002565E6">
              <w:rPr>
                <w:sz w:val="20"/>
              </w:rPr>
              <w:instrText xml:space="preserve"> ADDIN EN.CITE </w:instrText>
            </w:r>
            <w:r w:rsidR="002565E6">
              <w:rPr>
                <w:sz w:val="20"/>
              </w:rPr>
              <w:fldChar w:fldCharType="begin">
                <w:fldData xml:space="preserve">PEVuZE5vdGU+PENpdGU+PEF1dGhvcj5IYWJlcjwvQXV0aG9yPjxZZWFyPjIwMTc8L1llYXI+PFJl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==
</w:fldData>
              </w:fldChar>
            </w:r>
            <w:r w:rsidR="002565E6">
              <w:rPr>
                <w:sz w:val="20"/>
              </w:rPr>
              <w:instrText xml:space="preserve"> ADDIN EN.CITE.DATA </w:instrText>
            </w:r>
            <w:r w:rsidR="002565E6">
              <w:rPr>
                <w:sz w:val="20"/>
              </w:rPr>
            </w:r>
            <w:r w:rsidR="002565E6">
              <w:rPr>
                <w:sz w:val="20"/>
              </w:rPr>
              <w:fldChar w:fldCharType="end"/>
            </w:r>
            <w:r w:rsidR="002565E6">
              <w:rPr>
                <w:sz w:val="20"/>
              </w:rPr>
              <w:fldChar w:fldCharType="begin">
                <w:fldData xml:space="preserve">PkVzcGlub3phLCBEYXZpZDwvYXV0aG9yPjxhdXRob3I+TGludHplcmlzLCBOaWNob2xhczwvYXV0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==
</w:fldData>
              </w:fldChar>
            </w:r>
            <w:r w:rsidR="002565E6">
              <w:rPr>
                <w:sz w:val="20"/>
              </w:rPr>
              <w:instrText xml:space="preserve"> ADDIN EN.CITE.DATA </w:instrText>
            </w:r>
            <w:r w:rsidR="002565E6">
              <w:rPr>
                <w:sz w:val="20"/>
              </w:rPr>
            </w:r>
            <w:r w:rsidR="002565E6">
              <w:rPr>
                <w:sz w:val="20"/>
              </w:rPr>
              <w:fldChar w:fldCharType="end"/>
            </w:r>
            <w:r w:rsidR="002565E6">
              <w:rPr>
                <w:sz w:val="20"/>
              </w:rPr>
              <w:fldChar w:fldCharType="begin">
                <w:fldData xml:space="preserve">b2x1bWU+MTgxPC92b2x1bWU+PGRhdGVzPjx5ZWFyPjIwMTc8L3llYXI+PC9kYXRlcz48cHVibGlz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</w:fldData>
              </w:fldChar>
            </w:r>
            <w:r w:rsidR="002565E6">
              <w:rPr>
                <w:sz w:val="20"/>
              </w:rPr>
              <w:instrText xml:space="preserve"> ADDIN EN.CITE.DATA </w:instrText>
            </w:r>
            <w:r w:rsidR="002565E6">
              <w:rPr>
                <w:sz w:val="20"/>
              </w:rPr>
            </w:r>
            <w:r w:rsidR="002565E6">
              <w:rPr>
                <w:sz w:val="20"/>
              </w:rPr>
              <w:fldChar w:fldCharType="end"/>
            </w:r>
            <w:r w:rsidRPr="00EA3458">
              <w:rPr>
                <w:sz w:val="20"/>
              </w:rPr>
            </w:r>
            <w:r w:rsidRPr="00EA3458">
              <w:rPr>
                <w:sz w:val="20"/>
              </w:rPr>
              <w:fldChar w:fldCharType="separate"/>
            </w:r>
            <w:hyperlink w:anchor="_ENREF_2" w:tooltip="Larance, 2020 #2" w:history="1">
              <w:r w:rsidR="002565E6" w:rsidRPr="002565E6">
                <w:rPr>
                  <w:noProof/>
                  <w:sz w:val="20"/>
                  <w:vertAlign w:val="superscript"/>
                </w:rPr>
                <w:t>2</w:t>
              </w:r>
            </w:hyperlink>
            <w:r w:rsidR="002565E6" w:rsidRPr="002565E6">
              <w:rPr>
                <w:noProof/>
                <w:sz w:val="20"/>
                <w:vertAlign w:val="superscript"/>
              </w:rPr>
              <w:t xml:space="preserve">, </w:t>
            </w:r>
            <w:hyperlink w:anchor="_ENREF_7" w:tooltip="Valerio, 2021 #7" w:history="1">
              <w:r w:rsidR="002565E6" w:rsidRPr="002565E6">
                <w:rPr>
                  <w:noProof/>
                  <w:sz w:val="20"/>
                  <w:vertAlign w:val="superscript"/>
                </w:rPr>
                <w:t>7</w:t>
              </w:r>
            </w:hyperlink>
            <w:r w:rsidR="002565E6" w:rsidRPr="002565E6">
              <w:rPr>
                <w:noProof/>
                <w:sz w:val="20"/>
                <w:vertAlign w:val="superscript"/>
              </w:rPr>
              <w:t xml:space="preserve">, </w:t>
            </w:r>
            <w:hyperlink w:anchor="_ENREF_79" w:tooltip="Haber, 2017 #3455" w:history="1">
              <w:r w:rsidR="002565E6" w:rsidRPr="002565E6">
                <w:rPr>
                  <w:noProof/>
                  <w:sz w:val="20"/>
                  <w:vertAlign w:val="superscript"/>
                </w:rPr>
                <w:t>79</w:t>
              </w:r>
            </w:hyperlink>
            <w:r w:rsidR="002565E6" w:rsidRPr="002565E6">
              <w:rPr>
                <w:noProof/>
                <w:sz w:val="20"/>
                <w:vertAlign w:val="superscript"/>
              </w:rPr>
              <w:t xml:space="preserve">, </w:t>
            </w:r>
            <w:hyperlink w:anchor="_ENREF_90" w:tooltip="Kelty, 2017 #3463" w:history="1">
              <w:r w:rsidR="002565E6" w:rsidRPr="002565E6">
                <w:rPr>
                  <w:noProof/>
                  <w:sz w:val="20"/>
                  <w:vertAlign w:val="superscript"/>
                </w:rPr>
                <w:t>90</w:t>
              </w:r>
            </w:hyperlink>
            <w:r w:rsidR="002565E6" w:rsidRPr="002565E6">
              <w:rPr>
                <w:noProof/>
                <w:sz w:val="20"/>
                <w:vertAlign w:val="superscript"/>
              </w:rPr>
              <w:t xml:space="preserve">, </w:t>
            </w:r>
            <w:hyperlink w:anchor="_ENREF_96" w:tooltip="Jamshidi, 2021 #3457" w:history="1">
              <w:r w:rsidR="002565E6" w:rsidRPr="002565E6">
                <w:rPr>
                  <w:noProof/>
                  <w:sz w:val="20"/>
                  <w:vertAlign w:val="superscript"/>
                </w:rPr>
                <w:t>96</w:t>
              </w:r>
            </w:hyperlink>
            <w:r w:rsidR="002565E6" w:rsidRPr="002565E6">
              <w:rPr>
                <w:noProof/>
                <w:sz w:val="20"/>
                <w:vertAlign w:val="superscript"/>
              </w:rPr>
              <w:t xml:space="preserve">, </w:t>
            </w:r>
            <w:hyperlink w:anchor="_ENREF_97" w:tooltip="Larney, 2016 #3469" w:history="1">
              <w:r w:rsidR="002565E6" w:rsidRPr="002565E6">
                <w:rPr>
                  <w:noProof/>
                  <w:sz w:val="20"/>
                  <w:vertAlign w:val="superscript"/>
                </w:rPr>
                <w:t>97</w:t>
              </w:r>
            </w:hyperlink>
            <w:r w:rsidRPr="00EA3458">
              <w:rPr>
                <w:sz w:val="20"/>
              </w:rPr>
              <w:fldChar w:fldCharType="end"/>
            </w:r>
          </w:p>
        </w:tc>
        <w:tc>
          <w:tcPr>
            <w:tcW w:w="1984" w:type="dxa"/>
            <w:tcBorders>
              <w:top w:val="dotted" w:sz="4" w:space="0" w:color="auto"/>
            </w:tcBorders>
            <w:shd w:val="clear" w:color="auto" w:fill="E7E6E6" w:themeFill="background2"/>
          </w:tcPr>
          <w:p w14:paraId="592FD4FF" w14:textId="77777777" w:rsidR="006F0DAE" w:rsidRPr="00EA3458" w:rsidRDefault="006F0DAE" w:rsidP="0021604E">
            <w:pPr>
              <w:jc w:val="left"/>
              <w:rPr>
                <w:sz w:val="20"/>
              </w:rPr>
            </w:pPr>
          </w:p>
        </w:tc>
        <w:tc>
          <w:tcPr>
            <w:tcW w:w="993" w:type="dxa"/>
            <w:tcBorders>
              <w:top w:val="dotted" w:sz="4" w:space="0" w:color="auto"/>
            </w:tcBorders>
            <w:shd w:val="clear" w:color="auto" w:fill="E7E6E6" w:themeFill="background2"/>
          </w:tcPr>
          <w:p w14:paraId="1B0B100F" w14:textId="77777777" w:rsidR="006F0DAE" w:rsidRPr="00EA3458" w:rsidRDefault="006F0DAE" w:rsidP="0021604E">
            <w:pPr>
              <w:jc w:val="left"/>
              <w:rPr>
                <w:sz w:val="20"/>
              </w:rPr>
            </w:pPr>
          </w:p>
        </w:tc>
      </w:tr>
    </w:tbl>
    <w:p w14:paraId="3F0CE7F8" w14:textId="289E1E98" w:rsidR="001C7C0F" w:rsidRPr="00AF7D24" w:rsidRDefault="006F0DAE" w:rsidP="00702162">
      <w:pPr>
        <w:rPr>
          <w:sz w:val="20"/>
        </w:rPr>
      </w:pPr>
      <w:r w:rsidRPr="00EA3458">
        <w:rPr>
          <w:sz w:val="20"/>
        </w:rPr>
        <w:t>Where applicable I</w:t>
      </w:r>
      <w:r w:rsidRPr="00EA3458">
        <w:rPr>
          <w:sz w:val="20"/>
          <w:vertAlign w:val="superscript"/>
        </w:rPr>
        <w:t xml:space="preserve">2 </w:t>
      </w:r>
      <w:r w:rsidRPr="00EA3458">
        <w:rPr>
          <w:sz w:val="20"/>
        </w:rPr>
        <w:t>= 0.0.</w:t>
      </w:r>
    </w:p>
    <w:p w14:paraId="19667190" w14:textId="09B98630" w:rsidR="002F31D5" w:rsidRDefault="002F31D5" w:rsidP="002F31D5">
      <w:pPr>
        <w:spacing w:after="0"/>
      </w:pPr>
      <w:r>
        <w:t>The distribution of doses in a small sample drawn from the ETHOS ENGAGE cohort shows that most consumers receiving LAIB report dosing monthly rather than weekly (Table 1</w:t>
      </w:r>
      <w:r w:rsidR="00156F80">
        <w:t>4</w:t>
      </w:r>
      <w:r>
        <w:t xml:space="preserve">). </w:t>
      </w:r>
    </w:p>
    <w:p w14:paraId="5DD75A61" w14:textId="77777777" w:rsidR="00981550" w:rsidRPr="00EA3458" w:rsidRDefault="00981550" w:rsidP="00981550">
      <w:pPr>
        <w:spacing w:after="0"/>
      </w:pPr>
    </w:p>
    <w:p w14:paraId="3F04F657" w14:textId="4B7860DC" w:rsidR="006F0DAE" w:rsidRPr="00EA3458" w:rsidRDefault="006F0DAE" w:rsidP="00DA0E77">
      <w:pPr>
        <w:pStyle w:val="Tables"/>
      </w:pPr>
      <w:bookmarkStart w:id="491" w:name="_Toc99542103"/>
      <w:bookmarkStart w:id="492" w:name="_Toc120183445"/>
      <w:bookmarkStart w:id="493" w:name="_Toc132823434"/>
      <w:r w:rsidRPr="00EA3458">
        <w:t xml:space="preserve">Table </w:t>
      </w:r>
      <w:r w:rsidR="002D5DBD" w:rsidRPr="00EA3458">
        <w:t>1</w:t>
      </w:r>
      <w:r w:rsidR="00156F80">
        <w:t>4</w:t>
      </w:r>
      <w:r w:rsidRPr="00EA3458">
        <w:t xml:space="preserve">. Dose distribution for </w:t>
      </w:r>
      <w:bookmarkEnd w:id="491"/>
      <w:r w:rsidR="00890963">
        <w:t xml:space="preserve">LAIB </w:t>
      </w:r>
      <w:r w:rsidRPr="00EA3458">
        <w:t>formulations</w:t>
      </w:r>
      <w:bookmarkEnd w:id="492"/>
      <w:bookmarkEnd w:id="493"/>
    </w:p>
    <w:tbl>
      <w:tblPr>
        <w:tblStyle w:val="TableGrid"/>
        <w:tblW w:w="9286" w:type="dxa"/>
        <w:tblInd w:w="0" w:type="dxa"/>
        <w:tblLook w:val="04A0" w:firstRow="1" w:lastRow="0" w:firstColumn="1" w:lastColumn="0" w:noHBand="0" w:noVBand="1"/>
      </w:tblPr>
      <w:tblGrid>
        <w:gridCol w:w="1745"/>
        <w:gridCol w:w="1321"/>
        <w:gridCol w:w="1741"/>
        <w:gridCol w:w="1319"/>
        <w:gridCol w:w="1840"/>
        <w:gridCol w:w="1320"/>
      </w:tblGrid>
      <w:tr w:rsidR="006F0DAE" w:rsidRPr="00EA3458" w14:paraId="7AD9F726" w14:textId="77777777" w:rsidTr="00CE03C3">
        <w:trPr>
          <w:trHeight w:val="279"/>
        </w:trPr>
        <w:tc>
          <w:tcPr>
            <w:tcW w:w="9286" w:type="dxa"/>
            <w:gridSpan w:val="6"/>
            <w:tcBorders>
              <w:bottom w:val="single" w:sz="4" w:space="0" w:color="auto"/>
            </w:tcBorders>
            <w:shd w:val="clear" w:color="auto" w:fill="D9D9D9" w:themeFill="background1" w:themeFillShade="D9"/>
            <w:vAlign w:val="center"/>
          </w:tcPr>
          <w:p w14:paraId="3C6B48F0" w14:textId="2D97C257" w:rsidR="006F0DAE" w:rsidRPr="00257F28" w:rsidRDefault="006F0DAE" w:rsidP="0021604E">
            <w:pPr>
              <w:jc w:val="left"/>
              <w:rPr>
                <w:b/>
                <w:bCs/>
                <w:sz w:val="20"/>
                <w:szCs w:val="20"/>
              </w:rPr>
            </w:pPr>
            <w:r w:rsidRPr="00257F28">
              <w:rPr>
                <w:b/>
                <w:bCs/>
                <w:sz w:val="20"/>
                <w:szCs w:val="20"/>
              </w:rPr>
              <w:t>ETHOS Engage (N=49)</w:t>
            </w:r>
            <w:hyperlink w:anchor="_ENREF_7" w:tooltip="Valerio, 2021 #7" w:history="1">
              <w:r w:rsidR="002565E6" w:rsidRPr="00257F28">
                <w:rPr>
                  <w:b/>
                  <w:bCs/>
                  <w:sz w:val="20"/>
                  <w:szCs w:val="20"/>
                </w:rPr>
                <w:fldChar w:fldCharType="begin">
                  <w:fldData xml:space="preserve">PEVuZE5vdGU+PENpdGU+PEF1dGhvcj5WYWxlcmlvPC9BdXRob3I+PFllYXI+MjAyMTwvWWVhcj48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</w:fldData>
                </w:fldChar>
              </w:r>
              <w:r w:rsidR="002565E6">
                <w:rPr>
                  <w:b/>
                  <w:bCs/>
                  <w:sz w:val="20"/>
                  <w:szCs w:val="20"/>
                </w:rPr>
                <w:instrText xml:space="preserve"> ADDIN EN.CITE </w:instrText>
              </w:r>
              <w:r w:rsidR="002565E6">
                <w:rPr>
                  <w:b/>
                  <w:bCs/>
                  <w:sz w:val="20"/>
                  <w:szCs w:val="20"/>
                </w:rPr>
                <w:fldChar w:fldCharType="begin">
                  <w:fldData xml:space="preserve">PEVuZE5vdGU+PENpdGU+PEF1dGhvcj5WYWxlcmlvPC9BdXRob3I+PFllYXI+MjAyMTwvWWVhcj48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</w:fldData>
                </w:fldChar>
              </w:r>
              <w:r w:rsidR="002565E6">
                <w:rPr>
                  <w:b/>
                  <w:bCs/>
                  <w:sz w:val="20"/>
                  <w:szCs w:val="20"/>
                </w:rPr>
                <w:instrText xml:space="preserve"> ADDIN EN.CITE.DATA </w:instrText>
              </w:r>
              <w:r w:rsidR="002565E6">
                <w:rPr>
                  <w:b/>
                  <w:bCs/>
                  <w:sz w:val="20"/>
                  <w:szCs w:val="20"/>
                </w:rPr>
              </w:r>
              <w:r w:rsidR="002565E6">
                <w:rPr>
                  <w:b/>
                  <w:bCs/>
                  <w:sz w:val="20"/>
                  <w:szCs w:val="20"/>
                </w:rPr>
                <w:fldChar w:fldCharType="end"/>
              </w:r>
              <w:r w:rsidR="002565E6" w:rsidRPr="00257F28">
                <w:rPr>
                  <w:b/>
                  <w:bCs/>
                  <w:sz w:val="20"/>
                  <w:szCs w:val="20"/>
                </w:rPr>
              </w:r>
              <w:r w:rsidR="002565E6" w:rsidRPr="00257F28">
                <w:rPr>
                  <w:b/>
                  <w:bCs/>
                  <w:sz w:val="20"/>
                  <w:szCs w:val="20"/>
                </w:rPr>
                <w:fldChar w:fldCharType="separate"/>
              </w:r>
              <w:r w:rsidR="002565E6" w:rsidRPr="005531C9">
                <w:rPr>
                  <w:b/>
                  <w:bCs/>
                  <w:noProof/>
                  <w:sz w:val="20"/>
                  <w:szCs w:val="20"/>
                  <w:vertAlign w:val="superscript"/>
                </w:rPr>
                <w:t>7</w:t>
              </w:r>
              <w:r w:rsidR="002565E6" w:rsidRPr="00257F28">
                <w:rPr>
                  <w:b/>
                  <w:bCs/>
                  <w:sz w:val="20"/>
                  <w:szCs w:val="20"/>
                </w:rPr>
                <w:fldChar w:fldCharType="end"/>
              </w:r>
            </w:hyperlink>
          </w:p>
        </w:tc>
      </w:tr>
      <w:tr w:rsidR="006F0DAE" w:rsidRPr="00EA3458" w14:paraId="49509B8A" w14:textId="77777777" w:rsidTr="00CE03C3">
        <w:trPr>
          <w:trHeight w:val="279"/>
        </w:trPr>
        <w:tc>
          <w:tcPr>
            <w:tcW w:w="6126" w:type="dxa"/>
            <w:gridSpan w:val="4"/>
            <w:tcBorders>
              <w:bottom w:val="single" w:sz="4" w:space="0" w:color="auto"/>
            </w:tcBorders>
            <w:shd w:val="clear" w:color="auto" w:fill="D9D9D9" w:themeFill="background1" w:themeFillShade="D9"/>
            <w:vAlign w:val="center"/>
          </w:tcPr>
          <w:p w14:paraId="16EB7673" w14:textId="77777777" w:rsidR="006F0DAE" w:rsidRPr="00257F28" w:rsidRDefault="006F0DAE" w:rsidP="0021604E">
            <w:pPr>
              <w:jc w:val="left"/>
              <w:rPr>
                <w:b/>
                <w:bCs/>
                <w:sz w:val="20"/>
                <w:szCs w:val="20"/>
              </w:rPr>
            </w:pPr>
            <w:r w:rsidRPr="00257F28">
              <w:rPr>
                <w:b/>
                <w:bCs/>
                <w:sz w:val="20"/>
                <w:szCs w:val="20"/>
              </w:rPr>
              <w:t>Buvidal</w:t>
            </w:r>
            <w:r w:rsidRPr="00257F28">
              <w:rPr>
                <w:sz w:val="20"/>
                <w:szCs w:val="20"/>
                <w:vertAlign w:val="superscript"/>
              </w:rPr>
              <w:t>®</w:t>
            </w:r>
            <w:r w:rsidRPr="00257F28">
              <w:rPr>
                <w:b/>
                <w:bCs/>
                <w:sz w:val="20"/>
                <w:szCs w:val="20"/>
              </w:rPr>
              <w:t xml:space="preserve"> (N=46, 94%)</w:t>
            </w:r>
          </w:p>
        </w:tc>
        <w:tc>
          <w:tcPr>
            <w:tcW w:w="3160" w:type="dxa"/>
            <w:gridSpan w:val="2"/>
            <w:vMerge w:val="restart"/>
            <w:tcBorders>
              <w:bottom w:val="dotted" w:sz="4" w:space="0" w:color="auto"/>
            </w:tcBorders>
            <w:shd w:val="clear" w:color="auto" w:fill="D9D9D9" w:themeFill="background1" w:themeFillShade="D9"/>
            <w:vAlign w:val="center"/>
          </w:tcPr>
          <w:p w14:paraId="622BE72D" w14:textId="77777777" w:rsidR="006F0DAE" w:rsidRPr="00257F28" w:rsidRDefault="006F0DAE" w:rsidP="0021604E">
            <w:pPr>
              <w:jc w:val="left"/>
              <w:rPr>
                <w:b/>
                <w:bCs/>
                <w:sz w:val="20"/>
                <w:szCs w:val="20"/>
              </w:rPr>
            </w:pPr>
            <w:r w:rsidRPr="00257F28">
              <w:rPr>
                <w:b/>
                <w:bCs/>
                <w:sz w:val="20"/>
                <w:szCs w:val="20"/>
              </w:rPr>
              <w:t>Sublocade</w:t>
            </w:r>
            <w:r w:rsidRPr="00257F28">
              <w:rPr>
                <w:sz w:val="20"/>
                <w:szCs w:val="20"/>
                <w:vertAlign w:val="superscript"/>
              </w:rPr>
              <w:t>®</w:t>
            </w:r>
            <w:r w:rsidRPr="00257F28">
              <w:rPr>
                <w:b/>
                <w:bCs/>
                <w:sz w:val="20"/>
                <w:szCs w:val="20"/>
              </w:rPr>
              <w:t xml:space="preserve"> (N=3, 6%)</w:t>
            </w:r>
          </w:p>
        </w:tc>
      </w:tr>
      <w:tr w:rsidR="006F0DAE" w:rsidRPr="00EA3458" w14:paraId="480923CF" w14:textId="77777777" w:rsidTr="00CE03C3">
        <w:trPr>
          <w:trHeight w:val="279"/>
        </w:trPr>
        <w:tc>
          <w:tcPr>
            <w:tcW w:w="3066" w:type="dxa"/>
            <w:gridSpan w:val="2"/>
            <w:tcBorders>
              <w:top w:val="single" w:sz="4" w:space="0" w:color="auto"/>
              <w:bottom w:val="single" w:sz="4" w:space="0" w:color="auto"/>
            </w:tcBorders>
            <w:shd w:val="clear" w:color="auto" w:fill="D9D9D9" w:themeFill="background1" w:themeFillShade="D9"/>
            <w:vAlign w:val="center"/>
          </w:tcPr>
          <w:p w14:paraId="346BD014" w14:textId="77777777" w:rsidR="006F0DAE" w:rsidRPr="00257F28" w:rsidRDefault="006F0DAE" w:rsidP="0021604E">
            <w:pPr>
              <w:jc w:val="left"/>
              <w:rPr>
                <w:b/>
                <w:sz w:val="20"/>
                <w:szCs w:val="20"/>
              </w:rPr>
            </w:pPr>
            <w:r w:rsidRPr="00257F28">
              <w:rPr>
                <w:b/>
                <w:sz w:val="20"/>
                <w:szCs w:val="20"/>
              </w:rPr>
              <w:t>Buvidal</w:t>
            </w:r>
            <w:r w:rsidRPr="00257F28">
              <w:rPr>
                <w:sz w:val="20"/>
                <w:szCs w:val="20"/>
                <w:vertAlign w:val="superscript"/>
              </w:rPr>
              <w:t>®</w:t>
            </w:r>
            <w:r w:rsidRPr="00257F28">
              <w:rPr>
                <w:b/>
                <w:sz w:val="20"/>
                <w:szCs w:val="20"/>
              </w:rPr>
              <w:t xml:space="preserve"> Weekly (N=11, 22%)</w:t>
            </w:r>
          </w:p>
        </w:tc>
        <w:tc>
          <w:tcPr>
            <w:tcW w:w="3060" w:type="dxa"/>
            <w:gridSpan w:val="2"/>
            <w:tcBorders>
              <w:top w:val="single" w:sz="4" w:space="0" w:color="auto"/>
              <w:bottom w:val="single" w:sz="4" w:space="0" w:color="auto"/>
            </w:tcBorders>
            <w:shd w:val="clear" w:color="auto" w:fill="D9D9D9" w:themeFill="background1" w:themeFillShade="D9"/>
            <w:vAlign w:val="center"/>
          </w:tcPr>
          <w:p w14:paraId="271A6C07" w14:textId="77777777" w:rsidR="006F0DAE" w:rsidRPr="00257F28" w:rsidRDefault="006F0DAE" w:rsidP="0021604E">
            <w:pPr>
              <w:jc w:val="left"/>
              <w:rPr>
                <w:b/>
                <w:sz w:val="20"/>
                <w:szCs w:val="20"/>
              </w:rPr>
            </w:pPr>
            <w:r w:rsidRPr="00257F28">
              <w:rPr>
                <w:b/>
                <w:sz w:val="20"/>
                <w:szCs w:val="20"/>
              </w:rPr>
              <w:t>Buvidal</w:t>
            </w:r>
            <w:r w:rsidRPr="00257F28">
              <w:rPr>
                <w:sz w:val="20"/>
                <w:szCs w:val="20"/>
                <w:vertAlign w:val="superscript"/>
              </w:rPr>
              <w:t>®</w:t>
            </w:r>
            <w:r w:rsidRPr="00257F28">
              <w:rPr>
                <w:b/>
                <w:sz w:val="20"/>
                <w:szCs w:val="20"/>
              </w:rPr>
              <w:t xml:space="preserve"> Monthly (N=35, 71%)</w:t>
            </w:r>
          </w:p>
        </w:tc>
        <w:tc>
          <w:tcPr>
            <w:tcW w:w="3160" w:type="dxa"/>
            <w:gridSpan w:val="2"/>
            <w:vMerge/>
            <w:tcBorders>
              <w:top w:val="dotted" w:sz="4" w:space="0" w:color="auto"/>
              <w:bottom w:val="single" w:sz="4" w:space="0" w:color="auto"/>
            </w:tcBorders>
          </w:tcPr>
          <w:p w14:paraId="3BAF1D70" w14:textId="77777777" w:rsidR="006F0DAE" w:rsidRPr="00257F28" w:rsidRDefault="006F0DAE" w:rsidP="0021604E">
            <w:pPr>
              <w:jc w:val="left"/>
              <w:rPr>
                <w:sz w:val="20"/>
                <w:szCs w:val="20"/>
              </w:rPr>
            </w:pPr>
          </w:p>
        </w:tc>
      </w:tr>
      <w:tr w:rsidR="006F0DAE" w:rsidRPr="00EA3458" w14:paraId="4650D566" w14:textId="77777777" w:rsidTr="00CE03C3">
        <w:trPr>
          <w:trHeight w:val="291"/>
        </w:trPr>
        <w:tc>
          <w:tcPr>
            <w:tcW w:w="1745" w:type="dxa"/>
            <w:tcBorders>
              <w:top w:val="single" w:sz="4" w:space="0" w:color="auto"/>
              <w:bottom w:val="dotted" w:sz="4" w:space="0" w:color="auto"/>
            </w:tcBorders>
          </w:tcPr>
          <w:p w14:paraId="21AF990A" w14:textId="77777777" w:rsidR="006F0DAE" w:rsidRPr="00257F28" w:rsidRDefault="006F0DAE" w:rsidP="0021604E">
            <w:pPr>
              <w:jc w:val="left"/>
              <w:rPr>
                <w:b/>
                <w:sz w:val="20"/>
                <w:szCs w:val="20"/>
              </w:rPr>
            </w:pPr>
            <w:r w:rsidRPr="00257F28">
              <w:rPr>
                <w:b/>
                <w:sz w:val="20"/>
                <w:szCs w:val="20"/>
              </w:rPr>
              <w:t>16mg</w:t>
            </w:r>
          </w:p>
        </w:tc>
        <w:tc>
          <w:tcPr>
            <w:tcW w:w="1321" w:type="dxa"/>
            <w:tcBorders>
              <w:top w:val="single" w:sz="4" w:space="0" w:color="auto"/>
              <w:bottom w:val="dotted" w:sz="4" w:space="0" w:color="auto"/>
            </w:tcBorders>
          </w:tcPr>
          <w:p w14:paraId="688ECA21" w14:textId="77777777" w:rsidR="006F0DAE" w:rsidRPr="00257F28" w:rsidRDefault="006F0DAE" w:rsidP="0021604E">
            <w:pPr>
              <w:jc w:val="left"/>
              <w:rPr>
                <w:sz w:val="20"/>
                <w:szCs w:val="20"/>
              </w:rPr>
            </w:pPr>
            <w:r w:rsidRPr="00257F28">
              <w:rPr>
                <w:sz w:val="20"/>
                <w:szCs w:val="20"/>
              </w:rPr>
              <w:t>2 (18%)</w:t>
            </w:r>
          </w:p>
        </w:tc>
        <w:tc>
          <w:tcPr>
            <w:tcW w:w="1741" w:type="dxa"/>
            <w:tcBorders>
              <w:top w:val="single" w:sz="4" w:space="0" w:color="auto"/>
              <w:bottom w:val="dotted" w:sz="4" w:space="0" w:color="auto"/>
            </w:tcBorders>
          </w:tcPr>
          <w:p w14:paraId="48ED485A" w14:textId="77777777" w:rsidR="006F0DAE" w:rsidRPr="00257F28" w:rsidRDefault="006F0DAE" w:rsidP="0021604E">
            <w:pPr>
              <w:jc w:val="left"/>
              <w:rPr>
                <w:b/>
                <w:sz w:val="20"/>
                <w:szCs w:val="20"/>
              </w:rPr>
            </w:pPr>
            <w:r w:rsidRPr="00257F28">
              <w:rPr>
                <w:b/>
                <w:sz w:val="20"/>
                <w:szCs w:val="20"/>
              </w:rPr>
              <w:t>64mg</w:t>
            </w:r>
          </w:p>
        </w:tc>
        <w:tc>
          <w:tcPr>
            <w:tcW w:w="1319" w:type="dxa"/>
            <w:tcBorders>
              <w:top w:val="single" w:sz="4" w:space="0" w:color="auto"/>
              <w:bottom w:val="dotted" w:sz="4" w:space="0" w:color="auto"/>
            </w:tcBorders>
          </w:tcPr>
          <w:p w14:paraId="51FD81E8" w14:textId="77777777" w:rsidR="006F0DAE" w:rsidRPr="00257F28" w:rsidRDefault="006F0DAE" w:rsidP="0021604E">
            <w:pPr>
              <w:jc w:val="left"/>
              <w:rPr>
                <w:sz w:val="20"/>
                <w:szCs w:val="20"/>
              </w:rPr>
            </w:pPr>
            <w:r w:rsidRPr="00257F28">
              <w:rPr>
                <w:sz w:val="20"/>
                <w:szCs w:val="20"/>
              </w:rPr>
              <w:t>9 (26%)</w:t>
            </w:r>
          </w:p>
        </w:tc>
        <w:tc>
          <w:tcPr>
            <w:tcW w:w="1840" w:type="dxa"/>
            <w:tcBorders>
              <w:top w:val="single" w:sz="4" w:space="0" w:color="auto"/>
              <w:bottom w:val="dotted" w:sz="4" w:space="0" w:color="auto"/>
            </w:tcBorders>
          </w:tcPr>
          <w:p w14:paraId="056D79A0" w14:textId="77777777" w:rsidR="006F0DAE" w:rsidRPr="00257F28" w:rsidRDefault="006F0DAE" w:rsidP="0021604E">
            <w:pPr>
              <w:jc w:val="left"/>
              <w:rPr>
                <w:b/>
                <w:sz w:val="20"/>
                <w:szCs w:val="20"/>
              </w:rPr>
            </w:pPr>
            <w:r w:rsidRPr="00257F28">
              <w:rPr>
                <w:b/>
                <w:sz w:val="20"/>
                <w:szCs w:val="20"/>
              </w:rPr>
              <w:t>100mg</w:t>
            </w:r>
          </w:p>
        </w:tc>
        <w:tc>
          <w:tcPr>
            <w:tcW w:w="1320" w:type="dxa"/>
            <w:tcBorders>
              <w:top w:val="single" w:sz="4" w:space="0" w:color="auto"/>
              <w:bottom w:val="dotted" w:sz="4" w:space="0" w:color="auto"/>
            </w:tcBorders>
          </w:tcPr>
          <w:p w14:paraId="53DFA885" w14:textId="77777777" w:rsidR="006F0DAE" w:rsidRPr="00257F28" w:rsidRDefault="006F0DAE" w:rsidP="0021604E">
            <w:pPr>
              <w:jc w:val="left"/>
              <w:rPr>
                <w:sz w:val="20"/>
                <w:szCs w:val="20"/>
              </w:rPr>
            </w:pPr>
            <w:r w:rsidRPr="00257F28">
              <w:rPr>
                <w:sz w:val="20"/>
                <w:szCs w:val="20"/>
              </w:rPr>
              <w:t>2 (67%)</w:t>
            </w:r>
          </w:p>
        </w:tc>
      </w:tr>
      <w:tr w:rsidR="006F0DAE" w:rsidRPr="00EA3458" w14:paraId="17AF81B6" w14:textId="77777777" w:rsidTr="00CE03C3">
        <w:trPr>
          <w:trHeight w:val="279"/>
        </w:trPr>
        <w:tc>
          <w:tcPr>
            <w:tcW w:w="1745" w:type="dxa"/>
            <w:tcBorders>
              <w:top w:val="dotted" w:sz="4" w:space="0" w:color="auto"/>
              <w:bottom w:val="dotted" w:sz="4" w:space="0" w:color="auto"/>
            </w:tcBorders>
          </w:tcPr>
          <w:p w14:paraId="26179727" w14:textId="77777777" w:rsidR="006F0DAE" w:rsidRPr="00257F28" w:rsidRDefault="006F0DAE" w:rsidP="0021604E">
            <w:pPr>
              <w:jc w:val="left"/>
              <w:rPr>
                <w:b/>
                <w:sz w:val="20"/>
                <w:szCs w:val="20"/>
              </w:rPr>
            </w:pPr>
            <w:r w:rsidRPr="00257F28">
              <w:rPr>
                <w:b/>
                <w:sz w:val="20"/>
                <w:szCs w:val="20"/>
              </w:rPr>
              <w:t>24mg</w:t>
            </w:r>
          </w:p>
        </w:tc>
        <w:tc>
          <w:tcPr>
            <w:tcW w:w="1321" w:type="dxa"/>
            <w:tcBorders>
              <w:top w:val="dotted" w:sz="4" w:space="0" w:color="auto"/>
              <w:bottom w:val="dotted" w:sz="4" w:space="0" w:color="auto"/>
            </w:tcBorders>
          </w:tcPr>
          <w:p w14:paraId="720E78A0" w14:textId="77777777" w:rsidR="006F0DAE" w:rsidRPr="00257F28" w:rsidRDefault="006F0DAE" w:rsidP="0021604E">
            <w:pPr>
              <w:jc w:val="left"/>
              <w:rPr>
                <w:sz w:val="20"/>
                <w:szCs w:val="20"/>
              </w:rPr>
            </w:pPr>
            <w:r w:rsidRPr="00257F28">
              <w:rPr>
                <w:sz w:val="20"/>
                <w:szCs w:val="20"/>
              </w:rPr>
              <w:t>4 (36%)</w:t>
            </w:r>
          </w:p>
        </w:tc>
        <w:tc>
          <w:tcPr>
            <w:tcW w:w="1741" w:type="dxa"/>
            <w:tcBorders>
              <w:top w:val="dotted" w:sz="4" w:space="0" w:color="auto"/>
              <w:bottom w:val="dotted" w:sz="4" w:space="0" w:color="auto"/>
            </w:tcBorders>
          </w:tcPr>
          <w:p w14:paraId="30367A94" w14:textId="77777777" w:rsidR="006F0DAE" w:rsidRPr="00257F28" w:rsidRDefault="006F0DAE" w:rsidP="0021604E">
            <w:pPr>
              <w:jc w:val="left"/>
              <w:rPr>
                <w:b/>
                <w:sz w:val="20"/>
                <w:szCs w:val="20"/>
              </w:rPr>
            </w:pPr>
            <w:r w:rsidRPr="00257F28">
              <w:rPr>
                <w:b/>
                <w:sz w:val="20"/>
                <w:szCs w:val="20"/>
              </w:rPr>
              <w:t>96mg</w:t>
            </w:r>
          </w:p>
        </w:tc>
        <w:tc>
          <w:tcPr>
            <w:tcW w:w="1319" w:type="dxa"/>
            <w:tcBorders>
              <w:top w:val="dotted" w:sz="4" w:space="0" w:color="auto"/>
              <w:bottom w:val="dotted" w:sz="4" w:space="0" w:color="auto"/>
            </w:tcBorders>
          </w:tcPr>
          <w:p w14:paraId="35093B56" w14:textId="77777777" w:rsidR="006F0DAE" w:rsidRPr="00257F28" w:rsidRDefault="006F0DAE" w:rsidP="0021604E">
            <w:pPr>
              <w:jc w:val="left"/>
              <w:rPr>
                <w:sz w:val="20"/>
                <w:szCs w:val="20"/>
              </w:rPr>
            </w:pPr>
            <w:r w:rsidRPr="00257F28">
              <w:rPr>
                <w:sz w:val="20"/>
                <w:szCs w:val="20"/>
              </w:rPr>
              <w:t>7 (20%)</w:t>
            </w:r>
          </w:p>
        </w:tc>
        <w:tc>
          <w:tcPr>
            <w:tcW w:w="1840" w:type="dxa"/>
            <w:tcBorders>
              <w:top w:val="dotted" w:sz="4" w:space="0" w:color="auto"/>
              <w:bottom w:val="dotted" w:sz="4" w:space="0" w:color="auto"/>
            </w:tcBorders>
          </w:tcPr>
          <w:p w14:paraId="3E36153B" w14:textId="77777777" w:rsidR="006F0DAE" w:rsidRPr="00257F28" w:rsidRDefault="006F0DAE" w:rsidP="0021604E">
            <w:pPr>
              <w:jc w:val="left"/>
              <w:rPr>
                <w:b/>
                <w:sz w:val="20"/>
                <w:szCs w:val="20"/>
              </w:rPr>
            </w:pPr>
            <w:r w:rsidRPr="00257F28">
              <w:rPr>
                <w:b/>
                <w:sz w:val="20"/>
                <w:szCs w:val="20"/>
              </w:rPr>
              <w:t>300mg</w:t>
            </w:r>
          </w:p>
        </w:tc>
        <w:tc>
          <w:tcPr>
            <w:tcW w:w="1320" w:type="dxa"/>
            <w:tcBorders>
              <w:top w:val="dotted" w:sz="4" w:space="0" w:color="auto"/>
              <w:bottom w:val="dotted" w:sz="4" w:space="0" w:color="auto"/>
            </w:tcBorders>
          </w:tcPr>
          <w:p w14:paraId="3BD93ABF" w14:textId="77777777" w:rsidR="006F0DAE" w:rsidRPr="00257F28" w:rsidRDefault="006F0DAE" w:rsidP="0021604E">
            <w:pPr>
              <w:jc w:val="left"/>
              <w:rPr>
                <w:sz w:val="20"/>
                <w:szCs w:val="20"/>
              </w:rPr>
            </w:pPr>
            <w:r w:rsidRPr="00257F28">
              <w:rPr>
                <w:sz w:val="20"/>
                <w:szCs w:val="20"/>
              </w:rPr>
              <w:t>1 (33%)</w:t>
            </w:r>
          </w:p>
        </w:tc>
      </w:tr>
      <w:tr w:rsidR="006F0DAE" w:rsidRPr="00EA3458" w14:paraId="2186B5EF" w14:textId="77777777" w:rsidTr="00CE03C3">
        <w:trPr>
          <w:trHeight w:val="279"/>
        </w:trPr>
        <w:tc>
          <w:tcPr>
            <w:tcW w:w="1745" w:type="dxa"/>
            <w:tcBorders>
              <w:top w:val="dotted" w:sz="4" w:space="0" w:color="auto"/>
              <w:bottom w:val="dotted" w:sz="4" w:space="0" w:color="auto"/>
            </w:tcBorders>
          </w:tcPr>
          <w:p w14:paraId="430FF22B" w14:textId="77777777" w:rsidR="006F0DAE" w:rsidRPr="00257F28" w:rsidRDefault="006F0DAE" w:rsidP="0021604E">
            <w:pPr>
              <w:jc w:val="left"/>
              <w:rPr>
                <w:b/>
                <w:sz w:val="20"/>
                <w:szCs w:val="20"/>
              </w:rPr>
            </w:pPr>
            <w:r w:rsidRPr="00257F28">
              <w:rPr>
                <w:b/>
                <w:sz w:val="20"/>
                <w:szCs w:val="20"/>
              </w:rPr>
              <w:t>32mg</w:t>
            </w:r>
          </w:p>
        </w:tc>
        <w:tc>
          <w:tcPr>
            <w:tcW w:w="1321" w:type="dxa"/>
            <w:tcBorders>
              <w:top w:val="dotted" w:sz="4" w:space="0" w:color="auto"/>
              <w:bottom w:val="dotted" w:sz="4" w:space="0" w:color="auto"/>
            </w:tcBorders>
          </w:tcPr>
          <w:p w14:paraId="55CA274C" w14:textId="77777777" w:rsidR="006F0DAE" w:rsidRPr="00257F28" w:rsidRDefault="006F0DAE" w:rsidP="0021604E">
            <w:pPr>
              <w:jc w:val="left"/>
              <w:rPr>
                <w:sz w:val="20"/>
                <w:szCs w:val="20"/>
              </w:rPr>
            </w:pPr>
            <w:r w:rsidRPr="00257F28">
              <w:rPr>
                <w:sz w:val="20"/>
                <w:szCs w:val="20"/>
              </w:rPr>
              <w:t>3 (27%)</w:t>
            </w:r>
          </w:p>
        </w:tc>
        <w:tc>
          <w:tcPr>
            <w:tcW w:w="1741" w:type="dxa"/>
            <w:tcBorders>
              <w:top w:val="dotted" w:sz="4" w:space="0" w:color="auto"/>
              <w:bottom w:val="dotted" w:sz="4" w:space="0" w:color="auto"/>
            </w:tcBorders>
          </w:tcPr>
          <w:p w14:paraId="475279FB" w14:textId="77777777" w:rsidR="006F0DAE" w:rsidRPr="00257F28" w:rsidRDefault="006F0DAE" w:rsidP="0021604E">
            <w:pPr>
              <w:jc w:val="left"/>
              <w:rPr>
                <w:b/>
                <w:sz w:val="20"/>
                <w:szCs w:val="20"/>
              </w:rPr>
            </w:pPr>
            <w:r w:rsidRPr="00257F28">
              <w:rPr>
                <w:b/>
                <w:sz w:val="20"/>
                <w:szCs w:val="20"/>
              </w:rPr>
              <w:t>128mg</w:t>
            </w:r>
          </w:p>
        </w:tc>
        <w:tc>
          <w:tcPr>
            <w:tcW w:w="1319" w:type="dxa"/>
            <w:tcBorders>
              <w:top w:val="dotted" w:sz="4" w:space="0" w:color="auto"/>
              <w:bottom w:val="dotted" w:sz="4" w:space="0" w:color="auto"/>
            </w:tcBorders>
          </w:tcPr>
          <w:p w14:paraId="421E7730" w14:textId="77777777" w:rsidR="006F0DAE" w:rsidRPr="00257F28" w:rsidRDefault="006F0DAE" w:rsidP="0021604E">
            <w:pPr>
              <w:jc w:val="left"/>
              <w:rPr>
                <w:sz w:val="20"/>
                <w:szCs w:val="20"/>
              </w:rPr>
            </w:pPr>
            <w:r w:rsidRPr="00257F28">
              <w:rPr>
                <w:sz w:val="20"/>
                <w:szCs w:val="20"/>
              </w:rPr>
              <w:t>12 (34%)</w:t>
            </w:r>
          </w:p>
        </w:tc>
        <w:tc>
          <w:tcPr>
            <w:tcW w:w="1840" w:type="dxa"/>
            <w:tcBorders>
              <w:top w:val="dotted" w:sz="4" w:space="0" w:color="auto"/>
              <w:bottom w:val="dotted" w:sz="4" w:space="0" w:color="auto"/>
            </w:tcBorders>
          </w:tcPr>
          <w:p w14:paraId="25CF4095" w14:textId="77777777" w:rsidR="006F0DAE" w:rsidRPr="00257F28" w:rsidRDefault="006F0DAE" w:rsidP="0021604E">
            <w:pPr>
              <w:jc w:val="left"/>
              <w:rPr>
                <w:sz w:val="20"/>
                <w:szCs w:val="20"/>
              </w:rPr>
            </w:pPr>
          </w:p>
        </w:tc>
        <w:tc>
          <w:tcPr>
            <w:tcW w:w="1320" w:type="dxa"/>
            <w:tcBorders>
              <w:top w:val="dotted" w:sz="4" w:space="0" w:color="auto"/>
              <w:bottom w:val="dotted" w:sz="4" w:space="0" w:color="auto"/>
            </w:tcBorders>
          </w:tcPr>
          <w:p w14:paraId="1AED6D4C" w14:textId="77777777" w:rsidR="006F0DAE" w:rsidRPr="00257F28" w:rsidRDefault="006F0DAE" w:rsidP="0021604E">
            <w:pPr>
              <w:jc w:val="left"/>
              <w:rPr>
                <w:sz w:val="20"/>
                <w:szCs w:val="20"/>
              </w:rPr>
            </w:pPr>
          </w:p>
        </w:tc>
      </w:tr>
      <w:tr w:rsidR="006F0DAE" w:rsidRPr="00EA3458" w14:paraId="022F627D" w14:textId="77777777" w:rsidTr="00CE03C3">
        <w:trPr>
          <w:trHeight w:val="279"/>
        </w:trPr>
        <w:tc>
          <w:tcPr>
            <w:tcW w:w="1745" w:type="dxa"/>
            <w:tcBorders>
              <w:top w:val="dotted" w:sz="4" w:space="0" w:color="auto"/>
            </w:tcBorders>
          </w:tcPr>
          <w:p w14:paraId="47FE4394" w14:textId="77777777" w:rsidR="006F0DAE" w:rsidRPr="00257F28" w:rsidRDefault="006F0DAE" w:rsidP="0021604E">
            <w:pPr>
              <w:jc w:val="left"/>
              <w:rPr>
                <w:b/>
                <w:sz w:val="20"/>
                <w:szCs w:val="20"/>
              </w:rPr>
            </w:pPr>
            <w:r w:rsidRPr="00257F28">
              <w:rPr>
                <w:b/>
                <w:sz w:val="20"/>
                <w:szCs w:val="20"/>
              </w:rPr>
              <w:t>Unknown</w:t>
            </w:r>
          </w:p>
        </w:tc>
        <w:tc>
          <w:tcPr>
            <w:tcW w:w="1321" w:type="dxa"/>
            <w:tcBorders>
              <w:top w:val="dotted" w:sz="4" w:space="0" w:color="auto"/>
            </w:tcBorders>
          </w:tcPr>
          <w:p w14:paraId="00734FA0" w14:textId="77777777" w:rsidR="006F0DAE" w:rsidRPr="00257F28" w:rsidRDefault="006F0DAE" w:rsidP="0021604E">
            <w:pPr>
              <w:jc w:val="left"/>
              <w:rPr>
                <w:sz w:val="20"/>
                <w:szCs w:val="20"/>
              </w:rPr>
            </w:pPr>
            <w:r w:rsidRPr="00257F28">
              <w:rPr>
                <w:sz w:val="20"/>
                <w:szCs w:val="20"/>
              </w:rPr>
              <w:t>2 (18%)</w:t>
            </w:r>
          </w:p>
        </w:tc>
        <w:tc>
          <w:tcPr>
            <w:tcW w:w="1741" w:type="dxa"/>
            <w:tcBorders>
              <w:top w:val="dotted" w:sz="4" w:space="0" w:color="auto"/>
            </w:tcBorders>
          </w:tcPr>
          <w:p w14:paraId="62C24BD8" w14:textId="77777777" w:rsidR="006F0DAE" w:rsidRPr="00257F28" w:rsidRDefault="006F0DAE" w:rsidP="0021604E">
            <w:pPr>
              <w:jc w:val="left"/>
              <w:rPr>
                <w:b/>
                <w:sz w:val="20"/>
                <w:szCs w:val="20"/>
              </w:rPr>
            </w:pPr>
            <w:r w:rsidRPr="00257F28">
              <w:rPr>
                <w:b/>
                <w:sz w:val="20"/>
                <w:szCs w:val="20"/>
              </w:rPr>
              <w:t>Unknown</w:t>
            </w:r>
          </w:p>
        </w:tc>
        <w:tc>
          <w:tcPr>
            <w:tcW w:w="1319" w:type="dxa"/>
            <w:tcBorders>
              <w:top w:val="dotted" w:sz="4" w:space="0" w:color="auto"/>
            </w:tcBorders>
          </w:tcPr>
          <w:p w14:paraId="52E48971" w14:textId="77777777" w:rsidR="006F0DAE" w:rsidRPr="00257F28" w:rsidRDefault="006F0DAE" w:rsidP="0021604E">
            <w:pPr>
              <w:jc w:val="left"/>
              <w:rPr>
                <w:sz w:val="20"/>
                <w:szCs w:val="20"/>
              </w:rPr>
            </w:pPr>
            <w:r w:rsidRPr="00257F28">
              <w:rPr>
                <w:sz w:val="20"/>
                <w:szCs w:val="20"/>
              </w:rPr>
              <w:t>7 (20%)</w:t>
            </w:r>
          </w:p>
        </w:tc>
        <w:tc>
          <w:tcPr>
            <w:tcW w:w="1840" w:type="dxa"/>
            <w:tcBorders>
              <w:top w:val="dotted" w:sz="4" w:space="0" w:color="auto"/>
            </w:tcBorders>
          </w:tcPr>
          <w:p w14:paraId="24798F8A" w14:textId="77777777" w:rsidR="006F0DAE" w:rsidRPr="00257F28" w:rsidRDefault="006F0DAE" w:rsidP="0021604E">
            <w:pPr>
              <w:jc w:val="left"/>
              <w:rPr>
                <w:sz w:val="20"/>
                <w:szCs w:val="20"/>
              </w:rPr>
            </w:pPr>
          </w:p>
        </w:tc>
        <w:tc>
          <w:tcPr>
            <w:tcW w:w="1320" w:type="dxa"/>
            <w:tcBorders>
              <w:top w:val="dotted" w:sz="4" w:space="0" w:color="auto"/>
            </w:tcBorders>
          </w:tcPr>
          <w:p w14:paraId="668472A7" w14:textId="77777777" w:rsidR="006F0DAE" w:rsidRPr="00257F28" w:rsidRDefault="006F0DAE" w:rsidP="0021604E">
            <w:pPr>
              <w:jc w:val="left"/>
              <w:rPr>
                <w:sz w:val="20"/>
                <w:szCs w:val="20"/>
              </w:rPr>
            </w:pPr>
          </w:p>
        </w:tc>
      </w:tr>
    </w:tbl>
    <w:p w14:paraId="6EE20583" w14:textId="6A251CFC" w:rsidR="006F0DAE" w:rsidRDefault="006F0DAE" w:rsidP="00981550">
      <w:pPr>
        <w:spacing w:after="0"/>
        <w:rPr>
          <w:sz w:val="20"/>
        </w:rPr>
      </w:pPr>
      <w:r w:rsidRPr="00EA3458">
        <w:rPr>
          <w:sz w:val="20"/>
        </w:rPr>
        <w:t>Source: Data from ETHOS Engage samples people with a history of injecting drug use enrolled from sites including O</w:t>
      </w:r>
      <w:r w:rsidR="0046431B">
        <w:rPr>
          <w:sz w:val="20"/>
        </w:rPr>
        <w:t>D</w:t>
      </w:r>
      <w:r w:rsidRPr="00EA3458">
        <w:rPr>
          <w:sz w:val="20"/>
        </w:rPr>
        <w:t xml:space="preserve">T clinics and NSPs in NSW, QLD, </w:t>
      </w:r>
      <w:r w:rsidR="002F31D5" w:rsidRPr="00EA3458">
        <w:rPr>
          <w:sz w:val="20"/>
        </w:rPr>
        <w:t>SA,</w:t>
      </w:r>
      <w:r w:rsidRPr="00EA3458">
        <w:rPr>
          <w:sz w:val="20"/>
        </w:rPr>
        <w:t xml:space="preserve"> and WA in 2018-2019.  </w:t>
      </w:r>
    </w:p>
    <w:p w14:paraId="2EC95176" w14:textId="77777777" w:rsidR="00F01D1F" w:rsidRPr="00EA3458" w:rsidRDefault="00F01D1F" w:rsidP="00981550">
      <w:pPr>
        <w:spacing w:after="0"/>
        <w:rPr>
          <w:sz w:val="20"/>
        </w:rPr>
      </w:pPr>
    </w:p>
    <w:p w14:paraId="6FFA63F5" w14:textId="143291C1" w:rsidR="006F0DAE" w:rsidRPr="00EA3458" w:rsidRDefault="006F0DAE" w:rsidP="00F22F00">
      <w:pPr>
        <w:pStyle w:val="Heading5"/>
      </w:pPr>
      <w:bookmarkStart w:id="494" w:name="_Toc101790849"/>
      <w:r w:rsidRPr="00EA3458">
        <w:t>Takeaway doses</w:t>
      </w:r>
      <w:bookmarkEnd w:id="494"/>
    </w:p>
    <w:p w14:paraId="21D6A8A8" w14:textId="0F2A9A47" w:rsidR="00AC71EA" w:rsidRDefault="006F0DAE" w:rsidP="00F22F00">
      <w:r w:rsidRPr="00EA3458">
        <w:t xml:space="preserve">Dosing arrangements, including takeaway or unsupervised dosing are determined by individual jurisdictions for their ODT programs. </w:t>
      </w:r>
      <w:r w:rsidR="001D51AA">
        <w:t>There are broadly three types of takeaway dosing: primary supervised (except perhaps for single occasion), partially supervised (combination of supervised and takeaway doses) and unsupervised (less than weekly supervision) dosing</w:t>
      </w:r>
      <w:r w:rsidR="00AC71EA">
        <w:t>, although arrangements between jurisdictions varies</w:t>
      </w:r>
      <w:r w:rsidR="001D51AA">
        <w:t xml:space="preserve">. </w:t>
      </w:r>
    </w:p>
    <w:p w14:paraId="73D99806" w14:textId="0E407B5E" w:rsidR="006F0DAE" w:rsidRDefault="006F0DAE" w:rsidP="00B92FB0">
      <w:pPr>
        <w:spacing w:after="0"/>
      </w:pPr>
      <w:r w:rsidRPr="00EA3458">
        <w:t>Approximately half of all consumers on O</w:t>
      </w:r>
      <w:r w:rsidR="0046431B">
        <w:t>D</w:t>
      </w:r>
      <w:r w:rsidRPr="00EA3458">
        <w:t>T</w:t>
      </w:r>
      <w:r w:rsidR="0046431B">
        <w:t xml:space="preserve"> medicines</w:t>
      </w:r>
      <w:r w:rsidRPr="00EA3458">
        <w:t xml:space="preserve"> receive any takeaway doses as estimated in </w:t>
      </w:r>
      <w:r w:rsidR="00B162D0">
        <w:t>the</w:t>
      </w:r>
      <w:r w:rsidR="00B162D0" w:rsidRPr="00EA3458">
        <w:t xml:space="preserve"> </w:t>
      </w:r>
      <w:r w:rsidRPr="00EA3458">
        <w:t xml:space="preserve">quantitative systematic review, with slightly more consumers on buprenorphine receiving takeaways compared to methadone (Table </w:t>
      </w:r>
      <w:r w:rsidR="002D5DBD" w:rsidRPr="00EA3458">
        <w:t>1</w:t>
      </w:r>
      <w:r w:rsidR="00156F80">
        <w:t>5</w:t>
      </w:r>
      <w:r w:rsidRPr="00EA3458">
        <w:t>). This represents a considerably larger proportion with access to takeaway doses compared with the period before the COVID-19 pandemic, when only a third of consumers on O</w:t>
      </w:r>
      <w:r w:rsidR="0046431B">
        <w:t>D</w:t>
      </w:r>
      <w:r w:rsidRPr="00EA3458">
        <w:t>T</w:t>
      </w:r>
      <w:r w:rsidR="0046431B">
        <w:t xml:space="preserve"> medicines</w:t>
      </w:r>
      <w:r w:rsidRPr="00EA3458">
        <w:t xml:space="preserve"> received takeaways. In general, the number of takeaway doses is higher for consumers on buprenorphine compared to methadone. There is limited evidence of the impact of increasing </w:t>
      </w:r>
      <w:r w:rsidRPr="00EA3458">
        <w:lastRenderedPageBreak/>
        <w:t xml:space="preserve">frequency and </w:t>
      </w:r>
      <w:r w:rsidR="002F31D5" w:rsidRPr="00EA3458">
        <w:t>number</w:t>
      </w:r>
      <w:r w:rsidRPr="00EA3458">
        <w:t xml:space="preserve"> of takeaway doses. There is strong support and advocacy </w:t>
      </w:r>
      <w:r w:rsidR="00E464F5">
        <w:t xml:space="preserve">from people in ODT programs and stakeholders </w:t>
      </w:r>
      <w:r w:rsidRPr="00EA3458">
        <w:t>for greater flexibility in take away doses. One cautionary aspect of increasing takeaway doses particularly of methadone is the risk of increased death rates. A 2010 study in England and Scotland reported a reduction in mortality related to increased rates of supervision of methadone, after a period with little to no supervision of dosing in those countries.</w:t>
      </w:r>
    </w:p>
    <w:p w14:paraId="4EBC9B92" w14:textId="77777777" w:rsidR="00B92FB0" w:rsidRPr="00EA3458" w:rsidRDefault="00B92FB0" w:rsidP="00B92FB0">
      <w:pPr>
        <w:spacing w:after="0"/>
        <w:rPr>
          <w:b/>
          <w:bCs/>
        </w:rPr>
      </w:pPr>
    </w:p>
    <w:p w14:paraId="7DAA1F47" w14:textId="34A4C012" w:rsidR="006F0DAE" w:rsidRPr="00EA3458" w:rsidRDefault="006F0DAE" w:rsidP="00F22F00">
      <w:pPr>
        <w:pStyle w:val="Tables"/>
      </w:pPr>
      <w:bookmarkStart w:id="495" w:name="_Toc99542104"/>
      <w:bookmarkStart w:id="496" w:name="_Toc120183446"/>
      <w:bookmarkStart w:id="497" w:name="_Toc132823435"/>
      <w:r w:rsidRPr="00EA3458">
        <w:t xml:space="preserve">Table </w:t>
      </w:r>
      <w:r w:rsidR="002D5DBD" w:rsidRPr="00EA3458">
        <w:t>1</w:t>
      </w:r>
      <w:r w:rsidR="00156F80">
        <w:t>5</w:t>
      </w:r>
      <w:r w:rsidRPr="00EA3458">
        <w:t>. Pooled estimates of the proportion of consumers receiving takeaway doses</w:t>
      </w:r>
      <w:bookmarkEnd w:id="495"/>
      <w:bookmarkEnd w:id="496"/>
      <w:bookmarkEnd w:id="497"/>
    </w:p>
    <w:tbl>
      <w:tblPr>
        <w:tblStyle w:val="TableGrid"/>
        <w:tblW w:w="9696" w:type="dxa"/>
        <w:tblInd w:w="0" w:type="dxa"/>
        <w:tblLook w:val="04A0" w:firstRow="1" w:lastRow="0" w:firstColumn="1" w:lastColumn="0" w:noHBand="0" w:noVBand="1"/>
      </w:tblPr>
      <w:tblGrid>
        <w:gridCol w:w="1639"/>
        <w:gridCol w:w="1706"/>
        <w:gridCol w:w="924"/>
        <w:gridCol w:w="14"/>
        <w:gridCol w:w="1692"/>
        <w:gridCol w:w="925"/>
        <w:gridCol w:w="1706"/>
        <w:gridCol w:w="1090"/>
      </w:tblGrid>
      <w:tr w:rsidR="006F0DAE" w:rsidRPr="00EA3458" w14:paraId="1CF0D07B" w14:textId="77777777" w:rsidTr="00257F28">
        <w:trPr>
          <w:trHeight w:val="334"/>
        </w:trPr>
        <w:tc>
          <w:tcPr>
            <w:tcW w:w="1639" w:type="dxa"/>
            <w:shd w:val="clear" w:color="auto" w:fill="D0CECE" w:themeFill="background2" w:themeFillShade="E6"/>
            <w:vAlign w:val="center"/>
          </w:tcPr>
          <w:p w14:paraId="027EE5CD" w14:textId="77777777" w:rsidR="006F0DAE" w:rsidRPr="00257F28" w:rsidRDefault="006F0DAE" w:rsidP="0021604E">
            <w:pPr>
              <w:jc w:val="left"/>
              <w:rPr>
                <w:sz w:val="20"/>
                <w:szCs w:val="20"/>
              </w:rPr>
            </w:pPr>
          </w:p>
        </w:tc>
        <w:tc>
          <w:tcPr>
            <w:tcW w:w="2644" w:type="dxa"/>
            <w:gridSpan w:val="3"/>
            <w:shd w:val="clear" w:color="auto" w:fill="D0CECE" w:themeFill="background2" w:themeFillShade="E6"/>
            <w:vAlign w:val="center"/>
          </w:tcPr>
          <w:p w14:paraId="59429874" w14:textId="2E9EA50E" w:rsidR="006F0DAE" w:rsidRPr="00257F28" w:rsidRDefault="006F0DAE" w:rsidP="0021604E">
            <w:pPr>
              <w:jc w:val="left"/>
              <w:rPr>
                <w:b/>
                <w:bCs/>
                <w:sz w:val="20"/>
                <w:szCs w:val="20"/>
              </w:rPr>
            </w:pPr>
            <w:r w:rsidRPr="00257F28">
              <w:rPr>
                <w:b/>
                <w:bCs/>
                <w:sz w:val="20"/>
                <w:szCs w:val="20"/>
              </w:rPr>
              <w:t>Overall O</w:t>
            </w:r>
            <w:r w:rsidR="0046431B">
              <w:rPr>
                <w:b/>
                <w:bCs/>
                <w:sz w:val="20"/>
                <w:szCs w:val="20"/>
              </w:rPr>
              <w:t>D</w:t>
            </w:r>
            <w:r w:rsidRPr="00257F28">
              <w:rPr>
                <w:b/>
                <w:bCs/>
                <w:sz w:val="20"/>
                <w:szCs w:val="20"/>
              </w:rPr>
              <w:t>T</w:t>
            </w:r>
            <w:r w:rsidR="0046431B">
              <w:rPr>
                <w:b/>
                <w:bCs/>
                <w:sz w:val="20"/>
                <w:szCs w:val="20"/>
              </w:rPr>
              <w:t xml:space="preserve"> medicines</w:t>
            </w:r>
          </w:p>
        </w:tc>
        <w:tc>
          <w:tcPr>
            <w:tcW w:w="2617" w:type="dxa"/>
            <w:gridSpan w:val="2"/>
            <w:shd w:val="clear" w:color="auto" w:fill="D0CECE" w:themeFill="background2" w:themeFillShade="E6"/>
            <w:vAlign w:val="center"/>
          </w:tcPr>
          <w:p w14:paraId="6ADF6FB5" w14:textId="77777777" w:rsidR="006F0DAE" w:rsidRPr="00257F28" w:rsidRDefault="006F0DAE" w:rsidP="0021604E">
            <w:pPr>
              <w:jc w:val="left"/>
              <w:rPr>
                <w:b/>
                <w:bCs/>
                <w:sz w:val="20"/>
                <w:szCs w:val="20"/>
              </w:rPr>
            </w:pPr>
            <w:r w:rsidRPr="00257F28">
              <w:rPr>
                <w:b/>
                <w:bCs/>
                <w:sz w:val="20"/>
                <w:szCs w:val="20"/>
              </w:rPr>
              <w:t>Methadone</w:t>
            </w:r>
          </w:p>
        </w:tc>
        <w:tc>
          <w:tcPr>
            <w:tcW w:w="2795" w:type="dxa"/>
            <w:gridSpan w:val="2"/>
            <w:shd w:val="clear" w:color="auto" w:fill="D0CECE" w:themeFill="background2" w:themeFillShade="E6"/>
            <w:vAlign w:val="center"/>
          </w:tcPr>
          <w:p w14:paraId="18CD743C" w14:textId="77777777" w:rsidR="006F0DAE" w:rsidRPr="00257F28" w:rsidRDefault="006F0DAE" w:rsidP="0021604E">
            <w:pPr>
              <w:jc w:val="left"/>
              <w:rPr>
                <w:b/>
                <w:bCs/>
                <w:sz w:val="20"/>
                <w:szCs w:val="20"/>
              </w:rPr>
            </w:pPr>
            <w:r w:rsidRPr="00257F28">
              <w:rPr>
                <w:b/>
                <w:bCs/>
                <w:sz w:val="20"/>
                <w:szCs w:val="20"/>
              </w:rPr>
              <w:t>Buprenorphine</w:t>
            </w:r>
          </w:p>
        </w:tc>
      </w:tr>
      <w:tr w:rsidR="006F0DAE" w:rsidRPr="00EA3458" w14:paraId="5D908263" w14:textId="77777777" w:rsidTr="00257F28">
        <w:trPr>
          <w:trHeight w:val="485"/>
        </w:trPr>
        <w:tc>
          <w:tcPr>
            <w:tcW w:w="1639" w:type="dxa"/>
            <w:shd w:val="clear" w:color="auto" w:fill="D0CECE" w:themeFill="background2" w:themeFillShade="E6"/>
            <w:vAlign w:val="center"/>
          </w:tcPr>
          <w:p w14:paraId="5D7AB860" w14:textId="77777777" w:rsidR="006F0DAE" w:rsidRPr="00257F28" w:rsidRDefault="006F0DAE" w:rsidP="0021604E">
            <w:pPr>
              <w:jc w:val="left"/>
              <w:rPr>
                <w:sz w:val="20"/>
                <w:szCs w:val="20"/>
              </w:rPr>
            </w:pPr>
          </w:p>
        </w:tc>
        <w:tc>
          <w:tcPr>
            <w:tcW w:w="1706" w:type="dxa"/>
            <w:shd w:val="clear" w:color="auto" w:fill="D0CECE" w:themeFill="background2" w:themeFillShade="E6"/>
            <w:vAlign w:val="center"/>
          </w:tcPr>
          <w:p w14:paraId="480035D5" w14:textId="77777777" w:rsidR="006F0DAE" w:rsidRPr="00257F28" w:rsidRDefault="006F0DAE" w:rsidP="0021604E">
            <w:pPr>
              <w:jc w:val="left"/>
              <w:rPr>
                <w:b/>
                <w:bCs/>
                <w:sz w:val="20"/>
                <w:szCs w:val="20"/>
              </w:rPr>
            </w:pPr>
            <w:r w:rsidRPr="00257F28">
              <w:rPr>
                <w:b/>
                <w:bCs/>
                <w:sz w:val="20"/>
                <w:szCs w:val="20"/>
              </w:rPr>
              <w:t>Pooled Estimate (95%CI)</w:t>
            </w:r>
          </w:p>
        </w:tc>
        <w:tc>
          <w:tcPr>
            <w:tcW w:w="924" w:type="dxa"/>
            <w:shd w:val="clear" w:color="auto" w:fill="D0CECE" w:themeFill="background2" w:themeFillShade="E6"/>
            <w:vAlign w:val="center"/>
          </w:tcPr>
          <w:p w14:paraId="4B1E08FD" w14:textId="77777777" w:rsidR="006F0DAE" w:rsidRPr="00257F28" w:rsidRDefault="006F0DAE" w:rsidP="0021604E">
            <w:pPr>
              <w:jc w:val="left"/>
              <w:rPr>
                <w:b/>
                <w:bCs/>
                <w:sz w:val="20"/>
                <w:szCs w:val="20"/>
              </w:rPr>
            </w:pPr>
            <w:r w:rsidRPr="00257F28">
              <w:rPr>
                <w:b/>
                <w:bCs/>
                <w:sz w:val="20"/>
                <w:szCs w:val="20"/>
              </w:rPr>
              <w:t>Sources</w:t>
            </w:r>
          </w:p>
        </w:tc>
        <w:tc>
          <w:tcPr>
            <w:tcW w:w="1706" w:type="dxa"/>
            <w:gridSpan w:val="2"/>
            <w:shd w:val="clear" w:color="auto" w:fill="D0CECE" w:themeFill="background2" w:themeFillShade="E6"/>
            <w:vAlign w:val="center"/>
          </w:tcPr>
          <w:p w14:paraId="5A4BBF3B" w14:textId="77777777" w:rsidR="006F0DAE" w:rsidRPr="00257F28" w:rsidRDefault="006F0DAE" w:rsidP="0021604E">
            <w:pPr>
              <w:jc w:val="left"/>
              <w:rPr>
                <w:b/>
                <w:bCs/>
                <w:sz w:val="20"/>
                <w:szCs w:val="20"/>
              </w:rPr>
            </w:pPr>
            <w:r w:rsidRPr="00257F28">
              <w:rPr>
                <w:b/>
                <w:bCs/>
                <w:sz w:val="20"/>
                <w:szCs w:val="20"/>
              </w:rPr>
              <w:t>Pooled Estimate (95%CI)</w:t>
            </w:r>
          </w:p>
        </w:tc>
        <w:tc>
          <w:tcPr>
            <w:tcW w:w="924" w:type="dxa"/>
            <w:shd w:val="clear" w:color="auto" w:fill="D0CECE" w:themeFill="background2" w:themeFillShade="E6"/>
            <w:vAlign w:val="center"/>
          </w:tcPr>
          <w:p w14:paraId="26F414CD" w14:textId="77777777" w:rsidR="006F0DAE" w:rsidRPr="00257F28" w:rsidRDefault="006F0DAE" w:rsidP="0021604E">
            <w:pPr>
              <w:jc w:val="left"/>
              <w:rPr>
                <w:b/>
                <w:bCs/>
                <w:sz w:val="20"/>
                <w:szCs w:val="20"/>
              </w:rPr>
            </w:pPr>
            <w:r w:rsidRPr="00257F28">
              <w:rPr>
                <w:b/>
                <w:bCs/>
                <w:sz w:val="20"/>
                <w:szCs w:val="20"/>
              </w:rPr>
              <w:t>Sources</w:t>
            </w:r>
          </w:p>
        </w:tc>
        <w:tc>
          <w:tcPr>
            <w:tcW w:w="1706" w:type="dxa"/>
            <w:shd w:val="clear" w:color="auto" w:fill="D0CECE" w:themeFill="background2" w:themeFillShade="E6"/>
            <w:vAlign w:val="center"/>
          </w:tcPr>
          <w:p w14:paraId="7CCEB231" w14:textId="77777777" w:rsidR="006F0DAE" w:rsidRPr="00257F28" w:rsidRDefault="006F0DAE" w:rsidP="0021604E">
            <w:pPr>
              <w:jc w:val="left"/>
              <w:rPr>
                <w:b/>
                <w:bCs/>
                <w:sz w:val="20"/>
                <w:szCs w:val="20"/>
              </w:rPr>
            </w:pPr>
            <w:r w:rsidRPr="00257F28">
              <w:rPr>
                <w:b/>
                <w:bCs/>
                <w:sz w:val="20"/>
                <w:szCs w:val="20"/>
              </w:rPr>
              <w:t>Pooled Estimate (95%CI)</w:t>
            </w:r>
          </w:p>
        </w:tc>
        <w:tc>
          <w:tcPr>
            <w:tcW w:w="1089" w:type="dxa"/>
            <w:shd w:val="clear" w:color="auto" w:fill="D0CECE" w:themeFill="background2" w:themeFillShade="E6"/>
            <w:vAlign w:val="center"/>
          </w:tcPr>
          <w:p w14:paraId="20970B12" w14:textId="77777777" w:rsidR="006F0DAE" w:rsidRPr="00257F28" w:rsidRDefault="006F0DAE" w:rsidP="0021604E">
            <w:pPr>
              <w:jc w:val="left"/>
              <w:rPr>
                <w:b/>
                <w:bCs/>
                <w:sz w:val="20"/>
                <w:szCs w:val="20"/>
              </w:rPr>
            </w:pPr>
            <w:r w:rsidRPr="00257F28">
              <w:rPr>
                <w:b/>
                <w:bCs/>
                <w:sz w:val="20"/>
                <w:szCs w:val="20"/>
              </w:rPr>
              <w:t>Sources</w:t>
            </w:r>
          </w:p>
        </w:tc>
      </w:tr>
      <w:tr w:rsidR="006F0DAE" w:rsidRPr="00EA3458" w14:paraId="3495F628" w14:textId="77777777" w:rsidTr="00257F28">
        <w:trPr>
          <w:trHeight w:val="334"/>
        </w:trPr>
        <w:tc>
          <w:tcPr>
            <w:tcW w:w="9696" w:type="dxa"/>
            <w:gridSpan w:val="8"/>
            <w:shd w:val="clear" w:color="auto" w:fill="E7E6E6" w:themeFill="background2"/>
          </w:tcPr>
          <w:p w14:paraId="0BE6E96F" w14:textId="77777777" w:rsidR="006F0DAE" w:rsidRPr="00257F28" w:rsidRDefault="006F0DAE" w:rsidP="0021604E">
            <w:pPr>
              <w:jc w:val="left"/>
              <w:rPr>
                <w:b/>
                <w:bCs/>
                <w:sz w:val="20"/>
                <w:szCs w:val="20"/>
              </w:rPr>
            </w:pPr>
            <w:r w:rsidRPr="00257F28">
              <w:rPr>
                <w:b/>
                <w:bCs/>
                <w:sz w:val="20"/>
                <w:szCs w:val="20"/>
              </w:rPr>
              <w:t>Pre-COVID</w:t>
            </w:r>
          </w:p>
        </w:tc>
      </w:tr>
      <w:tr w:rsidR="006F0DAE" w:rsidRPr="00EA3458" w14:paraId="722612CA" w14:textId="77777777" w:rsidTr="00257F28">
        <w:trPr>
          <w:trHeight w:val="532"/>
        </w:trPr>
        <w:tc>
          <w:tcPr>
            <w:tcW w:w="1639" w:type="dxa"/>
          </w:tcPr>
          <w:p w14:paraId="78112429" w14:textId="77777777" w:rsidR="006F0DAE" w:rsidRPr="00257F28" w:rsidRDefault="006F0DAE" w:rsidP="0021604E">
            <w:pPr>
              <w:jc w:val="left"/>
              <w:rPr>
                <w:b/>
                <w:bCs/>
                <w:sz w:val="20"/>
                <w:szCs w:val="20"/>
              </w:rPr>
            </w:pPr>
            <w:r w:rsidRPr="00257F28">
              <w:rPr>
                <w:b/>
                <w:bCs/>
                <w:sz w:val="20"/>
                <w:szCs w:val="20"/>
              </w:rPr>
              <w:t>Proportion with takeaway doses</w:t>
            </w:r>
          </w:p>
        </w:tc>
        <w:tc>
          <w:tcPr>
            <w:tcW w:w="1706" w:type="dxa"/>
          </w:tcPr>
          <w:p w14:paraId="44A52B9C" w14:textId="77777777" w:rsidR="006F0DAE" w:rsidRPr="00257F28" w:rsidRDefault="006F0DAE" w:rsidP="0021604E">
            <w:pPr>
              <w:jc w:val="left"/>
              <w:rPr>
                <w:sz w:val="20"/>
                <w:szCs w:val="20"/>
              </w:rPr>
            </w:pPr>
            <w:r w:rsidRPr="00257F28">
              <w:rPr>
                <w:sz w:val="20"/>
                <w:szCs w:val="20"/>
              </w:rPr>
              <w:t>0.32 (0.29, 0.36)</w:t>
            </w:r>
          </w:p>
        </w:tc>
        <w:tc>
          <w:tcPr>
            <w:tcW w:w="924" w:type="dxa"/>
          </w:tcPr>
          <w:p w14:paraId="0F86DD1C" w14:textId="3B1FE61C" w:rsidR="006F0DAE" w:rsidRPr="00257F28" w:rsidRDefault="006F0DAE" w:rsidP="0021604E">
            <w:pPr>
              <w:jc w:val="left"/>
              <w:rPr>
                <w:sz w:val="20"/>
                <w:szCs w:val="20"/>
              </w:rPr>
            </w:pPr>
            <w:r w:rsidRPr="00257F28">
              <w:rPr>
                <w:sz w:val="20"/>
                <w:szCs w:val="20"/>
              </w:rPr>
              <w:fldChar w:fldCharType="begin">
                <w:fldData xml:space="preserve">PEVuZE5vdGU+PENpdGU+PEF1dGhvcj5MYXJhbmNlPC9BdXRob3I+PFllYXI+MjAyMDwvWWVhcj48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</w:fldData>
              </w:fldChar>
            </w:r>
            <w:r w:rsidR="002565E6">
              <w:rPr>
                <w:sz w:val="20"/>
                <w:szCs w:val="20"/>
              </w:rPr>
              <w:instrText xml:space="preserve"> ADDIN EN.CITE </w:instrText>
            </w:r>
            <w:r w:rsidR="002565E6">
              <w:rPr>
                <w:sz w:val="20"/>
                <w:szCs w:val="20"/>
              </w:rPr>
              <w:fldChar w:fldCharType="begin">
                <w:fldData xml:space="preserve">PEVuZE5vdGU+PENpdGU+PEF1dGhvcj5MYXJhbmNlPC9BdXRob3I+PFllYXI+MjAyMDwvWWVhcj48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</w:fldData>
              </w:fldChar>
            </w:r>
            <w:r w:rsidR="002565E6">
              <w:rPr>
                <w:sz w:val="20"/>
                <w:szCs w:val="20"/>
              </w:rPr>
              <w:instrText xml:space="preserve"> ADDIN EN.CITE.DATA </w:instrText>
            </w:r>
            <w:r w:rsidR="002565E6">
              <w:rPr>
                <w:sz w:val="20"/>
                <w:szCs w:val="20"/>
              </w:rPr>
            </w:r>
            <w:r w:rsidR="002565E6">
              <w:rPr>
                <w:sz w:val="20"/>
                <w:szCs w:val="20"/>
              </w:rPr>
              <w:fldChar w:fldCharType="end"/>
            </w:r>
            <w:r w:rsidRPr="00257F28">
              <w:rPr>
                <w:sz w:val="20"/>
                <w:szCs w:val="20"/>
              </w:rPr>
            </w:r>
            <w:r w:rsidRPr="00257F28">
              <w:rPr>
                <w:sz w:val="20"/>
                <w:szCs w:val="20"/>
              </w:rPr>
              <w:fldChar w:fldCharType="separate"/>
            </w:r>
            <w:hyperlink w:anchor="_ENREF_2" w:tooltip="Larance, 2020 #2" w:history="1">
              <w:r w:rsidR="002565E6" w:rsidRPr="002565E6">
                <w:rPr>
                  <w:noProof/>
                  <w:sz w:val="20"/>
                  <w:szCs w:val="20"/>
                  <w:vertAlign w:val="superscript"/>
                </w:rPr>
                <w:t>2</w:t>
              </w:r>
            </w:hyperlink>
            <w:r w:rsidR="002565E6" w:rsidRPr="002565E6">
              <w:rPr>
                <w:noProof/>
                <w:sz w:val="20"/>
                <w:szCs w:val="20"/>
                <w:vertAlign w:val="superscript"/>
              </w:rPr>
              <w:t xml:space="preserve">, </w:t>
            </w:r>
            <w:hyperlink w:anchor="_ENREF_91" w:tooltip="Lintzeris, 2021 #3473" w:history="1">
              <w:r w:rsidR="002565E6" w:rsidRPr="002565E6">
                <w:rPr>
                  <w:noProof/>
                  <w:sz w:val="20"/>
                  <w:szCs w:val="20"/>
                  <w:vertAlign w:val="superscript"/>
                </w:rPr>
                <w:t>91</w:t>
              </w:r>
            </w:hyperlink>
            <w:r w:rsidR="002565E6" w:rsidRPr="002565E6">
              <w:rPr>
                <w:noProof/>
                <w:sz w:val="20"/>
                <w:szCs w:val="20"/>
                <w:vertAlign w:val="superscript"/>
              </w:rPr>
              <w:t xml:space="preserve">, </w:t>
            </w:r>
            <w:hyperlink w:anchor="_ENREF_96" w:tooltip="Jamshidi, 2021 #3457" w:history="1">
              <w:r w:rsidR="002565E6" w:rsidRPr="002565E6">
                <w:rPr>
                  <w:noProof/>
                  <w:sz w:val="20"/>
                  <w:szCs w:val="20"/>
                  <w:vertAlign w:val="superscript"/>
                </w:rPr>
                <w:t>96</w:t>
              </w:r>
            </w:hyperlink>
            <w:r w:rsidRPr="00257F28">
              <w:rPr>
                <w:sz w:val="20"/>
                <w:szCs w:val="20"/>
              </w:rPr>
              <w:fldChar w:fldCharType="end"/>
            </w:r>
          </w:p>
        </w:tc>
        <w:tc>
          <w:tcPr>
            <w:tcW w:w="1706" w:type="dxa"/>
            <w:gridSpan w:val="2"/>
          </w:tcPr>
          <w:p w14:paraId="43DD420E" w14:textId="77777777" w:rsidR="006F0DAE" w:rsidRPr="00257F28" w:rsidRDefault="006F0DAE" w:rsidP="0021604E">
            <w:pPr>
              <w:jc w:val="left"/>
              <w:rPr>
                <w:sz w:val="20"/>
                <w:szCs w:val="20"/>
              </w:rPr>
            </w:pPr>
            <w:r w:rsidRPr="00257F28">
              <w:rPr>
                <w:sz w:val="20"/>
                <w:szCs w:val="20"/>
              </w:rPr>
              <w:t>0.20 (0.16, 0.26)</w:t>
            </w:r>
          </w:p>
        </w:tc>
        <w:tc>
          <w:tcPr>
            <w:tcW w:w="924" w:type="dxa"/>
          </w:tcPr>
          <w:p w14:paraId="1A3BE67C" w14:textId="495AC432" w:rsidR="006F0DAE" w:rsidRPr="00257F28" w:rsidRDefault="00000000" w:rsidP="0021604E">
            <w:pPr>
              <w:jc w:val="left"/>
              <w:rPr>
                <w:sz w:val="20"/>
                <w:szCs w:val="20"/>
              </w:rPr>
            </w:pPr>
            <w:hyperlink w:anchor="_ENREF_91" w:tooltip="Lintzeris, 2021 #3473" w:history="1">
              <w:r w:rsidR="002565E6" w:rsidRPr="00257F28">
                <w:rPr>
                  <w:sz w:val="20"/>
                  <w:szCs w:val="20"/>
                </w:rPr>
                <w:fldChar w:fldCharType="begin"/>
              </w:r>
              <w:r w:rsidR="002565E6">
                <w:rPr>
                  <w:sz w:val="20"/>
                  <w:szCs w:val="20"/>
                </w:rPr>
                <w:instrText xml:space="preserve"> ADDIN EN.CITE &lt;EndNote&gt;&lt;Cite&gt;&lt;Author&gt;Lintzeris&lt;/Author&gt;&lt;Year&gt;2021&lt;/Year&gt;&lt;RecNum&gt;3473&lt;/RecNum&gt;&lt;DisplayText&gt;&lt;style face="superscript"&gt;91&lt;/style&gt;&lt;/DisplayText&gt;&lt;record&gt;&lt;rec-number&gt;3473&lt;/rec-number&gt;&lt;foreign-keys&gt;&lt;key app="EN" db-id="pdp2v9rwnsez9qedfx2xtwa7tsw99rvd5zxv" timestamp="1644967129"&gt;3473&lt;/key&gt;&lt;/foreign-keys&gt;&lt;ref-type name="Journal Article"&gt;17&lt;/ref-type&gt;&lt;contributors&gt;&lt;authors&gt;&lt;author&gt;Lintzeris, N.&lt;/author&gt;&lt;author&gt;Deacon, R. M.&lt;/author&gt;&lt;author&gt;Hayes, V.&lt;/author&gt;&lt;author&gt;Cowan, T.&lt;/author&gt;&lt;author&gt;Mills, L.&lt;/author&gt;&lt;author&gt;Parvaresh, L.&lt;/author&gt;&lt;author&gt;Harvey Dodds, L.&lt;/author&gt;&lt;author&gt;Jansen, L.&lt;/author&gt;&lt;author&gt;Dojcinovic, R.&lt;/author&gt;&lt;author&gt;Leung, M. C.&lt;/author&gt;&lt;author&gt;Demirkol, A.&lt;/author&gt;&lt;author&gt;Finch, T.&lt;/author&gt;&lt;author&gt;Mammen, K.&lt;/author&gt;&lt;/authors&gt;&lt;/contributors&gt;&lt;titles&gt;&lt;title&gt;Opioid agonist treatment and patient outcomes during the COVID-19 pandemic in south east Sydney, Australia&lt;/title&gt;&lt;secondary-title&gt;Drug Alcohol Rev&lt;/secondary-title&gt;&lt;/titles&gt;&lt;periodical&gt;&lt;full-title&gt;Drug Alcohol Rev&lt;/full-title&gt;&lt;/periodical&gt;&lt;dates&gt;&lt;year&gt;2021&lt;/year&gt;&lt;/dates&gt;&lt;accession-num&gt;34520592&lt;/accession-num&gt;&lt;urls&gt;&lt;/urls&gt;&lt;electronic-resource-num&gt;10.1111/dar.13382&lt;/electronic-resource-num&gt;&lt;/record&gt;&lt;/Cite&gt;&lt;/EndNote&gt;</w:instrText>
              </w:r>
              <w:r w:rsidR="002565E6" w:rsidRPr="00257F28">
                <w:rPr>
                  <w:sz w:val="20"/>
                  <w:szCs w:val="20"/>
                </w:rPr>
                <w:fldChar w:fldCharType="separate"/>
              </w:r>
              <w:r w:rsidR="002565E6" w:rsidRPr="002565E6">
                <w:rPr>
                  <w:noProof/>
                  <w:sz w:val="20"/>
                  <w:szCs w:val="20"/>
                  <w:vertAlign w:val="superscript"/>
                </w:rPr>
                <w:t>91</w:t>
              </w:r>
              <w:r w:rsidR="002565E6" w:rsidRPr="00257F28">
                <w:rPr>
                  <w:sz w:val="20"/>
                  <w:szCs w:val="20"/>
                </w:rPr>
                <w:fldChar w:fldCharType="end"/>
              </w:r>
            </w:hyperlink>
          </w:p>
        </w:tc>
        <w:tc>
          <w:tcPr>
            <w:tcW w:w="1706" w:type="dxa"/>
          </w:tcPr>
          <w:p w14:paraId="0705DCE5" w14:textId="77777777" w:rsidR="006F0DAE" w:rsidRPr="00257F28" w:rsidRDefault="006F0DAE" w:rsidP="0021604E">
            <w:pPr>
              <w:jc w:val="left"/>
              <w:rPr>
                <w:sz w:val="20"/>
                <w:szCs w:val="20"/>
              </w:rPr>
            </w:pPr>
            <w:r w:rsidRPr="00257F28">
              <w:rPr>
                <w:sz w:val="20"/>
                <w:szCs w:val="20"/>
              </w:rPr>
              <w:t>0.30 (0.23, 0.37)</w:t>
            </w:r>
          </w:p>
        </w:tc>
        <w:tc>
          <w:tcPr>
            <w:tcW w:w="1089" w:type="dxa"/>
          </w:tcPr>
          <w:p w14:paraId="06F7F95D" w14:textId="339DDD6E" w:rsidR="006F0DAE" w:rsidRPr="00257F28" w:rsidRDefault="006F0DAE" w:rsidP="0021604E">
            <w:pPr>
              <w:jc w:val="left"/>
              <w:rPr>
                <w:sz w:val="20"/>
                <w:szCs w:val="20"/>
              </w:rPr>
            </w:pPr>
            <w:r w:rsidRPr="00257F28">
              <w:rPr>
                <w:sz w:val="20"/>
                <w:szCs w:val="20"/>
              </w:rPr>
              <w:fldChar w:fldCharType="begin">
                <w:fldData xml:space="preserve">PEVuZE5vdGU+PENpdGU+PEF1dGhvcj5MaW50emVyaXM8L0F1dGhvcj48WWVhcj4yMDIxPC9ZZWFy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</w:fldData>
              </w:fldChar>
            </w:r>
            <w:r w:rsidR="002565E6">
              <w:rPr>
                <w:sz w:val="20"/>
                <w:szCs w:val="20"/>
              </w:rPr>
              <w:instrText xml:space="preserve"> ADDIN EN.CITE </w:instrText>
            </w:r>
            <w:r w:rsidR="002565E6">
              <w:rPr>
                <w:sz w:val="20"/>
                <w:szCs w:val="20"/>
              </w:rPr>
              <w:fldChar w:fldCharType="begin">
                <w:fldData xml:space="preserve">PEVuZE5vdGU+PENpdGU+PEF1dGhvcj5MaW50emVyaXM8L0F1dGhvcj48WWVhcj4yMDIxPC9ZZWFy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</w:fldData>
              </w:fldChar>
            </w:r>
            <w:r w:rsidR="002565E6">
              <w:rPr>
                <w:sz w:val="20"/>
                <w:szCs w:val="20"/>
              </w:rPr>
              <w:instrText xml:space="preserve"> ADDIN EN.CITE.DATA </w:instrText>
            </w:r>
            <w:r w:rsidR="002565E6">
              <w:rPr>
                <w:sz w:val="20"/>
                <w:szCs w:val="20"/>
              </w:rPr>
            </w:r>
            <w:r w:rsidR="002565E6">
              <w:rPr>
                <w:sz w:val="20"/>
                <w:szCs w:val="20"/>
              </w:rPr>
              <w:fldChar w:fldCharType="end"/>
            </w:r>
            <w:r w:rsidRPr="00257F28">
              <w:rPr>
                <w:sz w:val="20"/>
                <w:szCs w:val="20"/>
              </w:rPr>
            </w:r>
            <w:r w:rsidRPr="00257F28">
              <w:rPr>
                <w:sz w:val="20"/>
                <w:szCs w:val="20"/>
              </w:rPr>
              <w:fldChar w:fldCharType="separate"/>
            </w:r>
            <w:hyperlink w:anchor="_ENREF_2" w:tooltip="Larance, 2020 #2" w:history="1">
              <w:r w:rsidR="002565E6" w:rsidRPr="002565E6">
                <w:rPr>
                  <w:noProof/>
                  <w:sz w:val="20"/>
                  <w:szCs w:val="20"/>
                  <w:vertAlign w:val="superscript"/>
                </w:rPr>
                <w:t>2</w:t>
              </w:r>
            </w:hyperlink>
            <w:r w:rsidR="002565E6" w:rsidRPr="002565E6">
              <w:rPr>
                <w:noProof/>
                <w:sz w:val="20"/>
                <w:szCs w:val="20"/>
                <w:vertAlign w:val="superscript"/>
              </w:rPr>
              <w:t xml:space="preserve">, </w:t>
            </w:r>
            <w:hyperlink w:anchor="_ENREF_91" w:tooltip="Lintzeris, 2021 #3473" w:history="1">
              <w:r w:rsidR="002565E6" w:rsidRPr="002565E6">
                <w:rPr>
                  <w:noProof/>
                  <w:sz w:val="20"/>
                  <w:szCs w:val="20"/>
                  <w:vertAlign w:val="superscript"/>
                </w:rPr>
                <w:t>91</w:t>
              </w:r>
            </w:hyperlink>
            <w:r w:rsidRPr="00257F28">
              <w:rPr>
                <w:sz w:val="20"/>
                <w:szCs w:val="20"/>
              </w:rPr>
              <w:fldChar w:fldCharType="end"/>
            </w:r>
          </w:p>
        </w:tc>
      </w:tr>
      <w:tr w:rsidR="006F0DAE" w:rsidRPr="00EA3458" w14:paraId="0C8FDE8A" w14:textId="77777777" w:rsidTr="00257F28">
        <w:trPr>
          <w:trHeight w:val="334"/>
        </w:trPr>
        <w:tc>
          <w:tcPr>
            <w:tcW w:w="9696" w:type="dxa"/>
            <w:gridSpan w:val="8"/>
            <w:shd w:val="clear" w:color="auto" w:fill="E7E6E6" w:themeFill="background2"/>
          </w:tcPr>
          <w:p w14:paraId="39ABBD74" w14:textId="77777777" w:rsidR="006F0DAE" w:rsidRPr="00257F28" w:rsidRDefault="006F0DAE" w:rsidP="0021604E">
            <w:pPr>
              <w:jc w:val="left"/>
              <w:rPr>
                <w:b/>
                <w:bCs/>
                <w:sz w:val="20"/>
                <w:szCs w:val="20"/>
              </w:rPr>
            </w:pPr>
            <w:r w:rsidRPr="00257F28">
              <w:rPr>
                <w:b/>
                <w:bCs/>
                <w:sz w:val="20"/>
                <w:szCs w:val="20"/>
              </w:rPr>
              <w:t>During COVID</w:t>
            </w:r>
          </w:p>
        </w:tc>
      </w:tr>
      <w:tr w:rsidR="006F0DAE" w:rsidRPr="00EA3458" w14:paraId="0ECB5BD2" w14:textId="77777777" w:rsidTr="00257F28">
        <w:trPr>
          <w:trHeight w:val="527"/>
        </w:trPr>
        <w:tc>
          <w:tcPr>
            <w:tcW w:w="1639" w:type="dxa"/>
          </w:tcPr>
          <w:p w14:paraId="06590DFB" w14:textId="77777777" w:rsidR="006F0DAE" w:rsidRPr="00257F28" w:rsidRDefault="006F0DAE" w:rsidP="0021604E">
            <w:pPr>
              <w:jc w:val="left"/>
              <w:rPr>
                <w:b/>
                <w:bCs/>
                <w:sz w:val="20"/>
                <w:szCs w:val="20"/>
              </w:rPr>
            </w:pPr>
            <w:r w:rsidRPr="00257F28">
              <w:rPr>
                <w:b/>
                <w:bCs/>
                <w:sz w:val="20"/>
                <w:szCs w:val="20"/>
              </w:rPr>
              <w:t>Proportion with takeaway doses</w:t>
            </w:r>
          </w:p>
        </w:tc>
        <w:tc>
          <w:tcPr>
            <w:tcW w:w="1706" w:type="dxa"/>
          </w:tcPr>
          <w:p w14:paraId="217A125A" w14:textId="77777777" w:rsidR="006F0DAE" w:rsidRPr="00257F28" w:rsidRDefault="006F0DAE" w:rsidP="0021604E">
            <w:pPr>
              <w:jc w:val="left"/>
              <w:rPr>
                <w:sz w:val="20"/>
                <w:szCs w:val="20"/>
              </w:rPr>
            </w:pPr>
            <w:r w:rsidRPr="00257F28">
              <w:rPr>
                <w:sz w:val="20"/>
                <w:szCs w:val="20"/>
              </w:rPr>
              <w:t>0.47 (0.44, 0.51)</w:t>
            </w:r>
          </w:p>
        </w:tc>
        <w:tc>
          <w:tcPr>
            <w:tcW w:w="924" w:type="dxa"/>
          </w:tcPr>
          <w:p w14:paraId="631EDB10" w14:textId="4CB8A260" w:rsidR="006F0DAE" w:rsidRPr="00257F28" w:rsidRDefault="006F0DAE" w:rsidP="0021604E">
            <w:pPr>
              <w:jc w:val="left"/>
              <w:rPr>
                <w:sz w:val="20"/>
                <w:szCs w:val="20"/>
              </w:rPr>
            </w:pPr>
            <w:r w:rsidRPr="00257F28">
              <w:rPr>
                <w:sz w:val="20"/>
                <w:szCs w:val="20"/>
              </w:rPr>
              <w:fldChar w:fldCharType="begin">
                <w:fldData xml:space="preserve">PEVuZE5vdGU+PENpdGU+PEF1dGhvcj5WYWxlcmlvPC9BdXRob3I+PFllYXI+MjAyMTwvWWVhcj48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</w:fldData>
              </w:fldChar>
            </w:r>
            <w:r w:rsidR="002565E6">
              <w:rPr>
                <w:sz w:val="20"/>
                <w:szCs w:val="20"/>
              </w:rPr>
              <w:instrText xml:space="preserve"> ADDIN EN.CITE </w:instrText>
            </w:r>
            <w:r w:rsidR="002565E6">
              <w:rPr>
                <w:sz w:val="20"/>
                <w:szCs w:val="20"/>
              </w:rPr>
              <w:fldChar w:fldCharType="begin">
                <w:fldData xml:space="preserve">PEVuZE5vdGU+PENpdGU+PEF1dGhvcj5WYWxlcmlvPC9BdXRob3I+PFllYXI+MjAyMTwvWWVhcj48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</w:fldData>
              </w:fldChar>
            </w:r>
            <w:r w:rsidR="002565E6">
              <w:rPr>
                <w:sz w:val="20"/>
                <w:szCs w:val="20"/>
              </w:rPr>
              <w:instrText xml:space="preserve"> ADDIN EN.CITE.DATA </w:instrText>
            </w:r>
            <w:r w:rsidR="002565E6">
              <w:rPr>
                <w:sz w:val="20"/>
                <w:szCs w:val="20"/>
              </w:rPr>
            </w:r>
            <w:r w:rsidR="002565E6">
              <w:rPr>
                <w:sz w:val="20"/>
                <w:szCs w:val="20"/>
              </w:rPr>
              <w:fldChar w:fldCharType="end"/>
            </w:r>
            <w:r w:rsidRPr="00257F28">
              <w:rPr>
                <w:sz w:val="20"/>
                <w:szCs w:val="20"/>
              </w:rPr>
            </w:r>
            <w:r w:rsidRPr="00257F28">
              <w:rPr>
                <w:sz w:val="20"/>
                <w:szCs w:val="20"/>
              </w:rPr>
              <w:fldChar w:fldCharType="separate"/>
            </w:r>
            <w:hyperlink w:anchor="_ENREF_7" w:tooltip="Valerio, 2021 #7" w:history="1">
              <w:r w:rsidR="002565E6" w:rsidRPr="002565E6">
                <w:rPr>
                  <w:noProof/>
                  <w:sz w:val="20"/>
                  <w:szCs w:val="20"/>
                  <w:vertAlign w:val="superscript"/>
                </w:rPr>
                <w:t>7</w:t>
              </w:r>
            </w:hyperlink>
            <w:r w:rsidR="002565E6" w:rsidRPr="002565E6">
              <w:rPr>
                <w:noProof/>
                <w:sz w:val="20"/>
                <w:szCs w:val="20"/>
                <w:vertAlign w:val="superscript"/>
              </w:rPr>
              <w:t xml:space="preserve">, </w:t>
            </w:r>
            <w:hyperlink w:anchor="_ENREF_91" w:tooltip="Lintzeris, 2021 #3473" w:history="1">
              <w:r w:rsidR="002565E6" w:rsidRPr="002565E6">
                <w:rPr>
                  <w:noProof/>
                  <w:sz w:val="20"/>
                  <w:szCs w:val="20"/>
                  <w:vertAlign w:val="superscript"/>
                </w:rPr>
                <w:t>91</w:t>
              </w:r>
            </w:hyperlink>
            <w:r w:rsidRPr="00257F28">
              <w:rPr>
                <w:sz w:val="20"/>
                <w:szCs w:val="20"/>
              </w:rPr>
              <w:fldChar w:fldCharType="end"/>
            </w:r>
          </w:p>
        </w:tc>
        <w:tc>
          <w:tcPr>
            <w:tcW w:w="1706" w:type="dxa"/>
            <w:gridSpan w:val="2"/>
          </w:tcPr>
          <w:p w14:paraId="31C6E2E2" w14:textId="77777777" w:rsidR="006F0DAE" w:rsidRPr="00257F28" w:rsidRDefault="006F0DAE" w:rsidP="0021604E">
            <w:pPr>
              <w:jc w:val="left"/>
              <w:rPr>
                <w:sz w:val="20"/>
                <w:szCs w:val="20"/>
              </w:rPr>
            </w:pPr>
            <w:r w:rsidRPr="00257F28">
              <w:rPr>
                <w:sz w:val="20"/>
                <w:szCs w:val="20"/>
              </w:rPr>
              <w:t>0.51 (0.47, 0.55)</w:t>
            </w:r>
          </w:p>
        </w:tc>
        <w:tc>
          <w:tcPr>
            <w:tcW w:w="924" w:type="dxa"/>
          </w:tcPr>
          <w:p w14:paraId="35FACB6C" w14:textId="2C69E198" w:rsidR="006F0DAE" w:rsidRPr="00257F28" w:rsidRDefault="00000000" w:rsidP="0021604E">
            <w:pPr>
              <w:jc w:val="left"/>
              <w:rPr>
                <w:sz w:val="20"/>
                <w:szCs w:val="20"/>
              </w:rPr>
            </w:pPr>
            <w:hyperlink w:anchor="_ENREF_91" w:tooltip="Lintzeris, 2021 #3473" w:history="1">
              <w:r w:rsidR="002565E6" w:rsidRPr="00257F28">
                <w:rPr>
                  <w:sz w:val="20"/>
                  <w:szCs w:val="20"/>
                </w:rPr>
                <w:fldChar w:fldCharType="begin"/>
              </w:r>
              <w:r w:rsidR="002565E6">
                <w:rPr>
                  <w:sz w:val="20"/>
                  <w:szCs w:val="20"/>
                </w:rPr>
                <w:instrText xml:space="preserve"> ADDIN EN.CITE &lt;EndNote&gt;&lt;Cite&gt;&lt;Author&gt;Lintzeris&lt;/Author&gt;&lt;Year&gt;2021&lt;/Year&gt;&lt;RecNum&gt;3473&lt;/RecNum&gt;&lt;DisplayText&gt;&lt;style face="superscript"&gt;91&lt;/style&gt;&lt;/DisplayText&gt;&lt;record&gt;&lt;rec-number&gt;3473&lt;/rec-number&gt;&lt;foreign-keys&gt;&lt;key app="EN" db-id="pdp2v9rwnsez9qedfx2xtwa7tsw99rvd5zxv" timestamp="1644967129"&gt;3473&lt;/key&gt;&lt;/foreign-keys&gt;&lt;ref-type name="Journal Article"&gt;17&lt;/ref-type&gt;&lt;contributors&gt;&lt;authors&gt;&lt;author&gt;Lintzeris, N.&lt;/author&gt;&lt;author&gt;Deacon, R. M.&lt;/author&gt;&lt;author&gt;Hayes, V.&lt;/author&gt;&lt;author&gt;Cowan, T.&lt;/author&gt;&lt;author&gt;Mills, L.&lt;/author&gt;&lt;author&gt;Parvaresh, L.&lt;/author&gt;&lt;author&gt;Harvey Dodds, L.&lt;/author&gt;&lt;author&gt;Jansen, L.&lt;/author&gt;&lt;author&gt;Dojcinovic, R.&lt;/author&gt;&lt;author&gt;Leung, M. C.&lt;/author&gt;&lt;author&gt;Demirkol, A.&lt;/author&gt;&lt;author&gt;Finch, T.&lt;/author&gt;&lt;author&gt;Mammen, K.&lt;/author&gt;&lt;/authors&gt;&lt;/contributors&gt;&lt;titles&gt;&lt;title&gt;Opioid agonist treatment and patient outcomes during the COVID-19 pandemic in south east Sydney, Australia&lt;/title&gt;&lt;secondary-title&gt;Drug Alcohol Rev&lt;/secondary-title&gt;&lt;/titles&gt;&lt;periodical&gt;&lt;full-title&gt;Drug Alcohol Rev&lt;/full-title&gt;&lt;/periodical&gt;&lt;dates&gt;&lt;year&gt;2021&lt;/year&gt;&lt;/dates&gt;&lt;accession-num&gt;34520592&lt;/accession-num&gt;&lt;urls&gt;&lt;/urls&gt;&lt;electronic-resource-num&gt;10.1111/dar.13382&lt;/electronic-resource-num&gt;&lt;/record&gt;&lt;/Cite&gt;&lt;/EndNote&gt;</w:instrText>
              </w:r>
              <w:r w:rsidR="002565E6" w:rsidRPr="00257F28">
                <w:rPr>
                  <w:sz w:val="20"/>
                  <w:szCs w:val="20"/>
                </w:rPr>
                <w:fldChar w:fldCharType="separate"/>
              </w:r>
              <w:r w:rsidR="002565E6" w:rsidRPr="002565E6">
                <w:rPr>
                  <w:noProof/>
                  <w:sz w:val="20"/>
                  <w:szCs w:val="20"/>
                  <w:vertAlign w:val="superscript"/>
                </w:rPr>
                <w:t>91</w:t>
              </w:r>
              <w:r w:rsidR="002565E6" w:rsidRPr="00257F28">
                <w:rPr>
                  <w:sz w:val="20"/>
                  <w:szCs w:val="20"/>
                </w:rPr>
                <w:fldChar w:fldCharType="end"/>
              </w:r>
            </w:hyperlink>
          </w:p>
        </w:tc>
        <w:tc>
          <w:tcPr>
            <w:tcW w:w="1706" w:type="dxa"/>
          </w:tcPr>
          <w:p w14:paraId="715AC779" w14:textId="77777777" w:rsidR="006F0DAE" w:rsidRPr="00257F28" w:rsidRDefault="006F0DAE" w:rsidP="0021604E">
            <w:pPr>
              <w:jc w:val="left"/>
              <w:rPr>
                <w:sz w:val="20"/>
                <w:szCs w:val="20"/>
              </w:rPr>
            </w:pPr>
            <w:r w:rsidRPr="00257F28">
              <w:rPr>
                <w:sz w:val="20"/>
                <w:szCs w:val="20"/>
              </w:rPr>
              <w:t>0.55 (0.49, 0.61)</w:t>
            </w:r>
          </w:p>
        </w:tc>
        <w:tc>
          <w:tcPr>
            <w:tcW w:w="1089" w:type="dxa"/>
          </w:tcPr>
          <w:p w14:paraId="42A3539C" w14:textId="35E1701E" w:rsidR="006F0DAE" w:rsidRPr="00257F28" w:rsidRDefault="00000000" w:rsidP="0021604E">
            <w:pPr>
              <w:jc w:val="left"/>
              <w:rPr>
                <w:sz w:val="20"/>
                <w:szCs w:val="20"/>
              </w:rPr>
            </w:pPr>
            <w:hyperlink w:anchor="_ENREF_91" w:tooltip="Lintzeris, 2021 #3473" w:history="1">
              <w:r w:rsidR="002565E6" w:rsidRPr="00257F28">
                <w:rPr>
                  <w:sz w:val="20"/>
                  <w:szCs w:val="20"/>
                </w:rPr>
                <w:fldChar w:fldCharType="begin"/>
              </w:r>
              <w:r w:rsidR="002565E6">
                <w:rPr>
                  <w:sz w:val="20"/>
                  <w:szCs w:val="20"/>
                </w:rPr>
                <w:instrText xml:space="preserve"> ADDIN EN.CITE &lt;EndNote&gt;&lt;Cite&gt;&lt;Author&gt;Lintzeris&lt;/Author&gt;&lt;Year&gt;2021&lt;/Year&gt;&lt;RecNum&gt;3473&lt;/RecNum&gt;&lt;DisplayText&gt;&lt;style face="superscript"&gt;91&lt;/style&gt;&lt;/DisplayText&gt;&lt;record&gt;&lt;rec-number&gt;3473&lt;/rec-number&gt;&lt;foreign-keys&gt;&lt;key app="EN" db-id="pdp2v9rwnsez9qedfx2xtwa7tsw99rvd5zxv" timestamp="1644967129"&gt;3473&lt;/key&gt;&lt;/foreign-keys&gt;&lt;ref-type name="Journal Article"&gt;17&lt;/ref-type&gt;&lt;contributors&gt;&lt;authors&gt;&lt;author&gt;Lintzeris, N.&lt;/author&gt;&lt;author&gt;Deacon, R. M.&lt;/author&gt;&lt;author&gt;Hayes, V.&lt;/author&gt;&lt;author&gt;Cowan, T.&lt;/author&gt;&lt;author&gt;Mills, L.&lt;/author&gt;&lt;author&gt;Parvaresh, L.&lt;/author&gt;&lt;author&gt;Harvey Dodds, L.&lt;/author&gt;&lt;author&gt;Jansen, L.&lt;/author&gt;&lt;author&gt;Dojcinovic, R.&lt;/author&gt;&lt;author&gt;Leung, M. C.&lt;/author&gt;&lt;author&gt;Demirkol, A.&lt;/author&gt;&lt;author&gt;Finch, T.&lt;/author&gt;&lt;author&gt;Mammen, K.&lt;/author&gt;&lt;/authors&gt;&lt;/contributors&gt;&lt;titles&gt;&lt;title&gt;Opioid agonist treatment and patient outcomes during the COVID-19 pandemic in south east Sydney, Australia&lt;/title&gt;&lt;secondary-title&gt;Drug Alcohol Rev&lt;/secondary-title&gt;&lt;/titles&gt;&lt;periodical&gt;&lt;full-title&gt;Drug Alcohol Rev&lt;/full-title&gt;&lt;/periodical&gt;&lt;dates&gt;&lt;year&gt;2021&lt;/year&gt;&lt;/dates&gt;&lt;accession-num&gt;34520592&lt;/accession-num&gt;&lt;urls&gt;&lt;/urls&gt;&lt;electronic-resource-num&gt;10.1111/dar.13382&lt;/electronic-resource-num&gt;&lt;/record&gt;&lt;/Cite&gt;&lt;/EndNote&gt;</w:instrText>
              </w:r>
              <w:r w:rsidR="002565E6" w:rsidRPr="00257F28">
                <w:rPr>
                  <w:sz w:val="20"/>
                  <w:szCs w:val="20"/>
                </w:rPr>
                <w:fldChar w:fldCharType="separate"/>
              </w:r>
              <w:r w:rsidR="002565E6" w:rsidRPr="002565E6">
                <w:rPr>
                  <w:noProof/>
                  <w:sz w:val="20"/>
                  <w:szCs w:val="20"/>
                  <w:vertAlign w:val="superscript"/>
                </w:rPr>
                <w:t>91</w:t>
              </w:r>
              <w:r w:rsidR="002565E6" w:rsidRPr="00257F28">
                <w:rPr>
                  <w:sz w:val="20"/>
                  <w:szCs w:val="20"/>
                </w:rPr>
                <w:fldChar w:fldCharType="end"/>
              </w:r>
            </w:hyperlink>
          </w:p>
        </w:tc>
      </w:tr>
    </w:tbl>
    <w:p w14:paraId="2A8E3A18" w14:textId="7C46F853" w:rsidR="006F0DAE" w:rsidRDefault="006F0DAE" w:rsidP="00981550">
      <w:pPr>
        <w:spacing w:after="0"/>
        <w:rPr>
          <w:sz w:val="20"/>
        </w:rPr>
      </w:pPr>
      <w:r w:rsidRPr="00EA3458">
        <w:rPr>
          <w:sz w:val="20"/>
        </w:rPr>
        <w:t>Where applicable, I</w:t>
      </w:r>
      <w:r w:rsidRPr="00EA3458">
        <w:rPr>
          <w:sz w:val="20"/>
          <w:vertAlign w:val="superscript"/>
        </w:rPr>
        <w:t>2</w:t>
      </w:r>
      <w:r w:rsidRPr="00EA3458">
        <w:rPr>
          <w:sz w:val="20"/>
        </w:rPr>
        <w:t>=0.0.</w:t>
      </w:r>
    </w:p>
    <w:p w14:paraId="49B18DE6" w14:textId="77777777" w:rsidR="00F01D1F" w:rsidRPr="00EA3458" w:rsidRDefault="00F01D1F" w:rsidP="00981550">
      <w:pPr>
        <w:spacing w:after="0"/>
        <w:rPr>
          <w:sz w:val="20"/>
        </w:rPr>
      </w:pPr>
    </w:p>
    <w:p w14:paraId="2D57640A" w14:textId="543CC522" w:rsidR="006F0DAE" w:rsidRPr="00EA3458" w:rsidRDefault="006F0DAE" w:rsidP="007E3DC8">
      <w:pPr>
        <w:pStyle w:val="Heading3"/>
        <w:numPr>
          <w:ilvl w:val="1"/>
          <w:numId w:val="45"/>
        </w:numPr>
      </w:pPr>
      <w:bookmarkStart w:id="498" w:name="_Toc163221178"/>
      <w:r w:rsidRPr="00EA3458">
        <w:t xml:space="preserve">Commonwealth expenditure data – </w:t>
      </w:r>
      <w:r w:rsidR="00992300">
        <w:t xml:space="preserve">PBS </w:t>
      </w:r>
      <w:r w:rsidRPr="00EA3458">
        <w:t>ODTP medicine utilisation trends</w:t>
      </w:r>
      <w:bookmarkEnd w:id="498"/>
    </w:p>
    <w:p w14:paraId="0CA5ABC0" w14:textId="654A3F51" w:rsidR="006F0DAE" w:rsidRPr="00EA3458" w:rsidRDefault="006F0DAE" w:rsidP="007E3DC8">
      <w:pPr>
        <w:pStyle w:val="Heading4"/>
        <w:numPr>
          <w:ilvl w:val="2"/>
          <w:numId w:val="45"/>
        </w:numPr>
        <w:rPr>
          <w:rFonts w:eastAsia="Times New Roman"/>
        </w:rPr>
      </w:pPr>
      <w:bookmarkStart w:id="499" w:name="_Hlk104410675"/>
      <w:r w:rsidRPr="00EA3458">
        <w:rPr>
          <w:rFonts w:eastAsia="Times New Roman"/>
        </w:rPr>
        <w:t xml:space="preserve">Commonwealth expenditure trends across </w:t>
      </w:r>
      <w:r w:rsidR="00992300">
        <w:rPr>
          <w:rFonts w:eastAsia="Times New Roman"/>
        </w:rPr>
        <w:t xml:space="preserve">PBS </w:t>
      </w:r>
      <w:r w:rsidRPr="00EA3458">
        <w:rPr>
          <w:rFonts w:eastAsia="Times New Roman"/>
        </w:rPr>
        <w:t>ODTP medicines</w:t>
      </w:r>
    </w:p>
    <w:p w14:paraId="4ABAAF9A" w14:textId="53419D1D" w:rsidR="006F0DAE" w:rsidRPr="00EA3458" w:rsidRDefault="006F0DAE" w:rsidP="00F22F00">
      <w:r w:rsidRPr="00EA3458">
        <w:t xml:space="preserve">Commonwealth Government expenditure on the </w:t>
      </w:r>
      <w:r w:rsidR="00992300">
        <w:t xml:space="preserve">PBS </w:t>
      </w:r>
      <w:r w:rsidRPr="00EA3458">
        <w:t>ODTP has been steadily increasing over the years. Expenditure has doubled from the 2016-17 financial year ($51.5</w:t>
      </w:r>
      <w:r w:rsidR="00AF7D24">
        <w:t xml:space="preserve"> million</w:t>
      </w:r>
      <w:r w:rsidRPr="00EA3458">
        <w:t>) to 2021-2022 ($108.6</w:t>
      </w:r>
      <w:r w:rsidR="00AF7D24">
        <w:t xml:space="preserve"> million</w:t>
      </w:r>
      <w:r w:rsidRPr="00EA3458">
        <w:t>).</w:t>
      </w:r>
    </w:p>
    <w:p w14:paraId="76EF9264" w14:textId="12617D61" w:rsidR="006F0DAE" w:rsidRPr="00EA3458" w:rsidRDefault="006F0DAE" w:rsidP="00F22F00">
      <w:r w:rsidRPr="00EA3458">
        <w:t xml:space="preserve">Notably, growth has accelerated significantly since the 2019-2020 financial </w:t>
      </w:r>
      <w:r w:rsidRPr="00F01D1F">
        <w:t xml:space="preserve">year </w:t>
      </w:r>
      <w:r w:rsidR="00156F80">
        <w:br/>
      </w:r>
      <w:r w:rsidRPr="00F01D1F">
        <w:t xml:space="preserve">(see </w:t>
      </w:r>
      <w:r w:rsidR="002D5DBD" w:rsidRPr="00F01D1F">
        <w:t>T</w:t>
      </w:r>
      <w:r w:rsidRPr="00F01D1F">
        <w:t>able</w:t>
      </w:r>
      <w:r w:rsidR="002D5DBD" w:rsidRPr="00F01D1F">
        <w:t>s</w:t>
      </w:r>
      <w:r w:rsidRPr="00F01D1F">
        <w:t xml:space="preserve"> </w:t>
      </w:r>
      <w:r w:rsidR="002D5DBD" w:rsidRPr="00F01D1F">
        <w:t>1</w:t>
      </w:r>
      <w:r w:rsidR="00156F80">
        <w:t>6</w:t>
      </w:r>
      <w:r w:rsidR="002D5DBD" w:rsidRPr="00F01D1F">
        <w:t>-1</w:t>
      </w:r>
      <w:r w:rsidR="00156F80">
        <w:t>7</w:t>
      </w:r>
      <w:r w:rsidRPr="00F01D1F">
        <w:t xml:space="preserve">). This increase coincides with the listing of LAIB formulations in </w:t>
      </w:r>
      <w:r w:rsidR="00156F80">
        <w:br/>
      </w:r>
      <w:r w:rsidRPr="00F01D1F">
        <w:t>Septembe</w:t>
      </w:r>
      <w:r w:rsidRPr="00EA3458">
        <w:t xml:space="preserve">r 2019. Table </w:t>
      </w:r>
      <w:r w:rsidR="002D5DBD" w:rsidRPr="00EA3458">
        <w:t>1</w:t>
      </w:r>
      <w:r w:rsidR="00420AEF">
        <w:t>7</w:t>
      </w:r>
      <w:r w:rsidRPr="00EA3458">
        <w:t xml:space="preserve"> demonstrates that LAIB are the only medicine form for which growth in expenditure has been observed following this increase.</w:t>
      </w:r>
    </w:p>
    <w:p w14:paraId="5FCFF24C" w14:textId="636C7B4D" w:rsidR="006F0DAE" w:rsidRPr="00EA3458" w:rsidRDefault="006F0DAE" w:rsidP="004139FC">
      <w:r w:rsidRPr="00EA3458">
        <w:t>In 2021-22, LAIB overtook buprenorphine + naloxone films as the medicine with the highest expenditure ($54.4</w:t>
      </w:r>
      <w:r w:rsidR="00AF7D24">
        <w:t xml:space="preserve"> million</w:t>
      </w:r>
      <w:r w:rsidRPr="00EA3458">
        <w:t xml:space="preserve"> and $44.0</w:t>
      </w:r>
      <w:r w:rsidR="00AF7D24">
        <w:t xml:space="preserve"> million</w:t>
      </w:r>
      <w:r w:rsidRPr="00EA3458">
        <w:t xml:space="preserve"> respectively), while for methadone and buprenorphine tablets the Commonwealth expenditure is significantly lower ($5.1</w:t>
      </w:r>
      <w:r w:rsidR="00AF7D24">
        <w:t xml:space="preserve"> million</w:t>
      </w:r>
      <w:r w:rsidRPr="00EA3458">
        <w:t xml:space="preserve"> each).</w:t>
      </w:r>
    </w:p>
    <w:p w14:paraId="478F4412" w14:textId="5AC96E0F" w:rsidR="006F0DAE" w:rsidRPr="00EA3458" w:rsidRDefault="006F0DAE" w:rsidP="004139FC">
      <w:r w:rsidRPr="00F01D1F">
        <w:t xml:space="preserve">Although Table </w:t>
      </w:r>
      <w:r w:rsidR="002D5DBD" w:rsidRPr="00F01D1F">
        <w:t>1</w:t>
      </w:r>
      <w:r w:rsidR="00420AEF">
        <w:t>6</w:t>
      </w:r>
      <w:r w:rsidRPr="00F01D1F">
        <w:t xml:space="preserve"> provide</w:t>
      </w:r>
      <w:r w:rsidR="002D5DBD" w:rsidRPr="00F01D1F">
        <w:t>s</w:t>
      </w:r>
      <w:r w:rsidRPr="00EA3458">
        <w:t xml:space="preserve"> a broad understanding of the Commonwealth expenses related to each medicine, these figures do not consider patient numbers thereby making cost-effectiveness analyses challenging. It is important to note that the analysis of expenditure alone does not provide an accurate picture of the number of doses of each medicine supplied each year or the number of </w:t>
      </w:r>
      <w:r w:rsidR="00AB43EE">
        <w:t>customers</w:t>
      </w:r>
      <w:r w:rsidRPr="00EA3458">
        <w:t xml:space="preserve"> accessing </w:t>
      </w:r>
      <w:r w:rsidR="00AB43EE">
        <w:t>O</w:t>
      </w:r>
      <w:r w:rsidR="00992300">
        <w:t>D</w:t>
      </w:r>
      <w:r w:rsidR="00AB43EE">
        <w:t>T</w:t>
      </w:r>
      <w:r w:rsidRPr="00EA3458">
        <w:t xml:space="preserve"> medicines. For example, while methadone sales are only a small fraction of overall </w:t>
      </w:r>
      <w:r w:rsidR="00992300">
        <w:t xml:space="preserve">PBS </w:t>
      </w:r>
      <w:r w:rsidRPr="00EA3458">
        <w:t>ODTP costs, NOPSAD indicates it is the most common medicine being supplied to patients</w:t>
      </w:r>
      <w:r w:rsidR="00B162D0">
        <w:t xml:space="preserve">. </w:t>
      </w:r>
      <w:r w:rsidR="00B162D0" w:rsidRPr="00CB2E45">
        <w:t xml:space="preserve">On the other hand, the opposite is true for buprenorphine formulations, particularly buprenorphine + naloxone and LAIB, which together account for 90% of expenditure but account for less than half of doses supplied to </w:t>
      </w:r>
      <w:r w:rsidR="00B162D0" w:rsidRPr="00AA244B">
        <w:t>patients</w:t>
      </w:r>
      <w:r w:rsidR="00691FB8">
        <w:t>.</w:t>
      </w:r>
      <w:hyperlink w:anchor="_ENREF_1" w:tooltip="Australian Institute of Health and Welfare, 2022 #1" w:history="1">
        <w:r w:rsidR="002565E6" w:rsidRPr="00AA244B">
          <w:rPr>
            <w:rFonts w:asciiTheme="minorHAnsi" w:hAnsiTheme="minorHAnsi" w:cstheme="minorHAnsi"/>
          </w:rPr>
          <w:fldChar w:fldCharType="begin"/>
        </w:r>
        <w:r w:rsidR="002565E6">
          <w:rPr>
            <w:rFonts w:asciiTheme="minorHAnsi" w:hAnsiTheme="minorHAnsi" w:cstheme="minorHAnsi"/>
          </w:rPr>
          <w:instrText xml:space="preserve"> ADDIN EN.CITE &lt;EndNote&gt;&lt;Cite&gt;&lt;Author&gt;Australian Institute of Health and Welfare&lt;/Author&gt;&lt;Year&gt;2022&lt;/Year&gt;&lt;RecNum&gt;1&lt;/RecNum&gt;&lt;DisplayText&gt;&lt;style face="superscript"&gt;1&lt;/style&gt;&lt;/DisplayText&gt;&lt;record&gt;&lt;rec-number&gt;1&lt;/rec-number&gt;&lt;foreign-keys&gt;&lt;key app="EN" db-id="xssz590sx9vzw4ewpzdv0s5sret50aexdtd9" timestamp="1668645241"&gt;1&lt;/key&gt;&lt;/foreign-keys&gt;&lt;ref-type name="Report"&gt;27&lt;/ref-type&gt;&lt;contributors&gt;&lt;authors&gt;&lt;author&gt;Australian Institute of Health and Welfare,&lt;/author&gt;&lt;/authors&gt;&lt;/contributors&gt;&lt;titles&gt;&lt;title&gt;National Opioid Pharmacotherapy Statistics Annual Data (NOPSAD) collection. &lt;/title&gt;&lt;/titles&gt;&lt;volume&gt;Cat. no. PHE 266&lt;/volume&gt;&lt;dates&gt;&lt;year&gt;2022&lt;/year&gt;&lt;pub-dates&gt;&lt;date&gt;2022/11/21/&lt;/date&gt;&lt;/pub-dates&gt;&lt;/dates&gt;&lt;pub-location&gt;Canberra&lt;/pub-location&gt;&lt;publisher&gt;AIHW&lt;/publisher&gt;&lt;label&gt;BibEntry2022Feb&lt;/label&gt;&lt;urls&gt;&lt;related-urls&gt;&lt;url&gt;https://www.aihw.gov.au/reports/alcohol-other-drug-treatment-services/national-opioidpharmacotherapy-statistics&lt;/url&gt;&lt;/related-urls&gt;&lt;/urls&gt;&lt;language&gt;English&lt;/language&gt;&lt;/record&gt;&lt;/Cite&gt;&lt;/EndNote&gt;</w:instrText>
        </w:r>
        <w:r w:rsidR="002565E6" w:rsidRPr="00AA244B">
          <w:rPr>
            <w:rFonts w:asciiTheme="minorHAnsi" w:hAnsiTheme="minorHAnsi" w:cstheme="minorHAnsi"/>
          </w:rPr>
          <w:fldChar w:fldCharType="separate"/>
        </w:r>
        <w:r w:rsidR="002565E6" w:rsidRPr="00AA244B">
          <w:rPr>
            <w:rFonts w:asciiTheme="minorHAnsi" w:hAnsiTheme="minorHAnsi" w:cstheme="minorHAnsi"/>
            <w:noProof/>
            <w:vertAlign w:val="superscript"/>
          </w:rPr>
          <w:t>1</w:t>
        </w:r>
        <w:r w:rsidR="002565E6" w:rsidRPr="00AA244B">
          <w:rPr>
            <w:rFonts w:asciiTheme="minorHAnsi" w:hAnsiTheme="minorHAnsi" w:cstheme="minorHAnsi"/>
          </w:rPr>
          <w:fldChar w:fldCharType="end"/>
        </w:r>
      </w:hyperlink>
      <w:r w:rsidR="004E1714">
        <w:rPr>
          <w:rFonts w:asciiTheme="minorHAnsi" w:hAnsiTheme="minorHAnsi" w:cstheme="minorHAnsi"/>
        </w:rPr>
        <w:t xml:space="preserve"> </w:t>
      </w:r>
    </w:p>
    <w:p w14:paraId="5E33470C" w14:textId="34A91EB6" w:rsidR="006F0DAE" w:rsidRDefault="006F0DAE" w:rsidP="00B92FB0">
      <w:pPr>
        <w:spacing w:after="0"/>
      </w:pPr>
      <w:r w:rsidRPr="00EA3458">
        <w:lastRenderedPageBreak/>
        <w:t>This inconsistency is due to large variation in the costs of individual doses for each medicine, as will be discussed in the following section.</w:t>
      </w:r>
    </w:p>
    <w:p w14:paraId="570BEA75" w14:textId="77777777" w:rsidR="00B92FB0" w:rsidRPr="00EA3458" w:rsidRDefault="00B92FB0" w:rsidP="00B92FB0">
      <w:pPr>
        <w:spacing w:after="0"/>
      </w:pPr>
    </w:p>
    <w:p w14:paraId="70396F66" w14:textId="6BD7C81D" w:rsidR="006F0DAE" w:rsidRPr="00EA3458" w:rsidRDefault="006F0DAE">
      <w:pPr>
        <w:pStyle w:val="Tables"/>
        <w:rPr>
          <w:rFonts w:eastAsia="Times New Roman"/>
        </w:rPr>
      </w:pPr>
      <w:bookmarkStart w:id="500" w:name="_Toc120183447"/>
      <w:bookmarkStart w:id="501" w:name="_Toc132823436"/>
      <w:r w:rsidRPr="00EA3458">
        <w:rPr>
          <w:rFonts w:eastAsia="Times New Roman"/>
        </w:rPr>
        <w:t xml:space="preserve">Table </w:t>
      </w:r>
      <w:r w:rsidR="002D5DBD" w:rsidRPr="00EA3458">
        <w:rPr>
          <w:rFonts w:eastAsia="Times New Roman"/>
        </w:rPr>
        <w:t>1</w:t>
      </w:r>
      <w:r w:rsidR="00156F80">
        <w:rPr>
          <w:rFonts w:eastAsia="Times New Roman"/>
        </w:rPr>
        <w:t>6</w:t>
      </w:r>
      <w:r w:rsidR="001957C9">
        <w:rPr>
          <w:rFonts w:eastAsia="Times New Roman"/>
        </w:rPr>
        <w:t>.</w:t>
      </w:r>
      <w:r w:rsidRPr="00EA3458">
        <w:rPr>
          <w:rFonts w:eastAsia="Times New Roman"/>
        </w:rPr>
        <w:t xml:space="preserve"> Annual expenditure of medicines for opioid dependence treatment by financial year</w:t>
      </w:r>
      <w:bookmarkEnd w:id="500"/>
      <w:bookmarkEnd w:id="501"/>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276"/>
        <w:gridCol w:w="1275"/>
        <w:gridCol w:w="1276"/>
        <w:gridCol w:w="1276"/>
        <w:gridCol w:w="1276"/>
        <w:gridCol w:w="1134"/>
      </w:tblGrid>
      <w:tr w:rsidR="006F0DAE" w:rsidRPr="00EA3458" w14:paraId="49A38479" w14:textId="77777777" w:rsidTr="00156C3B">
        <w:trPr>
          <w:trHeight w:val="71"/>
        </w:trPr>
        <w:tc>
          <w:tcPr>
            <w:tcW w:w="2547" w:type="dxa"/>
            <w:shd w:val="clear" w:color="auto" w:fill="D9D9D9" w:themeFill="background1" w:themeFillShade="D9"/>
            <w:vAlign w:val="center"/>
          </w:tcPr>
          <w:p w14:paraId="6673864D" w14:textId="77777777" w:rsidR="006F0DAE" w:rsidRPr="00EA3458" w:rsidRDefault="006F0DAE" w:rsidP="0021604E">
            <w:pPr>
              <w:spacing w:after="0" w:line="240" w:lineRule="auto"/>
              <w:jc w:val="left"/>
              <w:rPr>
                <w:rFonts w:eastAsia="Times New Roman" w:cs="Calibri"/>
                <w:b/>
                <w:bCs/>
                <w:color w:val="000000"/>
                <w:sz w:val="20"/>
                <w:szCs w:val="20"/>
                <w:lang w:eastAsia="en-AU"/>
              </w:rPr>
            </w:pPr>
          </w:p>
        </w:tc>
        <w:tc>
          <w:tcPr>
            <w:tcW w:w="7513" w:type="dxa"/>
            <w:gridSpan w:val="6"/>
            <w:shd w:val="clear" w:color="auto" w:fill="D9D9D9" w:themeFill="background1" w:themeFillShade="D9"/>
            <w:vAlign w:val="center"/>
          </w:tcPr>
          <w:p w14:paraId="78F427B0" w14:textId="77777777" w:rsidR="006F0DAE" w:rsidRPr="00EA3458" w:rsidRDefault="006F0DAE" w:rsidP="0021604E">
            <w:pPr>
              <w:spacing w:after="0" w:line="240" w:lineRule="auto"/>
              <w:jc w:val="left"/>
              <w:rPr>
                <w:rFonts w:eastAsia="Times New Roman" w:cs="Calibri"/>
                <w:b/>
                <w:bCs/>
                <w:color w:val="000000"/>
                <w:sz w:val="20"/>
                <w:szCs w:val="20"/>
                <w:lang w:eastAsia="en-AU"/>
              </w:rPr>
            </w:pPr>
            <w:r w:rsidRPr="00EA3458">
              <w:rPr>
                <w:rFonts w:eastAsia="Times New Roman" w:cs="Calibri"/>
                <w:b/>
                <w:bCs/>
                <w:color w:val="000000"/>
                <w:sz w:val="20"/>
                <w:szCs w:val="20"/>
                <w:lang w:eastAsia="en-AU"/>
              </w:rPr>
              <w:t>Financial Year</w:t>
            </w:r>
          </w:p>
        </w:tc>
      </w:tr>
      <w:tr w:rsidR="006F0DAE" w:rsidRPr="00EA3458" w14:paraId="14A31BFB" w14:textId="77777777" w:rsidTr="00156C3B">
        <w:trPr>
          <w:trHeight w:val="71"/>
        </w:trPr>
        <w:tc>
          <w:tcPr>
            <w:tcW w:w="2547" w:type="dxa"/>
            <w:shd w:val="clear" w:color="auto" w:fill="D9D9D9" w:themeFill="background1" w:themeFillShade="D9"/>
            <w:vAlign w:val="center"/>
            <w:hideMark/>
          </w:tcPr>
          <w:p w14:paraId="211DE169" w14:textId="77777777" w:rsidR="006F0DAE" w:rsidRPr="00EA3458" w:rsidRDefault="006F0DAE" w:rsidP="0021604E">
            <w:pPr>
              <w:spacing w:after="0" w:line="240" w:lineRule="auto"/>
              <w:jc w:val="left"/>
              <w:rPr>
                <w:rFonts w:eastAsia="Times New Roman" w:cs="Calibri"/>
                <w:b/>
                <w:bCs/>
                <w:color w:val="000000"/>
                <w:sz w:val="20"/>
                <w:szCs w:val="20"/>
                <w:lang w:eastAsia="en-AU"/>
              </w:rPr>
            </w:pPr>
            <w:r w:rsidRPr="00EA3458">
              <w:rPr>
                <w:rFonts w:eastAsia="Times New Roman" w:cs="Calibri"/>
                <w:b/>
                <w:bCs/>
                <w:color w:val="000000"/>
                <w:sz w:val="20"/>
                <w:szCs w:val="20"/>
                <w:lang w:eastAsia="en-AU"/>
              </w:rPr>
              <w:t> Drug</w:t>
            </w:r>
          </w:p>
        </w:tc>
        <w:tc>
          <w:tcPr>
            <w:tcW w:w="1276" w:type="dxa"/>
            <w:shd w:val="clear" w:color="auto" w:fill="D9D9D9" w:themeFill="background1" w:themeFillShade="D9"/>
            <w:vAlign w:val="center"/>
            <w:hideMark/>
          </w:tcPr>
          <w:p w14:paraId="125D4F9D" w14:textId="77777777" w:rsidR="006F0DAE" w:rsidRPr="00EA3458" w:rsidRDefault="006F0DAE" w:rsidP="0021604E">
            <w:pPr>
              <w:spacing w:after="0" w:line="240" w:lineRule="auto"/>
              <w:jc w:val="left"/>
              <w:rPr>
                <w:rFonts w:eastAsia="Times New Roman" w:cs="Calibri"/>
                <w:b/>
                <w:bCs/>
                <w:color w:val="000000"/>
                <w:sz w:val="20"/>
                <w:szCs w:val="20"/>
                <w:lang w:eastAsia="en-AU"/>
              </w:rPr>
            </w:pPr>
            <w:r w:rsidRPr="00EA3458">
              <w:rPr>
                <w:rFonts w:eastAsia="Times New Roman" w:cs="Calibri"/>
                <w:b/>
                <w:bCs/>
                <w:color w:val="000000"/>
                <w:sz w:val="20"/>
                <w:szCs w:val="20"/>
                <w:lang w:eastAsia="en-AU"/>
              </w:rPr>
              <w:t>2016-17</w:t>
            </w:r>
          </w:p>
        </w:tc>
        <w:tc>
          <w:tcPr>
            <w:tcW w:w="1275" w:type="dxa"/>
            <w:shd w:val="clear" w:color="auto" w:fill="D9D9D9" w:themeFill="background1" w:themeFillShade="D9"/>
            <w:vAlign w:val="center"/>
          </w:tcPr>
          <w:p w14:paraId="20C4050A" w14:textId="77777777" w:rsidR="006F0DAE" w:rsidRPr="00EA3458" w:rsidRDefault="006F0DAE" w:rsidP="0021604E">
            <w:pPr>
              <w:spacing w:after="0" w:line="240" w:lineRule="auto"/>
              <w:jc w:val="left"/>
              <w:rPr>
                <w:rFonts w:eastAsia="Times New Roman" w:cs="Calibri"/>
                <w:b/>
                <w:bCs/>
                <w:color w:val="000000"/>
                <w:sz w:val="20"/>
                <w:szCs w:val="20"/>
                <w:lang w:eastAsia="en-AU"/>
              </w:rPr>
            </w:pPr>
            <w:r w:rsidRPr="00EA3458">
              <w:rPr>
                <w:rFonts w:eastAsia="Times New Roman" w:cs="Calibri"/>
                <w:b/>
                <w:bCs/>
                <w:color w:val="000000"/>
                <w:sz w:val="20"/>
                <w:szCs w:val="20"/>
                <w:lang w:eastAsia="en-AU"/>
              </w:rPr>
              <w:t>2017-18</w:t>
            </w:r>
          </w:p>
        </w:tc>
        <w:tc>
          <w:tcPr>
            <w:tcW w:w="1276" w:type="dxa"/>
            <w:shd w:val="clear" w:color="auto" w:fill="D9D9D9" w:themeFill="background1" w:themeFillShade="D9"/>
            <w:noWrap/>
            <w:vAlign w:val="bottom"/>
            <w:hideMark/>
          </w:tcPr>
          <w:p w14:paraId="1B0223A8" w14:textId="77777777" w:rsidR="006F0DAE" w:rsidRPr="00EA3458" w:rsidRDefault="006F0DAE" w:rsidP="0021604E">
            <w:pPr>
              <w:spacing w:after="0" w:line="240" w:lineRule="auto"/>
              <w:jc w:val="left"/>
              <w:rPr>
                <w:rFonts w:eastAsia="Times New Roman" w:cs="Calibri"/>
                <w:b/>
                <w:bCs/>
                <w:color w:val="000000"/>
                <w:sz w:val="20"/>
                <w:szCs w:val="20"/>
                <w:lang w:eastAsia="en-AU"/>
              </w:rPr>
            </w:pPr>
            <w:r w:rsidRPr="00EA3458">
              <w:rPr>
                <w:rFonts w:eastAsia="Times New Roman" w:cs="Calibri"/>
                <w:b/>
                <w:bCs/>
                <w:color w:val="000000"/>
                <w:sz w:val="20"/>
                <w:szCs w:val="20"/>
                <w:lang w:eastAsia="en-AU"/>
              </w:rPr>
              <w:t>2018-19</w:t>
            </w:r>
          </w:p>
        </w:tc>
        <w:tc>
          <w:tcPr>
            <w:tcW w:w="1276" w:type="dxa"/>
            <w:shd w:val="clear" w:color="auto" w:fill="D9D9D9" w:themeFill="background1" w:themeFillShade="D9"/>
            <w:noWrap/>
            <w:vAlign w:val="bottom"/>
            <w:hideMark/>
          </w:tcPr>
          <w:p w14:paraId="3C1EA166" w14:textId="77777777" w:rsidR="006F0DAE" w:rsidRPr="00EA3458" w:rsidRDefault="006F0DAE" w:rsidP="0021604E">
            <w:pPr>
              <w:spacing w:after="0" w:line="240" w:lineRule="auto"/>
              <w:jc w:val="left"/>
              <w:rPr>
                <w:rFonts w:eastAsia="Times New Roman" w:cs="Calibri"/>
                <w:b/>
                <w:bCs/>
                <w:color w:val="000000"/>
                <w:sz w:val="20"/>
                <w:szCs w:val="20"/>
                <w:lang w:eastAsia="en-AU"/>
              </w:rPr>
            </w:pPr>
            <w:r w:rsidRPr="00EA3458">
              <w:rPr>
                <w:rFonts w:eastAsia="Times New Roman" w:cs="Calibri"/>
                <w:b/>
                <w:bCs/>
                <w:color w:val="000000"/>
                <w:sz w:val="20"/>
                <w:szCs w:val="20"/>
                <w:lang w:eastAsia="en-AU"/>
              </w:rPr>
              <w:t>2019-20</w:t>
            </w:r>
          </w:p>
        </w:tc>
        <w:tc>
          <w:tcPr>
            <w:tcW w:w="1276" w:type="dxa"/>
            <w:shd w:val="clear" w:color="auto" w:fill="D9D9D9" w:themeFill="background1" w:themeFillShade="D9"/>
          </w:tcPr>
          <w:p w14:paraId="7E2296D3" w14:textId="77777777" w:rsidR="006F0DAE" w:rsidRPr="00EA3458" w:rsidRDefault="006F0DAE" w:rsidP="0021604E">
            <w:pPr>
              <w:spacing w:after="0" w:line="240" w:lineRule="auto"/>
              <w:jc w:val="left"/>
              <w:rPr>
                <w:rFonts w:eastAsia="Times New Roman" w:cs="Calibri"/>
                <w:b/>
                <w:bCs/>
                <w:color w:val="000000"/>
                <w:sz w:val="20"/>
                <w:szCs w:val="20"/>
                <w:lang w:eastAsia="en-AU"/>
              </w:rPr>
            </w:pPr>
            <w:r w:rsidRPr="00EA3458">
              <w:rPr>
                <w:rFonts w:eastAsia="Times New Roman" w:cs="Calibri"/>
                <w:b/>
                <w:bCs/>
                <w:color w:val="000000"/>
                <w:sz w:val="20"/>
                <w:szCs w:val="20"/>
                <w:lang w:eastAsia="en-AU"/>
              </w:rPr>
              <w:t>2020-21</w:t>
            </w:r>
          </w:p>
        </w:tc>
        <w:tc>
          <w:tcPr>
            <w:tcW w:w="1134" w:type="dxa"/>
            <w:shd w:val="clear" w:color="auto" w:fill="D9D9D9" w:themeFill="background1" w:themeFillShade="D9"/>
          </w:tcPr>
          <w:p w14:paraId="10011584" w14:textId="77777777" w:rsidR="006F0DAE" w:rsidRPr="00EA3458" w:rsidRDefault="006F0DAE" w:rsidP="0021604E">
            <w:pPr>
              <w:spacing w:after="0" w:line="240" w:lineRule="auto"/>
              <w:jc w:val="left"/>
              <w:rPr>
                <w:rFonts w:eastAsia="Times New Roman" w:cs="Calibri"/>
                <w:b/>
                <w:bCs/>
                <w:color w:val="000000"/>
                <w:sz w:val="20"/>
                <w:szCs w:val="20"/>
                <w:lang w:eastAsia="en-AU"/>
              </w:rPr>
            </w:pPr>
            <w:r w:rsidRPr="00EA3458">
              <w:rPr>
                <w:rFonts w:eastAsia="Times New Roman" w:cs="Calibri"/>
                <w:b/>
                <w:bCs/>
                <w:color w:val="000000"/>
                <w:sz w:val="20"/>
                <w:szCs w:val="20"/>
                <w:lang w:eastAsia="en-AU"/>
              </w:rPr>
              <w:t>2021-22</w:t>
            </w:r>
          </w:p>
        </w:tc>
      </w:tr>
      <w:tr w:rsidR="006F0DAE" w:rsidRPr="00EA3458" w14:paraId="2AAD12D2" w14:textId="77777777" w:rsidTr="00AF7D24">
        <w:trPr>
          <w:trHeight w:val="71"/>
        </w:trPr>
        <w:tc>
          <w:tcPr>
            <w:tcW w:w="2547" w:type="dxa"/>
            <w:shd w:val="clear" w:color="auto" w:fill="auto"/>
            <w:vAlign w:val="center"/>
          </w:tcPr>
          <w:p w14:paraId="50753A68" w14:textId="77777777" w:rsidR="006F0DAE" w:rsidRPr="00EA3458" w:rsidRDefault="006F0DAE" w:rsidP="0021604E">
            <w:pPr>
              <w:spacing w:after="0" w:line="240" w:lineRule="auto"/>
              <w:jc w:val="left"/>
              <w:rPr>
                <w:rFonts w:eastAsia="Times New Roman" w:cs="Calibri"/>
                <w:color w:val="000000"/>
                <w:sz w:val="20"/>
                <w:szCs w:val="20"/>
                <w:lang w:eastAsia="en-AU"/>
              </w:rPr>
            </w:pPr>
            <w:r w:rsidRPr="00EA3458">
              <w:rPr>
                <w:rFonts w:eastAsia="Times New Roman" w:cs="Calibri"/>
                <w:color w:val="000000"/>
                <w:sz w:val="20"/>
                <w:szCs w:val="20"/>
                <w:lang w:eastAsia="en-AU"/>
              </w:rPr>
              <w:t>Buprenorphine tablet</w:t>
            </w:r>
          </w:p>
        </w:tc>
        <w:tc>
          <w:tcPr>
            <w:tcW w:w="1276" w:type="dxa"/>
            <w:shd w:val="clear" w:color="auto" w:fill="auto"/>
            <w:noWrap/>
            <w:vAlign w:val="bottom"/>
          </w:tcPr>
          <w:p w14:paraId="3C4E99E6" w14:textId="77777777" w:rsidR="006F0DAE" w:rsidRPr="00EA3458" w:rsidRDefault="006F0DAE" w:rsidP="0021604E">
            <w:pPr>
              <w:spacing w:after="0" w:line="240" w:lineRule="auto"/>
              <w:jc w:val="left"/>
              <w:rPr>
                <w:rFonts w:eastAsia="Times New Roman" w:cs="Calibri"/>
                <w:color w:val="000000"/>
                <w:sz w:val="20"/>
                <w:szCs w:val="20"/>
                <w:lang w:eastAsia="en-AU"/>
              </w:rPr>
            </w:pPr>
            <w:r w:rsidRPr="00EA3458">
              <w:rPr>
                <w:rFonts w:eastAsia="Times New Roman" w:cs="Calibri"/>
                <w:color w:val="000000"/>
                <w:sz w:val="20"/>
                <w:szCs w:val="20"/>
                <w:lang w:eastAsia="en-AU"/>
              </w:rPr>
              <w:t xml:space="preserve">$4.8 M </w:t>
            </w:r>
          </w:p>
        </w:tc>
        <w:tc>
          <w:tcPr>
            <w:tcW w:w="1275" w:type="dxa"/>
            <w:shd w:val="clear" w:color="auto" w:fill="auto"/>
            <w:noWrap/>
            <w:vAlign w:val="bottom"/>
          </w:tcPr>
          <w:p w14:paraId="2E72D889" w14:textId="77777777" w:rsidR="006F0DAE" w:rsidRPr="00EA3458" w:rsidRDefault="006F0DAE" w:rsidP="0021604E">
            <w:pPr>
              <w:spacing w:after="0" w:line="240" w:lineRule="auto"/>
              <w:jc w:val="left"/>
              <w:rPr>
                <w:rFonts w:eastAsia="Times New Roman" w:cs="Calibri"/>
                <w:color w:val="000000"/>
                <w:sz w:val="20"/>
                <w:szCs w:val="20"/>
                <w:lang w:eastAsia="en-AU"/>
              </w:rPr>
            </w:pPr>
            <w:r w:rsidRPr="00EA3458">
              <w:rPr>
                <w:rFonts w:eastAsia="Times New Roman" w:cs="Calibri"/>
                <w:color w:val="000000"/>
                <w:sz w:val="20"/>
                <w:szCs w:val="20"/>
                <w:lang w:eastAsia="en-AU"/>
              </w:rPr>
              <w:t>$5.0 M</w:t>
            </w:r>
          </w:p>
        </w:tc>
        <w:tc>
          <w:tcPr>
            <w:tcW w:w="1276" w:type="dxa"/>
            <w:shd w:val="clear" w:color="auto" w:fill="auto"/>
            <w:noWrap/>
            <w:vAlign w:val="bottom"/>
          </w:tcPr>
          <w:p w14:paraId="06E9BA4B" w14:textId="77777777" w:rsidR="006F0DAE" w:rsidRPr="00EA3458" w:rsidRDefault="006F0DAE" w:rsidP="0021604E">
            <w:pPr>
              <w:spacing w:after="0" w:line="240" w:lineRule="auto"/>
              <w:jc w:val="left"/>
              <w:rPr>
                <w:rFonts w:eastAsia="Times New Roman" w:cs="Calibri"/>
                <w:color w:val="000000"/>
                <w:sz w:val="20"/>
                <w:szCs w:val="20"/>
                <w:lang w:eastAsia="en-AU"/>
              </w:rPr>
            </w:pPr>
            <w:r w:rsidRPr="00EA3458">
              <w:rPr>
                <w:rFonts w:eastAsia="Times New Roman" w:cs="Calibri"/>
                <w:color w:val="000000"/>
                <w:sz w:val="20"/>
                <w:szCs w:val="20"/>
                <w:lang w:eastAsia="en-AU"/>
              </w:rPr>
              <w:t xml:space="preserve">$5.2M </w:t>
            </w:r>
          </w:p>
        </w:tc>
        <w:tc>
          <w:tcPr>
            <w:tcW w:w="1276" w:type="dxa"/>
            <w:shd w:val="clear" w:color="auto" w:fill="auto"/>
            <w:noWrap/>
            <w:vAlign w:val="bottom"/>
          </w:tcPr>
          <w:p w14:paraId="4F9C7D67" w14:textId="77777777" w:rsidR="006F0DAE" w:rsidRPr="00EA3458" w:rsidRDefault="006F0DAE" w:rsidP="0021604E">
            <w:pPr>
              <w:spacing w:after="0" w:line="240" w:lineRule="auto"/>
              <w:jc w:val="left"/>
              <w:rPr>
                <w:rFonts w:eastAsia="Times New Roman" w:cs="Calibri"/>
                <w:color w:val="000000"/>
                <w:sz w:val="20"/>
                <w:szCs w:val="20"/>
                <w:lang w:eastAsia="en-AU"/>
              </w:rPr>
            </w:pPr>
            <w:r w:rsidRPr="00EA3458">
              <w:rPr>
                <w:rFonts w:eastAsia="Times New Roman" w:cs="Calibri"/>
                <w:color w:val="000000"/>
                <w:sz w:val="20"/>
                <w:szCs w:val="20"/>
                <w:lang w:eastAsia="en-AU"/>
              </w:rPr>
              <w:t xml:space="preserve">$5.2 M </w:t>
            </w:r>
          </w:p>
        </w:tc>
        <w:tc>
          <w:tcPr>
            <w:tcW w:w="1276" w:type="dxa"/>
          </w:tcPr>
          <w:p w14:paraId="4183AE10" w14:textId="77777777" w:rsidR="006F0DAE" w:rsidRPr="00EA3458" w:rsidRDefault="006F0DAE" w:rsidP="0021604E">
            <w:pPr>
              <w:spacing w:after="0" w:line="240" w:lineRule="auto"/>
              <w:jc w:val="left"/>
              <w:rPr>
                <w:rFonts w:eastAsia="Times New Roman" w:cs="Calibri"/>
                <w:color w:val="000000"/>
                <w:sz w:val="20"/>
                <w:szCs w:val="20"/>
                <w:lang w:eastAsia="en-AU"/>
              </w:rPr>
            </w:pPr>
            <w:r w:rsidRPr="00EA3458">
              <w:rPr>
                <w:rFonts w:eastAsia="Times New Roman" w:cs="Calibri"/>
                <w:color w:val="000000"/>
                <w:sz w:val="20"/>
                <w:szCs w:val="20"/>
                <w:lang w:eastAsia="en-AU"/>
              </w:rPr>
              <w:t>$5.2 M</w:t>
            </w:r>
          </w:p>
        </w:tc>
        <w:tc>
          <w:tcPr>
            <w:tcW w:w="1134" w:type="dxa"/>
          </w:tcPr>
          <w:p w14:paraId="73B966E3" w14:textId="77777777" w:rsidR="006F0DAE" w:rsidRPr="00EA3458" w:rsidRDefault="006F0DAE" w:rsidP="0021604E">
            <w:pPr>
              <w:spacing w:after="0" w:line="240" w:lineRule="auto"/>
              <w:jc w:val="left"/>
              <w:rPr>
                <w:rFonts w:eastAsia="Times New Roman" w:cs="Calibri"/>
                <w:color w:val="000000"/>
                <w:sz w:val="20"/>
                <w:szCs w:val="20"/>
                <w:lang w:eastAsia="en-AU"/>
              </w:rPr>
            </w:pPr>
            <w:r w:rsidRPr="00EA3458">
              <w:rPr>
                <w:rFonts w:eastAsia="Times New Roman" w:cs="Calibri"/>
                <w:color w:val="000000"/>
                <w:sz w:val="20"/>
                <w:szCs w:val="20"/>
                <w:lang w:eastAsia="en-AU"/>
              </w:rPr>
              <w:t>$5.1 M</w:t>
            </w:r>
          </w:p>
        </w:tc>
      </w:tr>
      <w:tr w:rsidR="006F0DAE" w:rsidRPr="00EA3458" w14:paraId="7AE0427C" w14:textId="77777777" w:rsidTr="00AF7D24">
        <w:trPr>
          <w:trHeight w:val="71"/>
        </w:trPr>
        <w:tc>
          <w:tcPr>
            <w:tcW w:w="2547" w:type="dxa"/>
            <w:shd w:val="clear" w:color="auto" w:fill="auto"/>
            <w:vAlign w:val="center"/>
          </w:tcPr>
          <w:p w14:paraId="4CB7BB9C" w14:textId="77777777" w:rsidR="006F0DAE" w:rsidRPr="00EA3458" w:rsidRDefault="006F0DAE" w:rsidP="0021604E">
            <w:pPr>
              <w:spacing w:after="0" w:line="240" w:lineRule="auto"/>
              <w:jc w:val="left"/>
              <w:rPr>
                <w:rFonts w:eastAsia="Times New Roman" w:cs="Calibri"/>
                <w:color w:val="000000"/>
                <w:sz w:val="20"/>
                <w:szCs w:val="20"/>
                <w:lang w:eastAsia="en-AU"/>
              </w:rPr>
            </w:pPr>
            <w:r w:rsidRPr="00EA3458">
              <w:rPr>
                <w:rFonts w:eastAsia="Times New Roman" w:cs="Calibri"/>
                <w:color w:val="000000"/>
                <w:sz w:val="20"/>
                <w:szCs w:val="20"/>
                <w:lang w:eastAsia="en-AU"/>
              </w:rPr>
              <w:t>Buprenorphine LAI</w:t>
            </w:r>
          </w:p>
        </w:tc>
        <w:tc>
          <w:tcPr>
            <w:tcW w:w="1276" w:type="dxa"/>
            <w:shd w:val="clear" w:color="auto" w:fill="auto"/>
            <w:noWrap/>
            <w:vAlign w:val="center"/>
          </w:tcPr>
          <w:p w14:paraId="3FA527CA" w14:textId="77777777" w:rsidR="006F0DAE" w:rsidRPr="00EA3458" w:rsidRDefault="006F0DAE" w:rsidP="0021604E">
            <w:pPr>
              <w:spacing w:after="0" w:line="240" w:lineRule="auto"/>
              <w:jc w:val="left"/>
              <w:rPr>
                <w:rFonts w:eastAsia="Times New Roman" w:cs="Calibri"/>
                <w:color w:val="000000"/>
                <w:sz w:val="20"/>
                <w:szCs w:val="20"/>
                <w:lang w:eastAsia="en-AU"/>
              </w:rPr>
            </w:pPr>
            <w:r w:rsidRPr="00EA3458">
              <w:rPr>
                <w:rFonts w:eastAsia="Times New Roman" w:cs="Calibri"/>
                <w:color w:val="000000"/>
                <w:sz w:val="20"/>
                <w:szCs w:val="20"/>
                <w:lang w:eastAsia="en-AU"/>
              </w:rPr>
              <w:t>-</w:t>
            </w:r>
          </w:p>
        </w:tc>
        <w:tc>
          <w:tcPr>
            <w:tcW w:w="1275" w:type="dxa"/>
            <w:shd w:val="clear" w:color="auto" w:fill="auto"/>
            <w:noWrap/>
            <w:vAlign w:val="center"/>
          </w:tcPr>
          <w:p w14:paraId="3DF43B3D" w14:textId="77777777" w:rsidR="006F0DAE" w:rsidRPr="00EA3458" w:rsidRDefault="006F0DAE" w:rsidP="0021604E">
            <w:pPr>
              <w:spacing w:after="0" w:line="240" w:lineRule="auto"/>
              <w:jc w:val="left"/>
              <w:rPr>
                <w:rFonts w:eastAsia="Times New Roman" w:cs="Calibri"/>
                <w:color w:val="000000"/>
                <w:sz w:val="20"/>
                <w:szCs w:val="20"/>
                <w:lang w:eastAsia="en-AU"/>
              </w:rPr>
            </w:pPr>
            <w:r w:rsidRPr="00EA3458">
              <w:rPr>
                <w:rFonts w:eastAsia="Times New Roman" w:cs="Calibri"/>
                <w:color w:val="000000"/>
                <w:sz w:val="20"/>
                <w:szCs w:val="20"/>
                <w:lang w:eastAsia="en-AU"/>
              </w:rPr>
              <w:t>-</w:t>
            </w:r>
          </w:p>
        </w:tc>
        <w:tc>
          <w:tcPr>
            <w:tcW w:w="1276" w:type="dxa"/>
            <w:shd w:val="clear" w:color="auto" w:fill="auto"/>
            <w:noWrap/>
            <w:vAlign w:val="bottom"/>
          </w:tcPr>
          <w:p w14:paraId="5D91583E" w14:textId="77777777" w:rsidR="006F0DAE" w:rsidRPr="00EA3458" w:rsidRDefault="006F0DAE" w:rsidP="0021604E">
            <w:pPr>
              <w:spacing w:after="0" w:line="240" w:lineRule="auto"/>
              <w:jc w:val="left"/>
              <w:rPr>
                <w:rFonts w:eastAsia="Times New Roman" w:cs="Calibri"/>
                <w:color w:val="000000"/>
                <w:sz w:val="20"/>
                <w:szCs w:val="20"/>
                <w:lang w:eastAsia="en-AU"/>
              </w:rPr>
            </w:pPr>
            <w:r w:rsidRPr="00EA3458">
              <w:rPr>
                <w:rFonts w:eastAsia="Times New Roman" w:cs="Calibri"/>
                <w:color w:val="000000"/>
                <w:sz w:val="20"/>
                <w:szCs w:val="20"/>
                <w:lang w:eastAsia="en-AU"/>
              </w:rPr>
              <w:t>-</w:t>
            </w:r>
          </w:p>
        </w:tc>
        <w:tc>
          <w:tcPr>
            <w:tcW w:w="1276" w:type="dxa"/>
            <w:shd w:val="clear" w:color="auto" w:fill="auto"/>
            <w:noWrap/>
            <w:vAlign w:val="bottom"/>
          </w:tcPr>
          <w:p w14:paraId="2BF32E7F" w14:textId="77777777" w:rsidR="006F0DAE" w:rsidRPr="00EA3458" w:rsidRDefault="006F0DAE" w:rsidP="0021604E">
            <w:pPr>
              <w:spacing w:after="0" w:line="240" w:lineRule="auto"/>
              <w:jc w:val="left"/>
              <w:rPr>
                <w:rFonts w:eastAsia="Times New Roman" w:cs="Calibri"/>
                <w:color w:val="000000"/>
                <w:sz w:val="20"/>
                <w:szCs w:val="20"/>
                <w:lang w:eastAsia="en-AU"/>
              </w:rPr>
            </w:pPr>
            <w:r w:rsidRPr="00EA3458">
              <w:rPr>
                <w:rFonts w:eastAsia="Times New Roman" w:cs="Calibri"/>
                <w:color w:val="000000"/>
                <w:sz w:val="20"/>
                <w:szCs w:val="20"/>
                <w:lang w:eastAsia="en-AU"/>
              </w:rPr>
              <w:t xml:space="preserve">$7.9 M </w:t>
            </w:r>
          </w:p>
        </w:tc>
        <w:tc>
          <w:tcPr>
            <w:tcW w:w="1276" w:type="dxa"/>
          </w:tcPr>
          <w:p w14:paraId="2B4B8E29" w14:textId="77777777" w:rsidR="006F0DAE" w:rsidRPr="00EA3458" w:rsidRDefault="006F0DAE" w:rsidP="0021604E">
            <w:pPr>
              <w:spacing w:after="0" w:line="240" w:lineRule="auto"/>
              <w:jc w:val="left"/>
              <w:rPr>
                <w:rFonts w:eastAsia="Times New Roman" w:cs="Calibri"/>
                <w:color w:val="000000"/>
                <w:sz w:val="20"/>
                <w:szCs w:val="20"/>
                <w:lang w:eastAsia="en-AU"/>
              </w:rPr>
            </w:pPr>
            <w:r w:rsidRPr="00EA3458">
              <w:rPr>
                <w:rFonts w:eastAsia="Times New Roman" w:cs="Calibri"/>
                <w:color w:val="000000"/>
                <w:sz w:val="20"/>
                <w:szCs w:val="20"/>
                <w:lang w:eastAsia="en-AU"/>
              </w:rPr>
              <w:t>$32.3 M</w:t>
            </w:r>
          </w:p>
        </w:tc>
        <w:tc>
          <w:tcPr>
            <w:tcW w:w="1134" w:type="dxa"/>
          </w:tcPr>
          <w:p w14:paraId="0C999470" w14:textId="77777777" w:rsidR="006F0DAE" w:rsidRPr="00EA3458" w:rsidRDefault="006F0DAE" w:rsidP="0021604E">
            <w:pPr>
              <w:spacing w:after="0" w:line="240" w:lineRule="auto"/>
              <w:jc w:val="left"/>
              <w:rPr>
                <w:rFonts w:eastAsia="Times New Roman" w:cs="Calibri"/>
                <w:color w:val="000000"/>
                <w:sz w:val="20"/>
                <w:szCs w:val="20"/>
                <w:lang w:eastAsia="en-AU"/>
              </w:rPr>
            </w:pPr>
            <w:r w:rsidRPr="00EA3458">
              <w:rPr>
                <w:rFonts w:eastAsia="Times New Roman" w:cs="Calibri"/>
                <w:color w:val="000000"/>
                <w:sz w:val="20"/>
                <w:szCs w:val="20"/>
                <w:lang w:eastAsia="en-AU"/>
              </w:rPr>
              <w:t>$54.4 M</w:t>
            </w:r>
          </w:p>
        </w:tc>
      </w:tr>
      <w:tr w:rsidR="006F0DAE" w:rsidRPr="00EA3458" w14:paraId="1AB1F682" w14:textId="77777777" w:rsidTr="00AF7D24">
        <w:trPr>
          <w:trHeight w:val="71"/>
        </w:trPr>
        <w:tc>
          <w:tcPr>
            <w:tcW w:w="2547" w:type="dxa"/>
            <w:shd w:val="clear" w:color="auto" w:fill="auto"/>
            <w:vAlign w:val="center"/>
            <w:hideMark/>
          </w:tcPr>
          <w:p w14:paraId="086378ED" w14:textId="77777777" w:rsidR="006F0DAE" w:rsidRPr="00EA3458" w:rsidRDefault="006F0DAE" w:rsidP="0021604E">
            <w:pPr>
              <w:spacing w:after="0" w:line="240" w:lineRule="auto"/>
              <w:jc w:val="left"/>
              <w:rPr>
                <w:rFonts w:eastAsia="Times New Roman" w:cs="Calibri"/>
                <w:color w:val="000000"/>
                <w:sz w:val="20"/>
                <w:szCs w:val="20"/>
                <w:lang w:eastAsia="en-AU"/>
              </w:rPr>
            </w:pPr>
            <w:r w:rsidRPr="00EA3458">
              <w:rPr>
                <w:rFonts w:eastAsia="Times New Roman" w:cs="Calibri"/>
                <w:color w:val="000000"/>
                <w:sz w:val="20"/>
                <w:szCs w:val="20"/>
                <w:lang w:eastAsia="en-AU"/>
              </w:rPr>
              <w:t xml:space="preserve">Buprenorphine + naloxone </w:t>
            </w:r>
          </w:p>
        </w:tc>
        <w:tc>
          <w:tcPr>
            <w:tcW w:w="1276" w:type="dxa"/>
            <w:shd w:val="clear" w:color="auto" w:fill="auto"/>
            <w:noWrap/>
            <w:vAlign w:val="bottom"/>
            <w:hideMark/>
          </w:tcPr>
          <w:p w14:paraId="6B22C289" w14:textId="77777777" w:rsidR="006F0DAE" w:rsidRPr="00EA3458" w:rsidRDefault="006F0DAE" w:rsidP="0021604E">
            <w:pPr>
              <w:spacing w:after="0" w:line="240" w:lineRule="auto"/>
              <w:jc w:val="left"/>
              <w:rPr>
                <w:rFonts w:eastAsia="Times New Roman" w:cs="Calibri"/>
                <w:color w:val="000000"/>
                <w:sz w:val="20"/>
                <w:szCs w:val="20"/>
                <w:lang w:eastAsia="en-AU"/>
              </w:rPr>
            </w:pPr>
            <w:r w:rsidRPr="00EA3458">
              <w:rPr>
                <w:rFonts w:eastAsia="Times New Roman" w:cs="Calibri"/>
                <w:color w:val="000000"/>
                <w:sz w:val="20"/>
                <w:szCs w:val="20"/>
                <w:lang w:eastAsia="en-AU"/>
              </w:rPr>
              <w:t xml:space="preserve">$41.2 M </w:t>
            </w:r>
          </w:p>
        </w:tc>
        <w:tc>
          <w:tcPr>
            <w:tcW w:w="1275" w:type="dxa"/>
            <w:shd w:val="clear" w:color="auto" w:fill="auto"/>
            <w:noWrap/>
            <w:vAlign w:val="bottom"/>
            <w:hideMark/>
          </w:tcPr>
          <w:p w14:paraId="2F8DE294" w14:textId="77777777" w:rsidR="006F0DAE" w:rsidRPr="00EA3458" w:rsidRDefault="006F0DAE" w:rsidP="0021604E">
            <w:pPr>
              <w:spacing w:after="0" w:line="240" w:lineRule="auto"/>
              <w:jc w:val="left"/>
              <w:rPr>
                <w:rFonts w:eastAsia="Times New Roman" w:cs="Calibri"/>
                <w:color w:val="000000"/>
                <w:sz w:val="20"/>
                <w:szCs w:val="20"/>
                <w:lang w:eastAsia="en-AU"/>
              </w:rPr>
            </w:pPr>
            <w:r w:rsidRPr="00EA3458">
              <w:rPr>
                <w:rFonts w:eastAsia="Times New Roman" w:cs="Calibri"/>
                <w:color w:val="000000"/>
                <w:sz w:val="20"/>
                <w:szCs w:val="20"/>
                <w:lang w:eastAsia="en-AU"/>
              </w:rPr>
              <w:t>$45.5 M</w:t>
            </w:r>
          </w:p>
        </w:tc>
        <w:tc>
          <w:tcPr>
            <w:tcW w:w="1276" w:type="dxa"/>
            <w:shd w:val="clear" w:color="auto" w:fill="auto"/>
            <w:noWrap/>
            <w:vAlign w:val="bottom"/>
            <w:hideMark/>
          </w:tcPr>
          <w:p w14:paraId="713A1550" w14:textId="77777777" w:rsidR="006F0DAE" w:rsidRPr="00EA3458" w:rsidRDefault="006F0DAE" w:rsidP="0021604E">
            <w:pPr>
              <w:spacing w:after="0" w:line="240" w:lineRule="auto"/>
              <w:jc w:val="left"/>
              <w:rPr>
                <w:rFonts w:eastAsia="Times New Roman" w:cs="Calibri"/>
                <w:color w:val="000000"/>
                <w:sz w:val="20"/>
                <w:szCs w:val="20"/>
                <w:lang w:eastAsia="en-AU"/>
              </w:rPr>
            </w:pPr>
            <w:r w:rsidRPr="00EA3458">
              <w:rPr>
                <w:rFonts w:eastAsia="Times New Roman" w:cs="Calibri"/>
                <w:color w:val="000000"/>
                <w:sz w:val="20"/>
                <w:szCs w:val="20"/>
                <w:lang w:eastAsia="en-AU"/>
              </w:rPr>
              <w:t xml:space="preserve">$49.9 M </w:t>
            </w:r>
          </w:p>
        </w:tc>
        <w:tc>
          <w:tcPr>
            <w:tcW w:w="1276" w:type="dxa"/>
            <w:shd w:val="clear" w:color="auto" w:fill="auto"/>
            <w:noWrap/>
            <w:vAlign w:val="bottom"/>
            <w:hideMark/>
          </w:tcPr>
          <w:p w14:paraId="5C509E30" w14:textId="77777777" w:rsidR="006F0DAE" w:rsidRPr="00EA3458" w:rsidRDefault="006F0DAE" w:rsidP="0021604E">
            <w:pPr>
              <w:spacing w:after="0" w:line="240" w:lineRule="auto"/>
              <w:jc w:val="left"/>
              <w:rPr>
                <w:rFonts w:eastAsia="Times New Roman" w:cs="Calibri"/>
                <w:color w:val="000000"/>
                <w:sz w:val="20"/>
                <w:szCs w:val="20"/>
                <w:lang w:eastAsia="en-AU"/>
              </w:rPr>
            </w:pPr>
            <w:r w:rsidRPr="00EA3458">
              <w:rPr>
                <w:rFonts w:eastAsia="Times New Roman" w:cs="Calibri"/>
                <w:color w:val="000000"/>
                <w:sz w:val="20"/>
                <w:szCs w:val="20"/>
                <w:lang w:eastAsia="en-AU"/>
              </w:rPr>
              <w:t xml:space="preserve">$52.0 M </w:t>
            </w:r>
          </w:p>
        </w:tc>
        <w:tc>
          <w:tcPr>
            <w:tcW w:w="1276" w:type="dxa"/>
          </w:tcPr>
          <w:p w14:paraId="1BD188A8" w14:textId="77777777" w:rsidR="006F0DAE" w:rsidRPr="00EA3458" w:rsidRDefault="006F0DAE" w:rsidP="0021604E">
            <w:pPr>
              <w:spacing w:after="0" w:line="240" w:lineRule="auto"/>
              <w:jc w:val="left"/>
              <w:rPr>
                <w:rFonts w:eastAsia="Times New Roman" w:cs="Calibri"/>
                <w:color w:val="000000"/>
                <w:sz w:val="20"/>
                <w:szCs w:val="20"/>
                <w:lang w:eastAsia="en-AU"/>
              </w:rPr>
            </w:pPr>
            <w:r w:rsidRPr="00EA3458">
              <w:rPr>
                <w:rFonts w:eastAsia="Times New Roman" w:cs="Calibri"/>
                <w:color w:val="000000"/>
                <w:sz w:val="20"/>
                <w:szCs w:val="20"/>
                <w:lang w:eastAsia="en-AU"/>
              </w:rPr>
              <w:t>$47.4 M</w:t>
            </w:r>
          </w:p>
        </w:tc>
        <w:tc>
          <w:tcPr>
            <w:tcW w:w="1134" w:type="dxa"/>
          </w:tcPr>
          <w:p w14:paraId="50745A1D" w14:textId="77777777" w:rsidR="006F0DAE" w:rsidRPr="00EA3458" w:rsidRDefault="006F0DAE" w:rsidP="0021604E">
            <w:pPr>
              <w:spacing w:after="0" w:line="240" w:lineRule="auto"/>
              <w:jc w:val="left"/>
              <w:rPr>
                <w:rFonts w:eastAsia="Times New Roman" w:cs="Calibri"/>
                <w:color w:val="000000"/>
                <w:sz w:val="20"/>
                <w:szCs w:val="20"/>
                <w:lang w:eastAsia="en-AU"/>
              </w:rPr>
            </w:pPr>
            <w:r w:rsidRPr="00EA3458">
              <w:rPr>
                <w:rFonts w:eastAsia="Times New Roman" w:cs="Calibri"/>
                <w:color w:val="000000"/>
                <w:sz w:val="20"/>
                <w:szCs w:val="20"/>
                <w:lang w:eastAsia="en-AU"/>
              </w:rPr>
              <w:t>$44.0 M</w:t>
            </w:r>
          </w:p>
        </w:tc>
      </w:tr>
      <w:tr w:rsidR="006F0DAE" w:rsidRPr="00EA3458" w14:paraId="5DCD9FDF" w14:textId="77777777" w:rsidTr="00AF7D24">
        <w:trPr>
          <w:trHeight w:val="71"/>
        </w:trPr>
        <w:tc>
          <w:tcPr>
            <w:tcW w:w="2547" w:type="dxa"/>
            <w:shd w:val="clear" w:color="auto" w:fill="auto"/>
            <w:vAlign w:val="center"/>
            <w:hideMark/>
          </w:tcPr>
          <w:p w14:paraId="384AA940" w14:textId="77777777" w:rsidR="006F0DAE" w:rsidRPr="00EA3458" w:rsidRDefault="006F0DAE" w:rsidP="0021604E">
            <w:pPr>
              <w:spacing w:after="0" w:line="240" w:lineRule="auto"/>
              <w:jc w:val="left"/>
              <w:rPr>
                <w:rFonts w:eastAsia="Times New Roman" w:cs="Calibri"/>
                <w:color w:val="000000"/>
                <w:sz w:val="20"/>
                <w:szCs w:val="20"/>
                <w:lang w:eastAsia="en-AU"/>
              </w:rPr>
            </w:pPr>
            <w:r w:rsidRPr="00EA3458">
              <w:rPr>
                <w:rFonts w:eastAsia="Times New Roman" w:cs="Calibri"/>
                <w:color w:val="000000"/>
                <w:sz w:val="20"/>
                <w:szCs w:val="20"/>
                <w:lang w:eastAsia="en-AU"/>
              </w:rPr>
              <w:t>Methadone</w:t>
            </w:r>
          </w:p>
        </w:tc>
        <w:tc>
          <w:tcPr>
            <w:tcW w:w="1276" w:type="dxa"/>
            <w:shd w:val="clear" w:color="auto" w:fill="auto"/>
            <w:noWrap/>
            <w:vAlign w:val="bottom"/>
            <w:hideMark/>
          </w:tcPr>
          <w:p w14:paraId="234BD5CB" w14:textId="77777777" w:rsidR="006F0DAE" w:rsidRPr="00EA3458" w:rsidRDefault="006F0DAE" w:rsidP="0021604E">
            <w:pPr>
              <w:spacing w:after="0" w:line="240" w:lineRule="auto"/>
              <w:jc w:val="left"/>
              <w:rPr>
                <w:rFonts w:eastAsia="Times New Roman" w:cs="Calibri"/>
                <w:color w:val="000000"/>
                <w:sz w:val="20"/>
                <w:szCs w:val="20"/>
                <w:lang w:eastAsia="en-AU"/>
              </w:rPr>
            </w:pPr>
            <w:r w:rsidRPr="00EA3458">
              <w:rPr>
                <w:rFonts w:eastAsia="Times New Roman" w:cs="Calibri"/>
                <w:color w:val="000000"/>
                <w:sz w:val="20"/>
                <w:szCs w:val="20"/>
                <w:lang w:eastAsia="en-AU"/>
              </w:rPr>
              <w:t xml:space="preserve">$5.5 M </w:t>
            </w:r>
          </w:p>
        </w:tc>
        <w:tc>
          <w:tcPr>
            <w:tcW w:w="1275" w:type="dxa"/>
            <w:shd w:val="clear" w:color="auto" w:fill="auto"/>
            <w:noWrap/>
            <w:vAlign w:val="bottom"/>
            <w:hideMark/>
          </w:tcPr>
          <w:p w14:paraId="2F55828C" w14:textId="77777777" w:rsidR="006F0DAE" w:rsidRPr="00EA3458" w:rsidRDefault="006F0DAE" w:rsidP="0021604E">
            <w:pPr>
              <w:spacing w:after="0" w:line="240" w:lineRule="auto"/>
              <w:jc w:val="left"/>
              <w:rPr>
                <w:rFonts w:eastAsia="Times New Roman" w:cs="Calibri"/>
                <w:color w:val="000000"/>
                <w:sz w:val="20"/>
                <w:szCs w:val="20"/>
                <w:lang w:eastAsia="en-AU"/>
              </w:rPr>
            </w:pPr>
            <w:r w:rsidRPr="00EA3458">
              <w:rPr>
                <w:rFonts w:eastAsia="Times New Roman" w:cs="Calibri"/>
                <w:color w:val="000000"/>
                <w:sz w:val="20"/>
                <w:szCs w:val="20"/>
                <w:lang w:eastAsia="en-AU"/>
              </w:rPr>
              <w:t>$5.5 M</w:t>
            </w:r>
          </w:p>
        </w:tc>
        <w:tc>
          <w:tcPr>
            <w:tcW w:w="1276" w:type="dxa"/>
            <w:shd w:val="clear" w:color="auto" w:fill="auto"/>
            <w:noWrap/>
            <w:vAlign w:val="bottom"/>
            <w:hideMark/>
          </w:tcPr>
          <w:p w14:paraId="7E7DF85E" w14:textId="77777777" w:rsidR="006F0DAE" w:rsidRPr="00EA3458" w:rsidRDefault="006F0DAE" w:rsidP="0021604E">
            <w:pPr>
              <w:spacing w:after="0" w:line="240" w:lineRule="auto"/>
              <w:jc w:val="left"/>
              <w:rPr>
                <w:rFonts w:eastAsia="Times New Roman" w:cs="Calibri"/>
                <w:color w:val="000000"/>
                <w:sz w:val="20"/>
                <w:szCs w:val="20"/>
                <w:lang w:eastAsia="en-AU"/>
              </w:rPr>
            </w:pPr>
            <w:r w:rsidRPr="00EA3458">
              <w:rPr>
                <w:rFonts w:eastAsia="Times New Roman" w:cs="Calibri"/>
                <w:color w:val="000000"/>
                <w:sz w:val="20"/>
                <w:szCs w:val="20"/>
                <w:lang w:eastAsia="en-AU"/>
              </w:rPr>
              <w:t xml:space="preserve">$5.4M </w:t>
            </w:r>
          </w:p>
        </w:tc>
        <w:tc>
          <w:tcPr>
            <w:tcW w:w="1276" w:type="dxa"/>
            <w:shd w:val="clear" w:color="auto" w:fill="auto"/>
            <w:noWrap/>
            <w:vAlign w:val="bottom"/>
            <w:hideMark/>
          </w:tcPr>
          <w:p w14:paraId="41AE213D" w14:textId="77777777" w:rsidR="006F0DAE" w:rsidRPr="00EA3458" w:rsidRDefault="006F0DAE" w:rsidP="0021604E">
            <w:pPr>
              <w:spacing w:after="0" w:line="240" w:lineRule="auto"/>
              <w:jc w:val="left"/>
              <w:rPr>
                <w:rFonts w:eastAsia="Times New Roman" w:cs="Calibri"/>
                <w:color w:val="000000"/>
                <w:sz w:val="20"/>
                <w:szCs w:val="20"/>
                <w:lang w:eastAsia="en-AU"/>
              </w:rPr>
            </w:pPr>
            <w:r w:rsidRPr="00EA3458">
              <w:rPr>
                <w:rFonts w:eastAsia="Times New Roman" w:cs="Calibri"/>
                <w:color w:val="000000"/>
                <w:sz w:val="20"/>
                <w:szCs w:val="20"/>
                <w:lang w:eastAsia="en-AU"/>
              </w:rPr>
              <w:t>$5.4 M</w:t>
            </w:r>
          </w:p>
        </w:tc>
        <w:tc>
          <w:tcPr>
            <w:tcW w:w="1276" w:type="dxa"/>
          </w:tcPr>
          <w:p w14:paraId="503DFB00" w14:textId="77777777" w:rsidR="006F0DAE" w:rsidRPr="00EA3458" w:rsidRDefault="006F0DAE" w:rsidP="0021604E">
            <w:pPr>
              <w:spacing w:after="0" w:line="240" w:lineRule="auto"/>
              <w:jc w:val="left"/>
              <w:rPr>
                <w:rFonts w:eastAsia="Times New Roman" w:cs="Calibri"/>
                <w:color w:val="000000"/>
                <w:sz w:val="20"/>
                <w:szCs w:val="20"/>
                <w:lang w:eastAsia="en-AU"/>
              </w:rPr>
            </w:pPr>
            <w:r w:rsidRPr="00EA3458">
              <w:rPr>
                <w:rFonts w:eastAsia="Times New Roman" w:cs="Calibri"/>
                <w:color w:val="000000"/>
                <w:sz w:val="20"/>
                <w:szCs w:val="20"/>
                <w:lang w:eastAsia="en-AU"/>
              </w:rPr>
              <w:t>$5.3 M</w:t>
            </w:r>
          </w:p>
        </w:tc>
        <w:tc>
          <w:tcPr>
            <w:tcW w:w="1134" w:type="dxa"/>
          </w:tcPr>
          <w:p w14:paraId="74D300AB" w14:textId="77777777" w:rsidR="006F0DAE" w:rsidRPr="00EA3458" w:rsidRDefault="006F0DAE" w:rsidP="0021604E">
            <w:pPr>
              <w:spacing w:after="0" w:line="240" w:lineRule="auto"/>
              <w:jc w:val="left"/>
              <w:rPr>
                <w:rFonts w:eastAsia="Times New Roman" w:cs="Calibri"/>
                <w:color w:val="000000"/>
                <w:sz w:val="20"/>
                <w:szCs w:val="20"/>
                <w:lang w:eastAsia="en-AU"/>
              </w:rPr>
            </w:pPr>
            <w:r w:rsidRPr="00EA3458">
              <w:rPr>
                <w:rFonts w:eastAsia="Times New Roman" w:cs="Calibri"/>
                <w:color w:val="000000"/>
                <w:sz w:val="20"/>
                <w:szCs w:val="20"/>
                <w:lang w:eastAsia="en-AU"/>
              </w:rPr>
              <w:t>$5.1 M</w:t>
            </w:r>
          </w:p>
        </w:tc>
      </w:tr>
      <w:tr w:rsidR="006F0DAE" w:rsidRPr="00EA3458" w14:paraId="7500C220" w14:textId="77777777" w:rsidTr="00AF7D24">
        <w:trPr>
          <w:trHeight w:val="21"/>
        </w:trPr>
        <w:tc>
          <w:tcPr>
            <w:tcW w:w="2547" w:type="dxa"/>
            <w:shd w:val="clear" w:color="auto" w:fill="auto"/>
            <w:vAlign w:val="center"/>
            <w:hideMark/>
          </w:tcPr>
          <w:p w14:paraId="347B22AD" w14:textId="77777777" w:rsidR="006F0DAE" w:rsidRPr="00EA3458" w:rsidRDefault="006F0DAE" w:rsidP="0021604E">
            <w:pPr>
              <w:spacing w:after="0" w:line="240" w:lineRule="auto"/>
              <w:jc w:val="left"/>
              <w:rPr>
                <w:rFonts w:eastAsia="Times New Roman" w:cs="Calibri"/>
                <w:b/>
                <w:bCs/>
                <w:color w:val="000000"/>
                <w:sz w:val="20"/>
                <w:szCs w:val="20"/>
                <w:lang w:eastAsia="en-AU"/>
              </w:rPr>
            </w:pPr>
            <w:r w:rsidRPr="00EA3458">
              <w:rPr>
                <w:rFonts w:eastAsia="Times New Roman" w:cs="Calibri"/>
                <w:b/>
                <w:bCs/>
                <w:color w:val="000000"/>
                <w:sz w:val="20"/>
                <w:szCs w:val="20"/>
                <w:lang w:eastAsia="en-AU"/>
              </w:rPr>
              <w:t xml:space="preserve">Total </w:t>
            </w:r>
          </w:p>
        </w:tc>
        <w:tc>
          <w:tcPr>
            <w:tcW w:w="1276" w:type="dxa"/>
            <w:shd w:val="clear" w:color="auto" w:fill="auto"/>
            <w:vAlign w:val="center"/>
            <w:hideMark/>
          </w:tcPr>
          <w:p w14:paraId="72EE1991" w14:textId="77777777" w:rsidR="006F0DAE" w:rsidRPr="00EA3458" w:rsidRDefault="006F0DAE" w:rsidP="0021604E">
            <w:pPr>
              <w:spacing w:after="0" w:line="240" w:lineRule="auto"/>
              <w:jc w:val="left"/>
              <w:rPr>
                <w:rFonts w:eastAsia="Times New Roman" w:cs="Calibri"/>
                <w:b/>
                <w:bCs/>
                <w:color w:val="000000"/>
                <w:sz w:val="20"/>
                <w:szCs w:val="20"/>
                <w:lang w:eastAsia="en-AU"/>
              </w:rPr>
            </w:pPr>
            <w:r w:rsidRPr="00EA3458">
              <w:rPr>
                <w:rFonts w:eastAsia="Times New Roman" w:cs="Calibri"/>
                <w:b/>
                <w:bCs/>
                <w:color w:val="000000"/>
                <w:sz w:val="20"/>
                <w:szCs w:val="20"/>
                <w:lang w:eastAsia="en-AU"/>
              </w:rPr>
              <w:t>$51.5 M</w:t>
            </w:r>
          </w:p>
        </w:tc>
        <w:tc>
          <w:tcPr>
            <w:tcW w:w="1275" w:type="dxa"/>
            <w:shd w:val="clear" w:color="auto" w:fill="auto"/>
            <w:vAlign w:val="center"/>
            <w:hideMark/>
          </w:tcPr>
          <w:p w14:paraId="3357BDE5" w14:textId="77777777" w:rsidR="006F0DAE" w:rsidRPr="00EA3458" w:rsidRDefault="006F0DAE" w:rsidP="0021604E">
            <w:pPr>
              <w:spacing w:after="0" w:line="240" w:lineRule="auto"/>
              <w:jc w:val="left"/>
              <w:rPr>
                <w:rFonts w:eastAsia="Times New Roman" w:cs="Calibri"/>
                <w:b/>
                <w:bCs/>
                <w:color w:val="000000"/>
                <w:sz w:val="20"/>
                <w:szCs w:val="20"/>
                <w:lang w:eastAsia="en-AU"/>
              </w:rPr>
            </w:pPr>
            <w:r w:rsidRPr="00EA3458">
              <w:rPr>
                <w:rFonts w:eastAsia="Times New Roman" w:cs="Calibri"/>
                <w:b/>
                <w:bCs/>
                <w:color w:val="000000"/>
                <w:sz w:val="20"/>
                <w:szCs w:val="20"/>
                <w:lang w:eastAsia="en-AU"/>
              </w:rPr>
              <w:t>$56.0 M</w:t>
            </w:r>
          </w:p>
        </w:tc>
        <w:tc>
          <w:tcPr>
            <w:tcW w:w="1276" w:type="dxa"/>
            <w:shd w:val="clear" w:color="auto" w:fill="auto"/>
            <w:noWrap/>
            <w:vAlign w:val="bottom"/>
            <w:hideMark/>
          </w:tcPr>
          <w:p w14:paraId="481CDB86" w14:textId="77777777" w:rsidR="006F0DAE" w:rsidRPr="00EA3458" w:rsidRDefault="006F0DAE" w:rsidP="0021604E">
            <w:pPr>
              <w:spacing w:after="0" w:line="240" w:lineRule="auto"/>
              <w:jc w:val="left"/>
              <w:rPr>
                <w:rFonts w:eastAsia="Times New Roman" w:cs="Calibri"/>
                <w:b/>
                <w:bCs/>
                <w:color w:val="000000"/>
                <w:sz w:val="20"/>
                <w:szCs w:val="20"/>
                <w:lang w:eastAsia="en-AU"/>
              </w:rPr>
            </w:pPr>
            <w:r w:rsidRPr="00EA3458">
              <w:rPr>
                <w:rFonts w:eastAsia="Times New Roman" w:cs="Calibri"/>
                <w:b/>
                <w:bCs/>
                <w:color w:val="000000"/>
                <w:sz w:val="20"/>
                <w:szCs w:val="20"/>
                <w:lang w:eastAsia="en-AU"/>
              </w:rPr>
              <w:t>$60.5 M</w:t>
            </w:r>
          </w:p>
        </w:tc>
        <w:tc>
          <w:tcPr>
            <w:tcW w:w="1276" w:type="dxa"/>
            <w:shd w:val="clear" w:color="auto" w:fill="auto"/>
            <w:noWrap/>
            <w:vAlign w:val="bottom"/>
            <w:hideMark/>
          </w:tcPr>
          <w:p w14:paraId="161E7BA6" w14:textId="77777777" w:rsidR="006F0DAE" w:rsidRPr="00EA3458" w:rsidRDefault="006F0DAE" w:rsidP="0021604E">
            <w:pPr>
              <w:spacing w:after="0" w:line="240" w:lineRule="auto"/>
              <w:jc w:val="left"/>
              <w:rPr>
                <w:rFonts w:eastAsia="Times New Roman" w:cs="Calibri"/>
                <w:b/>
                <w:bCs/>
                <w:color w:val="000000"/>
                <w:sz w:val="20"/>
                <w:szCs w:val="20"/>
                <w:lang w:eastAsia="en-AU"/>
              </w:rPr>
            </w:pPr>
            <w:r w:rsidRPr="00EA3458">
              <w:rPr>
                <w:rFonts w:eastAsia="Times New Roman" w:cs="Calibri"/>
                <w:b/>
                <w:bCs/>
                <w:color w:val="000000"/>
                <w:sz w:val="20"/>
                <w:szCs w:val="20"/>
                <w:lang w:eastAsia="en-AU"/>
              </w:rPr>
              <w:t>$70.4 M</w:t>
            </w:r>
          </w:p>
        </w:tc>
        <w:tc>
          <w:tcPr>
            <w:tcW w:w="1276" w:type="dxa"/>
          </w:tcPr>
          <w:p w14:paraId="2A7A4C39" w14:textId="77777777" w:rsidR="006F0DAE" w:rsidRPr="00EA3458" w:rsidRDefault="006F0DAE" w:rsidP="0021604E">
            <w:pPr>
              <w:spacing w:after="0" w:line="240" w:lineRule="auto"/>
              <w:jc w:val="left"/>
              <w:rPr>
                <w:rFonts w:eastAsia="Times New Roman" w:cs="Calibri"/>
                <w:b/>
                <w:bCs/>
                <w:color w:val="000000"/>
                <w:sz w:val="20"/>
                <w:szCs w:val="20"/>
                <w:lang w:eastAsia="en-AU"/>
              </w:rPr>
            </w:pPr>
            <w:r w:rsidRPr="00EA3458">
              <w:rPr>
                <w:rFonts w:eastAsia="Times New Roman" w:cs="Calibri"/>
                <w:b/>
                <w:bCs/>
                <w:color w:val="000000"/>
                <w:sz w:val="20"/>
                <w:szCs w:val="20"/>
                <w:lang w:eastAsia="en-AU"/>
              </w:rPr>
              <w:t>$90.3 M</w:t>
            </w:r>
          </w:p>
        </w:tc>
        <w:tc>
          <w:tcPr>
            <w:tcW w:w="1134" w:type="dxa"/>
          </w:tcPr>
          <w:p w14:paraId="30CAF409" w14:textId="77777777" w:rsidR="006F0DAE" w:rsidRPr="00EA3458" w:rsidRDefault="006F0DAE" w:rsidP="0021604E">
            <w:pPr>
              <w:spacing w:after="0" w:line="240" w:lineRule="auto"/>
              <w:jc w:val="left"/>
              <w:rPr>
                <w:rFonts w:eastAsia="Times New Roman" w:cs="Calibri"/>
                <w:b/>
                <w:bCs/>
                <w:color w:val="000000"/>
                <w:sz w:val="20"/>
                <w:szCs w:val="20"/>
                <w:lang w:eastAsia="en-AU"/>
              </w:rPr>
            </w:pPr>
            <w:r w:rsidRPr="00EA3458">
              <w:rPr>
                <w:rFonts w:eastAsia="Times New Roman" w:cs="Calibri"/>
                <w:b/>
                <w:bCs/>
                <w:color w:val="000000"/>
                <w:sz w:val="20"/>
                <w:szCs w:val="20"/>
                <w:lang w:eastAsia="en-AU"/>
              </w:rPr>
              <w:t>$108.6 M</w:t>
            </w:r>
          </w:p>
        </w:tc>
      </w:tr>
    </w:tbl>
    <w:p w14:paraId="3924430E" w14:textId="464ECE25" w:rsidR="006F0DAE" w:rsidRPr="00EA3458" w:rsidRDefault="006F0DAE" w:rsidP="00DA0E77">
      <w:pPr>
        <w:spacing w:after="0" w:line="240" w:lineRule="auto"/>
        <w:rPr>
          <w:rFonts w:eastAsia="Times New Roman" w:cs="Calibri"/>
          <w:sz w:val="20"/>
          <w:lang w:eastAsia="en-AU"/>
        </w:rPr>
      </w:pPr>
      <w:bookmarkStart w:id="502" w:name="_Hlk118468654"/>
      <w:r w:rsidRPr="00EA3458">
        <w:rPr>
          <w:rFonts w:eastAsia="Times New Roman" w:cs="Calibri"/>
          <w:sz w:val="20"/>
          <w:lang w:eastAsia="en-AU"/>
        </w:rPr>
        <w:t xml:space="preserve">Source: </w:t>
      </w:r>
      <w:r w:rsidR="00992300">
        <w:rPr>
          <w:rFonts w:eastAsia="Times New Roman" w:cs="Calibri"/>
          <w:sz w:val="20"/>
          <w:lang w:eastAsia="en-AU"/>
        </w:rPr>
        <w:t xml:space="preserve">PBS </w:t>
      </w:r>
      <w:r w:rsidRPr="00EA3458">
        <w:rPr>
          <w:rFonts w:eastAsia="Times New Roman" w:cs="Calibri"/>
          <w:sz w:val="20"/>
          <w:lang w:eastAsia="en-AU"/>
        </w:rPr>
        <w:t>ODTP expenditure data.</w:t>
      </w:r>
      <w:bookmarkEnd w:id="502"/>
    </w:p>
    <w:p w14:paraId="3F2D4C9F" w14:textId="7F2E6923" w:rsidR="006F0DAE" w:rsidRDefault="006F0DAE" w:rsidP="00F22F00">
      <w:pPr>
        <w:spacing w:after="0" w:line="240" w:lineRule="auto"/>
        <w:rPr>
          <w:rFonts w:eastAsia="Times New Roman" w:cs="Calibri"/>
          <w:sz w:val="20"/>
          <w:lang w:eastAsia="en-AU"/>
        </w:rPr>
      </w:pPr>
      <w:r w:rsidRPr="00EA3458">
        <w:rPr>
          <w:rFonts w:eastAsia="Times New Roman" w:cs="Calibri"/>
          <w:sz w:val="20"/>
          <w:lang w:eastAsia="en-AU"/>
        </w:rPr>
        <w:t>Note: Based on published expenditure excluding GST.</w:t>
      </w:r>
    </w:p>
    <w:p w14:paraId="73C3B5F0" w14:textId="77777777" w:rsidR="00F01D1F" w:rsidRPr="00B92FB0" w:rsidRDefault="00F01D1F" w:rsidP="00F22F00">
      <w:pPr>
        <w:spacing w:after="0" w:line="240" w:lineRule="auto"/>
        <w:rPr>
          <w:rFonts w:eastAsia="Times New Roman" w:cs="Calibri"/>
          <w:lang w:eastAsia="en-AU"/>
        </w:rPr>
      </w:pPr>
    </w:p>
    <w:p w14:paraId="47E1561D" w14:textId="3363CC15" w:rsidR="006F0DAE" w:rsidRPr="00EA3458" w:rsidRDefault="006F0DAE" w:rsidP="00F22F00">
      <w:pPr>
        <w:pStyle w:val="Tables"/>
        <w:rPr>
          <w:rFonts w:eastAsia="Times New Roman"/>
        </w:rPr>
      </w:pPr>
      <w:bookmarkStart w:id="503" w:name="_Toc120183448"/>
      <w:bookmarkStart w:id="504" w:name="_Toc132823437"/>
      <w:r w:rsidRPr="00EA3458">
        <w:rPr>
          <w:rFonts w:eastAsia="Times New Roman"/>
        </w:rPr>
        <w:t xml:space="preserve">Table </w:t>
      </w:r>
      <w:r w:rsidR="002D5DBD" w:rsidRPr="00EA3458">
        <w:rPr>
          <w:rFonts w:eastAsia="Times New Roman"/>
        </w:rPr>
        <w:t>1</w:t>
      </w:r>
      <w:r w:rsidR="00156F80">
        <w:rPr>
          <w:rFonts w:eastAsia="Times New Roman"/>
        </w:rPr>
        <w:t>7</w:t>
      </w:r>
      <w:r w:rsidR="001957C9">
        <w:rPr>
          <w:rFonts w:eastAsia="Times New Roman"/>
        </w:rPr>
        <w:t>.</w:t>
      </w:r>
      <w:r w:rsidRPr="00EA3458">
        <w:rPr>
          <w:rFonts w:eastAsia="Times New Roman"/>
        </w:rPr>
        <w:t xml:space="preserve"> Annual expenditure growth of medicines for opioid dependence treatment by </w:t>
      </w:r>
      <w:bookmarkEnd w:id="503"/>
      <w:r w:rsidR="00C27B22">
        <w:rPr>
          <w:rFonts w:eastAsia="Times New Roman"/>
        </w:rPr>
        <w:t>FY</w:t>
      </w:r>
      <w:bookmarkEnd w:id="504"/>
    </w:p>
    <w:tbl>
      <w:tblPr>
        <w:tblStyle w:val="TableGrid"/>
        <w:tblW w:w="8926" w:type="dxa"/>
        <w:tblInd w:w="0" w:type="dxa"/>
        <w:tblLook w:val="04A0" w:firstRow="1" w:lastRow="0" w:firstColumn="1" w:lastColumn="0" w:noHBand="0" w:noVBand="1"/>
      </w:tblPr>
      <w:tblGrid>
        <w:gridCol w:w="2547"/>
        <w:gridCol w:w="1276"/>
        <w:gridCol w:w="1275"/>
        <w:gridCol w:w="1276"/>
        <w:gridCol w:w="1276"/>
        <w:gridCol w:w="1276"/>
      </w:tblGrid>
      <w:tr w:rsidR="006F0DAE" w:rsidRPr="00EA3458" w14:paraId="6F94BD83" w14:textId="77777777" w:rsidTr="00156C3B">
        <w:trPr>
          <w:trHeight w:val="178"/>
        </w:trPr>
        <w:tc>
          <w:tcPr>
            <w:tcW w:w="2547" w:type="dxa"/>
            <w:shd w:val="clear" w:color="auto" w:fill="D9D9D9" w:themeFill="background1" w:themeFillShade="D9"/>
            <w:vAlign w:val="bottom"/>
          </w:tcPr>
          <w:p w14:paraId="2AB17505" w14:textId="77777777" w:rsidR="006F0DAE" w:rsidRPr="00EA3458" w:rsidRDefault="006F0DAE" w:rsidP="0021604E">
            <w:pPr>
              <w:spacing w:after="0"/>
              <w:jc w:val="left"/>
              <w:rPr>
                <w:b/>
                <w:bCs/>
                <w:sz w:val="20"/>
              </w:rPr>
            </w:pPr>
            <w:r w:rsidRPr="00EA3458">
              <w:rPr>
                <w:b/>
                <w:bCs/>
                <w:sz w:val="20"/>
              </w:rPr>
              <w:t>Drug</w:t>
            </w:r>
          </w:p>
        </w:tc>
        <w:tc>
          <w:tcPr>
            <w:tcW w:w="1276" w:type="dxa"/>
            <w:shd w:val="clear" w:color="auto" w:fill="D9D9D9" w:themeFill="background1" w:themeFillShade="D9"/>
          </w:tcPr>
          <w:p w14:paraId="74E31C87" w14:textId="77777777" w:rsidR="006F0DAE" w:rsidRPr="00EA3458" w:rsidRDefault="006F0DAE" w:rsidP="0021604E">
            <w:pPr>
              <w:spacing w:after="0"/>
              <w:jc w:val="left"/>
              <w:rPr>
                <w:b/>
                <w:bCs/>
                <w:sz w:val="20"/>
              </w:rPr>
            </w:pPr>
            <w:r w:rsidRPr="00EA3458">
              <w:rPr>
                <w:b/>
                <w:bCs/>
                <w:sz w:val="20"/>
              </w:rPr>
              <w:t xml:space="preserve">2016-17 to </w:t>
            </w:r>
          </w:p>
          <w:p w14:paraId="47CA4D78" w14:textId="77777777" w:rsidR="006F0DAE" w:rsidRPr="00EA3458" w:rsidRDefault="006F0DAE" w:rsidP="0021604E">
            <w:pPr>
              <w:spacing w:after="0"/>
              <w:jc w:val="left"/>
              <w:rPr>
                <w:b/>
                <w:bCs/>
                <w:sz w:val="20"/>
              </w:rPr>
            </w:pPr>
            <w:r w:rsidRPr="00EA3458">
              <w:rPr>
                <w:b/>
                <w:bCs/>
                <w:sz w:val="20"/>
              </w:rPr>
              <w:t>2017-18</w:t>
            </w:r>
          </w:p>
        </w:tc>
        <w:tc>
          <w:tcPr>
            <w:tcW w:w="1275" w:type="dxa"/>
            <w:shd w:val="clear" w:color="auto" w:fill="D9D9D9" w:themeFill="background1" w:themeFillShade="D9"/>
          </w:tcPr>
          <w:p w14:paraId="370ADA1F" w14:textId="77777777" w:rsidR="006F0DAE" w:rsidRPr="00EA3458" w:rsidRDefault="006F0DAE" w:rsidP="0021604E">
            <w:pPr>
              <w:spacing w:after="0"/>
              <w:jc w:val="left"/>
              <w:rPr>
                <w:b/>
                <w:bCs/>
                <w:sz w:val="20"/>
              </w:rPr>
            </w:pPr>
            <w:r w:rsidRPr="00EA3458">
              <w:rPr>
                <w:b/>
                <w:bCs/>
                <w:sz w:val="20"/>
              </w:rPr>
              <w:t xml:space="preserve">2017-18 to </w:t>
            </w:r>
          </w:p>
          <w:p w14:paraId="365EB5D2" w14:textId="77777777" w:rsidR="006F0DAE" w:rsidRPr="00EA3458" w:rsidRDefault="006F0DAE" w:rsidP="0021604E">
            <w:pPr>
              <w:spacing w:after="0"/>
              <w:jc w:val="left"/>
              <w:rPr>
                <w:b/>
                <w:bCs/>
                <w:sz w:val="20"/>
              </w:rPr>
            </w:pPr>
            <w:r w:rsidRPr="00EA3458">
              <w:rPr>
                <w:b/>
                <w:bCs/>
                <w:sz w:val="20"/>
              </w:rPr>
              <w:t>2018-19</w:t>
            </w:r>
          </w:p>
        </w:tc>
        <w:tc>
          <w:tcPr>
            <w:tcW w:w="1276" w:type="dxa"/>
            <w:shd w:val="clear" w:color="auto" w:fill="D9D9D9" w:themeFill="background1" w:themeFillShade="D9"/>
          </w:tcPr>
          <w:p w14:paraId="6A721BF8" w14:textId="77777777" w:rsidR="006F0DAE" w:rsidRPr="00EA3458" w:rsidRDefault="006F0DAE" w:rsidP="0021604E">
            <w:pPr>
              <w:spacing w:after="0"/>
              <w:jc w:val="left"/>
              <w:rPr>
                <w:b/>
                <w:bCs/>
                <w:sz w:val="20"/>
              </w:rPr>
            </w:pPr>
            <w:r w:rsidRPr="00EA3458">
              <w:rPr>
                <w:b/>
                <w:bCs/>
                <w:sz w:val="20"/>
              </w:rPr>
              <w:t xml:space="preserve">2018-19 to </w:t>
            </w:r>
          </w:p>
          <w:p w14:paraId="36A7DB67" w14:textId="77777777" w:rsidR="006F0DAE" w:rsidRPr="00EA3458" w:rsidRDefault="006F0DAE" w:rsidP="0021604E">
            <w:pPr>
              <w:spacing w:after="0"/>
              <w:jc w:val="left"/>
              <w:rPr>
                <w:b/>
                <w:bCs/>
                <w:sz w:val="20"/>
              </w:rPr>
            </w:pPr>
            <w:r w:rsidRPr="00EA3458">
              <w:rPr>
                <w:b/>
                <w:bCs/>
                <w:sz w:val="20"/>
              </w:rPr>
              <w:t>2019-20</w:t>
            </w:r>
          </w:p>
        </w:tc>
        <w:tc>
          <w:tcPr>
            <w:tcW w:w="1276" w:type="dxa"/>
            <w:shd w:val="clear" w:color="auto" w:fill="D9D9D9" w:themeFill="background1" w:themeFillShade="D9"/>
          </w:tcPr>
          <w:p w14:paraId="6098BDE1" w14:textId="77777777" w:rsidR="006F0DAE" w:rsidRPr="00EA3458" w:rsidRDefault="006F0DAE" w:rsidP="0021604E">
            <w:pPr>
              <w:spacing w:after="0"/>
              <w:jc w:val="left"/>
              <w:rPr>
                <w:b/>
                <w:bCs/>
                <w:sz w:val="20"/>
              </w:rPr>
            </w:pPr>
            <w:r w:rsidRPr="00EA3458">
              <w:rPr>
                <w:b/>
                <w:bCs/>
                <w:sz w:val="20"/>
              </w:rPr>
              <w:t xml:space="preserve">2019-20 to </w:t>
            </w:r>
          </w:p>
          <w:p w14:paraId="5EB95B2B" w14:textId="77777777" w:rsidR="006F0DAE" w:rsidRPr="00EA3458" w:rsidRDefault="006F0DAE" w:rsidP="0021604E">
            <w:pPr>
              <w:spacing w:after="0"/>
              <w:jc w:val="left"/>
              <w:rPr>
                <w:b/>
                <w:bCs/>
                <w:sz w:val="20"/>
              </w:rPr>
            </w:pPr>
            <w:r w:rsidRPr="00EA3458">
              <w:rPr>
                <w:b/>
                <w:bCs/>
                <w:sz w:val="20"/>
              </w:rPr>
              <w:t>2020-21</w:t>
            </w:r>
          </w:p>
        </w:tc>
        <w:tc>
          <w:tcPr>
            <w:tcW w:w="1276" w:type="dxa"/>
            <w:shd w:val="clear" w:color="auto" w:fill="D9D9D9" w:themeFill="background1" w:themeFillShade="D9"/>
          </w:tcPr>
          <w:p w14:paraId="07EB792F" w14:textId="77777777" w:rsidR="006F0DAE" w:rsidRPr="00EA3458" w:rsidRDefault="006F0DAE" w:rsidP="0021604E">
            <w:pPr>
              <w:spacing w:after="0"/>
              <w:jc w:val="left"/>
              <w:rPr>
                <w:b/>
                <w:bCs/>
                <w:sz w:val="20"/>
              </w:rPr>
            </w:pPr>
            <w:r w:rsidRPr="00EA3458">
              <w:rPr>
                <w:b/>
                <w:bCs/>
                <w:sz w:val="20"/>
              </w:rPr>
              <w:t>2020-21 to 2021-22</w:t>
            </w:r>
          </w:p>
        </w:tc>
      </w:tr>
      <w:tr w:rsidR="006F0DAE" w:rsidRPr="00EA3458" w14:paraId="09BE6BD3" w14:textId="77777777" w:rsidTr="00AF7D24">
        <w:trPr>
          <w:trHeight w:val="55"/>
        </w:trPr>
        <w:tc>
          <w:tcPr>
            <w:tcW w:w="2547" w:type="dxa"/>
          </w:tcPr>
          <w:p w14:paraId="383748B2" w14:textId="77777777" w:rsidR="006F0DAE" w:rsidRPr="00EA3458" w:rsidRDefault="006F0DAE" w:rsidP="0021604E">
            <w:pPr>
              <w:spacing w:after="0"/>
              <w:jc w:val="left"/>
              <w:rPr>
                <w:sz w:val="20"/>
              </w:rPr>
            </w:pPr>
            <w:r w:rsidRPr="00EA3458">
              <w:rPr>
                <w:rFonts w:ascii="Calibri" w:eastAsia="Times New Roman" w:hAnsi="Calibri" w:cs="Calibri"/>
                <w:color w:val="000000"/>
                <w:sz w:val="20"/>
                <w:szCs w:val="20"/>
              </w:rPr>
              <w:t>Buprenorphine</w:t>
            </w:r>
            <w:r w:rsidRPr="00EA3458">
              <w:rPr>
                <w:sz w:val="20"/>
              </w:rPr>
              <w:t xml:space="preserve"> tablet</w:t>
            </w:r>
          </w:p>
        </w:tc>
        <w:tc>
          <w:tcPr>
            <w:tcW w:w="1276" w:type="dxa"/>
          </w:tcPr>
          <w:p w14:paraId="3BECA31D" w14:textId="77777777" w:rsidR="006F0DAE" w:rsidRPr="00EA3458" w:rsidRDefault="006F0DAE" w:rsidP="0021604E">
            <w:pPr>
              <w:spacing w:after="0"/>
              <w:jc w:val="left"/>
              <w:rPr>
                <w:sz w:val="20"/>
              </w:rPr>
            </w:pPr>
            <w:r w:rsidRPr="00EA3458">
              <w:rPr>
                <w:sz w:val="20"/>
              </w:rPr>
              <w:t>4%</w:t>
            </w:r>
          </w:p>
        </w:tc>
        <w:tc>
          <w:tcPr>
            <w:tcW w:w="1275" w:type="dxa"/>
          </w:tcPr>
          <w:p w14:paraId="003A7032" w14:textId="77777777" w:rsidR="006F0DAE" w:rsidRPr="00EA3458" w:rsidRDefault="006F0DAE" w:rsidP="0021604E">
            <w:pPr>
              <w:spacing w:after="0"/>
              <w:jc w:val="left"/>
              <w:rPr>
                <w:sz w:val="20"/>
              </w:rPr>
            </w:pPr>
            <w:r w:rsidRPr="00EA3458">
              <w:rPr>
                <w:sz w:val="20"/>
              </w:rPr>
              <w:t>4%</w:t>
            </w:r>
          </w:p>
        </w:tc>
        <w:tc>
          <w:tcPr>
            <w:tcW w:w="1276" w:type="dxa"/>
          </w:tcPr>
          <w:p w14:paraId="5CEEEDC7" w14:textId="77777777" w:rsidR="006F0DAE" w:rsidRPr="00EA3458" w:rsidRDefault="006F0DAE" w:rsidP="0021604E">
            <w:pPr>
              <w:spacing w:after="0"/>
              <w:jc w:val="left"/>
              <w:rPr>
                <w:sz w:val="20"/>
              </w:rPr>
            </w:pPr>
            <w:r w:rsidRPr="00EA3458">
              <w:rPr>
                <w:sz w:val="20"/>
              </w:rPr>
              <w:t>10%</w:t>
            </w:r>
          </w:p>
        </w:tc>
        <w:tc>
          <w:tcPr>
            <w:tcW w:w="1276" w:type="dxa"/>
          </w:tcPr>
          <w:p w14:paraId="5524CD4D" w14:textId="77777777" w:rsidR="006F0DAE" w:rsidRPr="00EA3458" w:rsidRDefault="006F0DAE" w:rsidP="0021604E">
            <w:pPr>
              <w:spacing w:after="0"/>
              <w:jc w:val="left"/>
              <w:rPr>
                <w:sz w:val="20"/>
              </w:rPr>
            </w:pPr>
            <w:r w:rsidRPr="00EA3458">
              <w:rPr>
                <w:sz w:val="20"/>
              </w:rPr>
              <w:t>0%</w:t>
            </w:r>
          </w:p>
        </w:tc>
        <w:tc>
          <w:tcPr>
            <w:tcW w:w="1276" w:type="dxa"/>
          </w:tcPr>
          <w:p w14:paraId="7FE4DB4F" w14:textId="77777777" w:rsidR="006F0DAE" w:rsidRPr="00EA3458" w:rsidRDefault="006F0DAE" w:rsidP="0021604E">
            <w:pPr>
              <w:spacing w:after="0"/>
              <w:jc w:val="left"/>
              <w:rPr>
                <w:sz w:val="20"/>
              </w:rPr>
            </w:pPr>
            <w:r w:rsidRPr="00EA3458">
              <w:rPr>
                <w:sz w:val="20"/>
              </w:rPr>
              <w:t>-2%</w:t>
            </w:r>
          </w:p>
        </w:tc>
      </w:tr>
      <w:tr w:rsidR="006F0DAE" w:rsidRPr="00EA3458" w14:paraId="7A80AF96" w14:textId="77777777" w:rsidTr="00AF7D24">
        <w:trPr>
          <w:trHeight w:val="55"/>
        </w:trPr>
        <w:tc>
          <w:tcPr>
            <w:tcW w:w="2547" w:type="dxa"/>
          </w:tcPr>
          <w:p w14:paraId="693B3685" w14:textId="77777777" w:rsidR="006F0DAE" w:rsidRPr="00EA3458" w:rsidRDefault="006F0DAE" w:rsidP="0021604E">
            <w:pPr>
              <w:spacing w:after="0"/>
              <w:jc w:val="left"/>
              <w:rPr>
                <w:sz w:val="20"/>
              </w:rPr>
            </w:pPr>
            <w:r w:rsidRPr="00EA3458">
              <w:rPr>
                <w:rFonts w:ascii="Calibri" w:eastAsia="Times New Roman" w:hAnsi="Calibri" w:cs="Calibri"/>
                <w:color w:val="000000"/>
                <w:sz w:val="20"/>
                <w:szCs w:val="20"/>
              </w:rPr>
              <w:t>Buprenorphine</w:t>
            </w:r>
            <w:r w:rsidRPr="00EA3458">
              <w:rPr>
                <w:sz w:val="20"/>
              </w:rPr>
              <w:t xml:space="preserve"> LAI</w:t>
            </w:r>
          </w:p>
        </w:tc>
        <w:tc>
          <w:tcPr>
            <w:tcW w:w="1276" w:type="dxa"/>
          </w:tcPr>
          <w:p w14:paraId="1FA7875A" w14:textId="77777777" w:rsidR="006F0DAE" w:rsidRPr="00EA3458" w:rsidRDefault="006F0DAE" w:rsidP="0021604E">
            <w:pPr>
              <w:spacing w:after="0"/>
              <w:jc w:val="left"/>
              <w:rPr>
                <w:sz w:val="20"/>
              </w:rPr>
            </w:pPr>
            <w:r w:rsidRPr="00EA3458">
              <w:rPr>
                <w:sz w:val="20"/>
              </w:rPr>
              <w:t>-</w:t>
            </w:r>
          </w:p>
        </w:tc>
        <w:tc>
          <w:tcPr>
            <w:tcW w:w="1275" w:type="dxa"/>
          </w:tcPr>
          <w:p w14:paraId="790044E9" w14:textId="77777777" w:rsidR="006F0DAE" w:rsidRPr="00EA3458" w:rsidRDefault="006F0DAE" w:rsidP="0021604E">
            <w:pPr>
              <w:spacing w:after="0"/>
              <w:jc w:val="left"/>
              <w:rPr>
                <w:sz w:val="20"/>
              </w:rPr>
            </w:pPr>
            <w:r w:rsidRPr="00EA3458">
              <w:rPr>
                <w:sz w:val="20"/>
              </w:rPr>
              <w:t>-</w:t>
            </w:r>
          </w:p>
        </w:tc>
        <w:tc>
          <w:tcPr>
            <w:tcW w:w="1276" w:type="dxa"/>
          </w:tcPr>
          <w:p w14:paraId="1A6087D9" w14:textId="77777777" w:rsidR="006F0DAE" w:rsidRPr="00EA3458" w:rsidRDefault="006F0DAE" w:rsidP="0021604E">
            <w:pPr>
              <w:spacing w:after="0"/>
              <w:jc w:val="left"/>
              <w:rPr>
                <w:sz w:val="20"/>
              </w:rPr>
            </w:pPr>
            <w:r w:rsidRPr="00EA3458">
              <w:rPr>
                <w:sz w:val="20"/>
              </w:rPr>
              <w:t>-</w:t>
            </w:r>
          </w:p>
        </w:tc>
        <w:tc>
          <w:tcPr>
            <w:tcW w:w="1276" w:type="dxa"/>
          </w:tcPr>
          <w:p w14:paraId="04484436" w14:textId="77777777" w:rsidR="006F0DAE" w:rsidRPr="00EA3458" w:rsidRDefault="006F0DAE" w:rsidP="0021604E">
            <w:pPr>
              <w:spacing w:after="0"/>
              <w:jc w:val="left"/>
              <w:rPr>
                <w:sz w:val="20"/>
              </w:rPr>
            </w:pPr>
            <w:r w:rsidRPr="00EA3458">
              <w:rPr>
                <w:sz w:val="20"/>
              </w:rPr>
              <w:t>311%</w:t>
            </w:r>
          </w:p>
        </w:tc>
        <w:tc>
          <w:tcPr>
            <w:tcW w:w="1276" w:type="dxa"/>
          </w:tcPr>
          <w:p w14:paraId="636D7DD1" w14:textId="77777777" w:rsidR="006F0DAE" w:rsidRPr="00EA3458" w:rsidRDefault="006F0DAE" w:rsidP="0021604E">
            <w:pPr>
              <w:spacing w:after="0"/>
              <w:jc w:val="left"/>
              <w:rPr>
                <w:sz w:val="20"/>
              </w:rPr>
            </w:pPr>
            <w:r w:rsidRPr="00EA3458">
              <w:rPr>
                <w:sz w:val="20"/>
              </w:rPr>
              <w:t>68%</w:t>
            </w:r>
          </w:p>
        </w:tc>
      </w:tr>
      <w:tr w:rsidR="006F0DAE" w:rsidRPr="00EA3458" w14:paraId="58EF101A" w14:textId="77777777" w:rsidTr="00AF7D24">
        <w:trPr>
          <w:trHeight w:val="55"/>
        </w:trPr>
        <w:tc>
          <w:tcPr>
            <w:tcW w:w="2547" w:type="dxa"/>
          </w:tcPr>
          <w:p w14:paraId="35DD0694" w14:textId="77777777" w:rsidR="006F0DAE" w:rsidRPr="00EA3458" w:rsidRDefault="006F0DAE" w:rsidP="0021604E">
            <w:pPr>
              <w:spacing w:after="0"/>
              <w:jc w:val="left"/>
              <w:rPr>
                <w:sz w:val="20"/>
              </w:rPr>
            </w:pPr>
            <w:r w:rsidRPr="00EA3458">
              <w:rPr>
                <w:sz w:val="20"/>
              </w:rPr>
              <w:t xml:space="preserve">Buprenorphine + naloxone </w:t>
            </w:r>
          </w:p>
        </w:tc>
        <w:tc>
          <w:tcPr>
            <w:tcW w:w="1276" w:type="dxa"/>
          </w:tcPr>
          <w:p w14:paraId="7B52239E" w14:textId="77777777" w:rsidR="006F0DAE" w:rsidRPr="00EA3458" w:rsidRDefault="006F0DAE" w:rsidP="0021604E">
            <w:pPr>
              <w:spacing w:after="0"/>
              <w:jc w:val="left"/>
              <w:rPr>
                <w:sz w:val="20"/>
              </w:rPr>
            </w:pPr>
            <w:r w:rsidRPr="00EA3458">
              <w:rPr>
                <w:sz w:val="20"/>
              </w:rPr>
              <w:t>10%</w:t>
            </w:r>
          </w:p>
        </w:tc>
        <w:tc>
          <w:tcPr>
            <w:tcW w:w="1275" w:type="dxa"/>
          </w:tcPr>
          <w:p w14:paraId="192D6C05" w14:textId="77777777" w:rsidR="006F0DAE" w:rsidRPr="00EA3458" w:rsidRDefault="006F0DAE" w:rsidP="0021604E">
            <w:pPr>
              <w:spacing w:after="0"/>
              <w:jc w:val="left"/>
              <w:rPr>
                <w:sz w:val="20"/>
              </w:rPr>
            </w:pPr>
            <w:r w:rsidRPr="00EA3458">
              <w:rPr>
                <w:sz w:val="20"/>
              </w:rPr>
              <w:t>10%</w:t>
            </w:r>
          </w:p>
        </w:tc>
        <w:tc>
          <w:tcPr>
            <w:tcW w:w="1276" w:type="dxa"/>
          </w:tcPr>
          <w:p w14:paraId="7E95CCF6" w14:textId="77777777" w:rsidR="006F0DAE" w:rsidRPr="00EA3458" w:rsidRDefault="006F0DAE" w:rsidP="0021604E">
            <w:pPr>
              <w:spacing w:after="0"/>
              <w:jc w:val="left"/>
              <w:rPr>
                <w:sz w:val="20"/>
              </w:rPr>
            </w:pPr>
            <w:r w:rsidRPr="00EA3458">
              <w:rPr>
                <w:sz w:val="20"/>
              </w:rPr>
              <w:t>4%</w:t>
            </w:r>
          </w:p>
        </w:tc>
        <w:tc>
          <w:tcPr>
            <w:tcW w:w="1276" w:type="dxa"/>
          </w:tcPr>
          <w:p w14:paraId="53E4EEB4" w14:textId="77777777" w:rsidR="006F0DAE" w:rsidRPr="00EA3458" w:rsidRDefault="006F0DAE" w:rsidP="0021604E">
            <w:pPr>
              <w:spacing w:after="0"/>
              <w:jc w:val="left"/>
              <w:rPr>
                <w:sz w:val="20"/>
              </w:rPr>
            </w:pPr>
            <w:r w:rsidRPr="00EA3458">
              <w:rPr>
                <w:sz w:val="20"/>
              </w:rPr>
              <w:t>-9%</w:t>
            </w:r>
          </w:p>
        </w:tc>
        <w:tc>
          <w:tcPr>
            <w:tcW w:w="1276" w:type="dxa"/>
          </w:tcPr>
          <w:p w14:paraId="10A65A9E" w14:textId="77777777" w:rsidR="006F0DAE" w:rsidRPr="00EA3458" w:rsidRDefault="006F0DAE" w:rsidP="0021604E">
            <w:pPr>
              <w:spacing w:after="0"/>
              <w:jc w:val="left"/>
              <w:rPr>
                <w:sz w:val="20"/>
              </w:rPr>
            </w:pPr>
            <w:r w:rsidRPr="00EA3458">
              <w:rPr>
                <w:sz w:val="20"/>
              </w:rPr>
              <w:t>-7%</w:t>
            </w:r>
          </w:p>
        </w:tc>
      </w:tr>
      <w:tr w:rsidR="006F0DAE" w:rsidRPr="00EA3458" w14:paraId="3FA8AF69" w14:textId="77777777" w:rsidTr="00AF7D24">
        <w:trPr>
          <w:trHeight w:val="178"/>
        </w:trPr>
        <w:tc>
          <w:tcPr>
            <w:tcW w:w="2547" w:type="dxa"/>
          </w:tcPr>
          <w:p w14:paraId="664991D4" w14:textId="77777777" w:rsidR="006F0DAE" w:rsidRPr="00EA3458" w:rsidRDefault="006F0DAE" w:rsidP="0021604E">
            <w:pPr>
              <w:spacing w:after="0"/>
              <w:jc w:val="left"/>
              <w:rPr>
                <w:sz w:val="20"/>
              </w:rPr>
            </w:pPr>
            <w:r w:rsidRPr="00EA3458">
              <w:rPr>
                <w:sz w:val="20"/>
              </w:rPr>
              <w:t xml:space="preserve">Methadone </w:t>
            </w:r>
          </w:p>
        </w:tc>
        <w:tc>
          <w:tcPr>
            <w:tcW w:w="1276" w:type="dxa"/>
          </w:tcPr>
          <w:p w14:paraId="2F6C70CC" w14:textId="77777777" w:rsidR="006F0DAE" w:rsidRPr="00EA3458" w:rsidRDefault="006F0DAE" w:rsidP="0021604E">
            <w:pPr>
              <w:spacing w:after="0"/>
              <w:jc w:val="left"/>
              <w:rPr>
                <w:sz w:val="20"/>
              </w:rPr>
            </w:pPr>
            <w:r w:rsidRPr="00EA3458">
              <w:rPr>
                <w:sz w:val="20"/>
              </w:rPr>
              <w:t>&lt;1%</w:t>
            </w:r>
          </w:p>
        </w:tc>
        <w:tc>
          <w:tcPr>
            <w:tcW w:w="1275" w:type="dxa"/>
          </w:tcPr>
          <w:p w14:paraId="6E300278" w14:textId="77777777" w:rsidR="006F0DAE" w:rsidRPr="00EA3458" w:rsidRDefault="006F0DAE" w:rsidP="0021604E">
            <w:pPr>
              <w:spacing w:after="0"/>
              <w:jc w:val="left"/>
              <w:rPr>
                <w:sz w:val="20"/>
              </w:rPr>
            </w:pPr>
            <w:r w:rsidRPr="00EA3458">
              <w:rPr>
                <w:sz w:val="20"/>
              </w:rPr>
              <w:t>-2%</w:t>
            </w:r>
          </w:p>
        </w:tc>
        <w:tc>
          <w:tcPr>
            <w:tcW w:w="1276" w:type="dxa"/>
          </w:tcPr>
          <w:p w14:paraId="42DBB6EC" w14:textId="77777777" w:rsidR="006F0DAE" w:rsidRPr="00EA3458" w:rsidRDefault="006F0DAE" w:rsidP="0021604E">
            <w:pPr>
              <w:spacing w:after="0"/>
              <w:jc w:val="left"/>
              <w:rPr>
                <w:sz w:val="20"/>
              </w:rPr>
            </w:pPr>
            <w:r w:rsidRPr="00EA3458">
              <w:rPr>
                <w:sz w:val="20"/>
              </w:rPr>
              <w:t>1%</w:t>
            </w:r>
          </w:p>
        </w:tc>
        <w:tc>
          <w:tcPr>
            <w:tcW w:w="1276" w:type="dxa"/>
          </w:tcPr>
          <w:p w14:paraId="020542FF" w14:textId="77777777" w:rsidR="006F0DAE" w:rsidRPr="00EA3458" w:rsidRDefault="006F0DAE" w:rsidP="0021604E">
            <w:pPr>
              <w:spacing w:after="0"/>
              <w:jc w:val="left"/>
              <w:rPr>
                <w:sz w:val="20"/>
              </w:rPr>
            </w:pPr>
            <w:r w:rsidRPr="00EA3458">
              <w:rPr>
                <w:sz w:val="20"/>
              </w:rPr>
              <w:t>-2%</w:t>
            </w:r>
          </w:p>
        </w:tc>
        <w:tc>
          <w:tcPr>
            <w:tcW w:w="1276" w:type="dxa"/>
          </w:tcPr>
          <w:p w14:paraId="1EE7DA26" w14:textId="77777777" w:rsidR="006F0DAE" w:rsidRPr="00EA3458" w:rsidRDefault="006F0DAE" w:rsidP="0021604E">
            <w:pPr>
              <w:spacing w:after="0"/>
              <w:jc w:val="left"/>
              <w:rPr>
                <w:sz w:val="20"/>
              </w:rPr>
            </w:pPr>
            <w:r w:rsidRPr="00EA3458">
              <w:rPr>
                <w:sz w:val="20"/>
              </w:rPr>
              <w:t>-5%</w:t>
            </w:r>
          </w:p>
        </w:tc>
      </w:tr>
      <w:tr w:rsidR="006F0DAE" w:rsidRPr="00EA3458" w14:paraId="490DBEF8" w14:textId="77777777" w:rsidTr="00AF7D24">
        <w:trPr>
          <w:trHeight w:val="169"/>
        </w:trPr>
        <w:tc>
          <w:tcPr>
            <w:tcW w:w="2547" w:type="dxa"/>
          </w:tcPr>
          <w:p w14:paraId="455E2430" w14:textId="77777777" w:rsidR="006F0DAE" w:rsidRPr="00EA3458" w:rsidRDefault="006F0DAE" w:rsidP="0021604E">
            <w:pPr>
              <w:spacing w:after="0"/>
              <w:jc w:val="left"/>
              <w:rPr>
                <w:b/>
                <w:bCs/>
                <w:sz w:val="20"/>
              </w:rPr>
            </w:pPr>
            <w:r w:rsidRPr="00EA3458">
              <w:rPr>
                <w:b/>
                <w:bCs/>
                <w:sz w:val="20"/>
              </w:rPr>
              <w:t xml:space="preserve">Total </w:t>
            </w:r>
          </w:p>
        </w:tc>
        <w:tc>
          <w:tcPr>
            <w:tcW w:w="1276" w:type="dxa"/>
          </w:tcPr>
          <w:p w14:paraId="479F257F" w14:textId="77777777" w:rsidR="006F0DAE" w:rsidRPr="00EA3458" w:rsidRDefault="006F0DAE" w:rsidP="0021604E">
            <w:pPr>
              <w:spacing w:after="0"/>
              <w:jc w:val="left"/>
              <w:rPr>
                <w:b/>
                <w:bCs/>
                <w:sz w:val="20"/>
              </w:rPr>
            </w:pPr>
            <w:r w:rsidRPr="00EA3458">
              <w:rPr>
                <w:b/>
                <w:bCs/>
                <w:sz w:val="20"/>
              </w:rPr>
              <w:t>9%</w:t>
            </w:r>
          </w:p>
        </w:tc>
        <w:tc>
          <w:tcPr>
            <w:tcW w:w="1275" w:type="dxa"/>
          </w:tcPr>
          <w:p w14:paraId="3F6E4DBB" w14:textId="77777777" w:rsidR="006F0DAE" w:rsidRPr="00EA3458" w:rsidRDefault="006F0DAE" w:rsidP="0021604E">
            <w:pPr>
              <w:spacing w:after="0"/>
              <w:jc w:val="left"/>
              <w:rPr>
                <w:b/>
                <w:bCs/>
                <w:sz w:val="20"/>
              </w:rPr>
            </w:pPr>
            <w:r w:rsidRPr="00EA3458">
              <w:rPr>
                <w:b/>
                <w:bCs/>
                <w:sz w:val="20"/>
              </w:rPr>
              <w:t>8%</w:t>
            </w:r>
          </w:p>
        </w:tc>
        <w:tc>
          <w:tcPr>
            <w:tcW w:w="1276" w:type="dxa"/>
          </w:tcPr>
          <w:p w14:paraId="05A8DB8D" w14:textId="77777777" w:rsidR="006F0DAE" w:rsidRPr="00EA3458" w:rsidRDefault="006F0DAE" w:rsidP="0021604E">
            <w:pPr>
              <w:spacing w:after="0"/>
              <w:jc w:val="left"/>
              <w:rPr>
                <w:b/>
                <w:bCs/>
                <w:sz w:val="20"/>
              </w:rPr>
            </w:pPr>
            <w:r w:rsidRPr="00EA3458">
              <w:rPr>
                <w:b/>
                <w:bCs/>
                <w:sz w:val="20"/>
              </w:rPr>
              <w:t>16%</w:t>
            </w:r>
          </w:p>
        </w:tc>
        <w:tc>
          <w:tcPr>
            <w:tcW w:w="1276" w:type="dxa"/>
          </w:tcPr>
          <w:p w14:paraId="39FB50D1" w14:textId="77777777" w:rsidR="006F0DAE" w:rsidRPr="00EA3458" w:rsidRDefault="006F0DAE" w:rsidP="0021604E">
            <w:pPr>
              <w:spacing w:after="0"/>
              <w:jc w:val="left"/>
              <w:rPr>
                <w:b/>
                <w:bCs/>
                <w:sz w:val="20"/>
              </w:rPr>
            </w:pPr>
            <w:r w:rsidRPr="00EA3458">
              <w:rPr>
                <w:b/>
                <w:bCs/>
                <w:sz w:val="20"/>
              </w:rPr>
              <w:t>28%</w:t>
            </w:r>
          </w:p>
        </w:tc>
        <w:tc>
          <w:tcPr>
            <w:tcW w:w="1276" w:type="dxa"/>
          </w:tcPr>
          <w:p w14:paraId="79583C49" w14:textId="77777777" w:rsidR="006F0DAE" w:rsidRPr="00EA3458" w:rsidRDefault="006F0DAE" w:rsidP="0021604E">
            <w:pPr>
              <w:spacing w:after="0"/>
              <w:jc w:val="left"/>
              <w:rPr>
                <w:b/>
                <w:bCs/>
                <w:sz w:val="20"/>
              </w:rPr>
            </w:pPr>
            <w:r w:rsidRPr="00EA3458">
              <w:rPr>
                <w:b/>
                <w:bCs/>
                <w:sz w:val="20"/>
              </w:rPr>
              <w:t>20%</w:t>
            </w:r>
          </w:p>
        </w:tc>
      </w:tr>
    </w:tbl>
    <w:p w14:paraId="2F641313" w14:textId="76262C1D" w:rsidR="006F0DAE" w:rsidRDefault="006F0DAE" w:rsidP="00DA0E77">
      <w:pPr>
        <w:spacing w:after="0" w:line="240" w:lineRule="auto"/>
        <w:rPr>
          <w:rFonts w:eastAsia="Times New Roman" w:cs="Calibri"/>
          <w:sz w:val="20"/>
          <w:lang w:eastAsia="en-AU"/>
        </w:rPr>
      </w:pPr>
      <w:r w:rsidRPr="00EA3458">
        <w:rPr>
          <w:rFonts w:eastAsia="Times New Roman" w:cs="Calibri"/>
          <w:sz w:val="20"/>
          <w:lang w:eastAsia="en-AU"/>
        </w:rPr>
        <w:t xml:space="preserve">Source: </w:t>
      </w:r>
      <w:r w:rsidR="00992300">
        <w:rPr>
          <w:rFonts w:eastAsia="Times New Roman" w:cs="Calibri"/>
          <w:sz w:val="20"/>
          <w:lang w:eastAsia="en-AU"/>
        </w:rPr>
        <w:t xml:space="preserve">PBS </w:t>
      </w:r>
      <w:r w:rsidRPr="00EA3458">
        <w:rPr>
          <w:rFonts w:eastAsia="Times New Roman" w:cs="Calibri"/>
          <w:sz w:val="20"/>
          <w:lang w:eastAsia="en-AU"/>
        </w:rPr>
        <w:t>ODTP expenditure data.</w:t>
      </w:r>
    </w:p>
    <w:p w14:paraId="1E3BF2B1" w14:textId="77777777" w:rsidR="00F01D1F" w:rsidRPr="00B92FB0" w:rsidRDefault="00F01D1F" w:rsidP="00DA0E77">
      <w:pPr>
        <w:spacing w:after="0" w:line="240" w:lineRule="auto"/>
        <w:rPr>
          <w:rFonts w:eastAsia="Times New Roman" w:cs="Calibri"/>
          <w:lang w:eastAsia="en-AU"/>
        </w:rPr>
      </w:pPr>
    </w:p>
    <w:p w14:paraId="2D3C97B8" w14:textId="77777777" w:rsidR="006F0DAE" w:rsidRPr="00EA3458" w:rsidRDefault="006F0DAE" w:rsidP="007E3DC8">
      <w:pPr>
        <w:pStyle w:val="Heading4"/>
        <w:numPr>
          <w:ilvl w:val="2"/>
          <w:numId w:val="45"/>
        </w:numPr>
        <w:rPr>
          <w:rFonts w:eastAsia="Times New Roman"/>
          <w:lang w:eastAsia="en-AU"/>
        </w:rPr>
      </w:pPr>
      <w:r w:rsidRPr="00EA3458">
        <w:rPr>
          <w:rFonts w:eastAsia="Times New Roman"/>
          <w:lang w:eastAsia="en-AU"/>
        </w:rPr>
        <w:t>Cost of medicines per dose</w:t>
      </w:r>
    </w:p>
    <w:p w14:paraId="3FF79D51" w14:textId="5D9C4A19" w:rsidR="00B162D0" w:rsidRDefault="00B162D0" w:rsidP="00DA0E77">
      <w:pPr>
        <w:rPr>
          <w:lang w:eastAsia="en-AU"/>
        </w:rPr>
      </w:pPr>
      <w:r w:rsidRPr="001867AD">
        <w:rPr>
          <w:lang w:eastAsia="en-AU"/>
        </w:rPr>
        <w:t>Expenditure figures alone do not provide a complete picture of how many doses of each medicine are supplied to patients. Additionally, to fully understand the real cost of each medicine to the Commonwealth, it is useful to understand how expensive it is, on average, to treat individual patients with each medicine.</w:t>
      </w:r>
    </w:p>
    <w:p w14:paraId="08954331" w14:textId="63CC788B" w:rsidR="006F0DAE" w:rsidRPr="00EA3458" w:rsidRDefault="006F0DAE" w:rsidP="00F22F00">
      <w:pPr>
        <w:rPr>
          <w:lang w:eastAsia="en-AU"/>
        </w:rPr>
      </w:pPr>
      <w:r w:rsidRPr="00EA3458">
        <w:rPr>
          <w:lang w:eastAsia="en-AU"/>
        </w:rPr>
        <w:t xml:space="preserve">An estimate for the average cost of each medicine per daily dose was calculated using average daily doses from the literature </w:t>
      </w:r>
      <w:r w:rsidRPr="00F01D1F">
        <w:rPr>
          <w:lang w:eastAsia="en-AU"/>
        </w:rPr>
        <w:t>review (</w:t>
      </w:r>
      <w:r w:rsidR="002D5DBD" w:rsidRPr="00F01D1F">
        <w:rPr>
          <w:lang w:eastAsia="en-AU"/>
        </w:rPr>
        <w:t>T</w:t>
      </w:r>
      <w:r w:rsidRPr="00F01D1F">
        <w:rPr>
          <w:lang w:eastAsia="en-AU"/>
        </w:rPr>
        <w:t xml:space="preserve">able </w:t>
      </w:r>
      <w:r w:rsidR="002D5DBD" w:rsidRPr="00F01D1F">
        <w:rPr>
          <w:lang w:eastAsia="en-AU"/>
        </w:rPr>
        <w:t>1</w:t>
      </w:r>
      <w:r w:rsidR="00156F80">
        <w:rPr>
          <w:lang w:eastAsia="en-AU"/>
        </w:rPr>
        <w:t>3</w:t>
      </w:r>
      <w:r w:rsidRPr="00F01D1F">
        <w:rPr>
          <w:lang w:eastAsia="en-AU"/>
        </w:rPr>
        <w:t>)</w:t>
      </w:r>
      <w:r w:rsidRPr="00EA3458">
        <w:rPr>
          <w:lang w:eastAsia="en-AU"/>
        </w:rPr>
        <w:t xml:space="preserve"> and the average ex-manufacturer price (AEMP) for each medicine formulation. These costs per dose are summarised </w:t>
      </w:r>
      <w:r w:rsidRPr="00F01D1F">
        <w:rPr>
          <w:lang w:eastAsia="en-AU"/>
        </w:rPr>
        <w:t xml:space="preserve">in </w:t>
      </w:r>
      <w:r w:rsidR="002D5DBD" w:rsidRPr="00F01D1F">
        <w:rPr>
          <w:lang w:eastAsia="en-AU"/>
        </w:rPr>
        <w:t>T</w:t>
      </w:r>
      <w:r w:rsidRPr="00F01D1F">
        <w:rPr>
          <w:lang w:eastAsia="en-AU"/>
        </w:rPr>
        <w:t xml:space="preserve">able </w:t>
      </w:r>
      <w:r w:rsidR="002D5DBD" w:rsidRPr="00F01D1F">
        <w:rPr>
          <w:lang w:eastAsia="en-AU"/>
        </w:rPr>
        <w:t>1</w:t>
      </w:r>
      <w:r w:rsidR="00420AEF">
        <w:rPr>
          <w:lang w:eastAsia="en-AU"/>
        </w:rPr>
        <w:t>8</w:t>
      </w:r>
      <w:r w:rsidRPr="00F01D1F">
        <w:rPr>
          <w:lang w:eastAsia="en-AU"/>
        </w:rPr>
        <w:t>.</w:t>
      </w:r>
      <w:r w:rsidRPr="00EA3458">
        <w:t xml:space="preserve"> It should be noted these estimates reflect the direct cost of the medicines funded by the Commonwealth only. It does not, for example</w:t>
      </w:r>
      <w:r w:rsidR="00A54D6A">
        <w:t>,</w:t>
      </w:r>
      <w:r w:rsidRPr="00EA3458">
        <w:t xml:space="preserve"> </w:t>
      </w:r>
      <w:r w:rsidR="002F31D5" w:rsidRPr="00EA3458">
        <w:t>consider</w:t>
      </w:r>
      <w:r w:rsidRPr="00EA3458">
        <w:t xml:space="preserve"> additional </w:t>
      </w:r>
      <w:r w:rsidR="00313785" w:rsidRPr="00EA3458">
        <w:t xml:space="preserve">private </w:t>
      </w:r>
      <w:r w:rsidRPr="00EA3458">
        <w:t>costs currently borne by consumers or service providers.</w:t>
      </w:r>
    </w:p>
    <w:p w14:paraId="613F5E01" w14:textId="1778E3DD" w:rsidR="006F0DAE" w:rsidRPr="00EA3458" w:rsidRDefault="002F31D5" w:rsidP="00F22F00">
      <w:pPr>
        <w:rPr>
          <w:lang w:eastAsia="en-AU"/>
        </w:rPr>
      </w:pPr>
      <w:r w:rsidRPr="00EA3458">
        <w:rPr>
          <w:lang w:eastAsia="en-AU"/>
        </w:rPr>
        <w:t>Daily</w:t>
      </w:r>
      <w:r w:rsidR="006F0DAE" w:rsidRPr="00EA3458">
        <w:rPr>
          <w:lang w:eastAsia="en-AU"/>
        </w:rPr>
        <w:t xml:space="preserve"> doses for each patient can vary significantly at an individual level, due to patients being in different phases of treatment, having different tolerance levels and due to varying </w:t>
      </w:r>
      <w:r w:rsidR="00957DA4">
        <w:rPr>
          <w:lang w:eastAsia="en-AU"/>
        </w:rPr>
        <w:t>responses to ODT medicines</w:t>
      </w:r>
      <w:r w:rsidR="006F0DAE" w:rsidRPr="00EA3458">
        <w:rPr>
          <w:lang w:eastAsia="en-AU"/>
        </w:rPr>
        <w:t xml:space="preserve">, for example. However, in the absence of detailed information on the distribution of dosages across the </w:t>
      </w:r>
      <w:r w:rsidR="0025475B">
        <w:rPr>
          <w:lang w:eastAsia="en-AU"/>
        </w:rPr>
        <w:t>O</w:t>
      </w:r>
      <w:r w:rsidR="0046431B">
        <w:rPr>
          <w:lang w:eastAsia="en-AU"/>
        </w:rPr>
        <w:t>D</w:t>
      </w:r>
      <w:r w:rsidR="0025475B">
        <w:rPr>
          <w:lang w:eastAsia="en-AU"/>
        </w:rPr>
        <w:t>T</w:t>
      </w:r>
      <w:r w:rsidR="006F0DAE" w:rsidRPr="00EA3458">
        <w:rPr>
          <w:lang w:eastAsia="en-AU"/>
        </w:rPr>
        <w:t xml:space="preserve"> population, average dose estimates are useful to obtain approximate population-wide estimates of how many doses are provided for each medicine.</w:t>
      </w:r>
    </w:p>
    <w:p w14:paraId="570636D6" w14:textId="7C901607" w:rsidR="006F0DAE" w:rsidRDefault="006F0DAE" w:rsidP="001C7C0F">
      <w:pPr>
        <w:spacing w:after="0"/>
      </w:pPr>
      <w:r w:rsidRPr="00F01D1F">
        <w:rPr>
          <w:lang w:eastAsia="en-AU"/>
        </w:rPr>
        <w:t xml:space="preserve">Table </w:t>
      </w:r>
      <w:r w:rsidR="002D5DBD" w:rsidRPr="00F01D1F">
        <w:rPr>
          <w:lang w:eastAsia="en-AU"/>
        </w:rPr>
        <w:t>1</w:t>
      </w:r>
      <w:r w:rsidR="00420AEF">
        <w:rPr>
          <w:lang w:eastAsia="en-AU"/>
        </w:rPr>
        <w:t>8</w:t>
      </w:r>
      <w:r w:rsidRPr="00EA3458">
        <w:rPr>
          <w:lang w:eastAsia="en-AU"/>
        </w:rPr>
        <w:t xml:space="preserve"> demonstrates the large differences in the cost per average dose for each medicine. Most notably, methadone is significantly cheaper than all buprenorphine formulations, for instance being twenty times cheaper than buprenorphine + naloxone films on a per daily dose basis. Buprenorphine formulations however, are similarly priced compared to each other, </w:t>
      </w:r>
      <w:r w:rsidRPr="00EA3458">
        <w:rPr>
          <w:lang w:eastAsia="en-AU"/>
        </w:rPr>
        <w:lastRenderedPageBreak/>
        <w:t xml:space="preserve">with some slight variations: buprenorphine + naloxone films are slightly more expensive compared to same doses of buprenorphine tablets, due to the addition of naloxone, while </w:t>
      </w:r>
      <w:r w:rsidRPr="0027185D">
        <w:rPr>
          <w:lang w:eastAsia="en-AU"/>
        </w:rPr>
        <w:t xml:space="preserve">LAIB have an additional premium based on additional benefits of reduced diversion, </w:t>
      </w:r>
      <w:r w:rsidRPr="00E86E00">
        <w:rPr>
          <w:lang w:eastAsia="en-AU"/>
        </w:rPr>
        <w:t>misuse</w:t>
      </w:r>
      <w:r w:rsidRPr="00EA3458">
        <w:rPr>
          <w:lang w:eastAsia="en-AU"/>
        </w:rPr>
        <w:t>,</w:t>
      </w:r>
      <w:r w:rsidRPr="00EA3458">
        <w:t xml:space="preserve"> improved retention, reduction in service fees and reduced issues related to stigma for </w:t>
      </w:r>
      <w:r w:rsidR="00441126" w:rsidRPr="00EA3458">
        <w:t>consumer</w:t>
      </w:r>
      <w:r w:rsidRPr="00EA3458">
        <w:t>s</w:t>
      </w:r>
      <w:r w:rsidR="00691FB8">
        <w:t>.</w:t>
      </w:r>
      <w:hyperlink w:anchor="_ENREF_98" w:tooltip="Committee, 2019 #68" w:history="1">
        <w:r w:rsidR="002565E6" w:rsidRPr="000B6BFB">
          <w:fldChar w:fldCharType="begin"/>
        </w:r>
        <w:r w:rsidR="002565E6">
          <w:instrText xml:space="preserve"> ADDIN EN.CITE &lt;EndNote&gt;&lt;Cite&gt;&lt;Author&gt;Committee&lt;/Author&gt;&lt;Year&gt;2019&lt;/Year&gt;&lt;RecNum&gt;68&lt;/RecNum&gt;&lt;DisplayText&gt;&lt;style face="superscript"&gt;98&lt;/style&gt;&lt;/DisplayText&gt;&lt;record&gt;&lt;rec-number&gt;68&lt;/rec-number&gt;&lt;foreign-keys&gt;&lt;key app="EN" db-id="xssz590sx9vzw4ewpzdv0s5sret50aexdtd9" timestamp="1668986252"&gt;68&lt;/key&gt;&lt;/foreign-keys&gt;&lt;ref-type name="Report"&gt;27&lt;/ref-type&gt;&lt;contributors&gt;&lt;authors&gt;&lt;author&gt;Pharmaceutical Benefits Advisory Committee&lt;/author&gt;&lt;/authors&gt;&lt;/contributors&gt;&lt;titles&gt;&lt;title&gt;Public Summary Document - March 2019 PBAC Meeting&lt;/title&gt;&lt;/titles&gt;&lt;dates&gt;&lt;year&gt;2019&lt;/year&gt;&lt;/dates&gt;&lt;urls&gt;&lt;/urls&gt;&lt;/record&gt;&lt;/Cite&gt;&lt;/EndNote&gt;</w:instrText>
        </w:r>
        <w:r w:rsidR="002565E6" w:rsidRPr="000B6BFB">
          <w:fldChar w:fldCharType="separate"/>
        </w:r>
        <w:r w:rsidR="002565E6" w:rsidRPr="002565E6">
          <w:rPr>
            <w:noProof/>
            <w:vertAlign w:val="superscript"/>
          </w:rPr>
          <w:t>98</w:t>
        </w:r>
        <w:r w:rsidR="002565E6" w:rsidRPr="000B6BFB">
          <w:fldChar w:fldCharType="end"/>
        </w:r>
      </w:hyperlink>
    </w:p>
    <w:p w14:paraId="7C015A3B" w14:textId="77777777" w:rsidR="00F01D1F" w:rsidRPr="00EA3458" w:rsidRDefault="00F01D1F" w:rsidP="001C7C0F">
      <w:pPr>
        <w:spacing w:after="0"/>
        <w:rPr>
          <w:lang w:eastAsia="en-AU"/>
        </w:rPr>
      </w:pPr>
    </w:p>
    <w:p w14:paraId="24728DDB" w14:textId="7794A059" w:rsidR="006F0DAE" w:rsidRPr="00EA3458" w:rsidRDefault="006F0DAE" w:rsidP="004139FC">
      <w:pPr>
        <w:pStyle w:val="Tables"/>
        <w:rPr>
          <w:lang w:eastAsia="en-AU"/>
        </w:rPr>
      </w:pPr>
      <w:bookmarkStart w:id="505" w:name="_Toc120183449"/>
      <w:bookmarkStart w:id="506" w:name="_Toc132823438"/>
      <w:r w:rsidRPr="00EA3458">
        <w:rPr>
          <w:lang w:eastAsia="en-AU"/>
        </w:rPr>
        <w:t xml:space="preserve">Table </w:t>
      </w:r>
      <w:r w:rsidR="002D5DBD" w:rsidRPr="00EA3458">
        <w:rPr>
          <w:lang w:eastAsia="en-AU"/>
        </w:rPr>
        <w:t>1</w:t>
      </w:r>
      <w:r w:rsidR="00420AEF">
        <w:rPr>
          <w:lang w:eastAsia="en-AU"/>
        </w:rPr>
        <w:t>8</w:t>
      </w:r>
      <w:r w:rsidR="001957C9">
        <w:rPr>
          <w:lang w:eastAsia="en-AU"/>
        </w:rPr>
        <w:t>.</w:t>
      </w:r>
      <w:r w:rsidRPr="00EA3458">
        <w:rPr>
          <w:lang w:eastAsia="en-AU"/>
        </w:rPr>
        <w:t xml:space="preserve"> Cost per average daily dose of each </w:t>
      </w:r>
      <w:r w:rsidR="00992300">
        <w:rPr>
          <w:lang w:eastAsia="en-AU"/>
        </w:rPr>
        <w:t xml:space="preserve">PBS </w:t>
      </w:r>
      <w:r w:rsidRPr="00EA3458">
        <w:rPr>
          <w:lang w:eastAsia="en-AU"/>
        </w:rPr>
        <w:t>ODTP medicine</w:t>
      </w:r>
      <w:bookmarkEnd w:id="505"/>
      <w:bookmarkEnd w:id="506"/>
      <w:r w:rsidRPr="00EA3458">
        <w:rPr>
          <w:lang w:eastAsia="en-AU"/>
        </w:rPr>
        <w:t xml:space="preserve"> </w:t>
      </w:r>
    </w:p>
    <w:tbl>
      <w:tblPr>
        <w:tblW w:w="5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1984"/>
      </w:tblGrid>
      <w:tr w:rsidR="006F0DAE" w:rsidRPr="00EA3458" w14:paraId="25B32F12" w14:textId="77777777" w:rsidTr="00156C3B">
        <w:trPr>
          <w:trHeight w:val="537"/>
        </w:trPr>
        <w:tc>
          <w:tcPr>
            <w:tcW w:w="3114" w:type="dxa"/>
            <w:shd w:val="clear" w:color="auto" w:fill="D9D9D9" w:themeFill="background1" w:themeFillShade="D9"/>
            <w:noWrap/>
            <w:vAlign w:val="bottom"/>
          </w:tcPr>
          <w:p w14:paraId="59B8C36E" w14:textId="77777777" w:rsidR="006F0DAE" w:rsidRPr="00257F28" w:rsidRDefault="006F0DAE" w:rsidP="00257F28">
            <w:pPr>
              <w:spacing w:after="0" w:line="240" w:lineRule="auto"/>
              <w:jc w:val="left"/>
              <w:rPr>
                <w:rFonts w:eastAsia="Times New Roman"/>
                <w:b/>
                <w:bCs/>
                <w:color w:val="000000"/>
                <w:sz w:val="20"/>
                <w:szCs w:val="20"/>
                <w:lang w:eastAsia="en-AU"/>
              </w:rPr>
            </w:pPr>
            <w:r w:rsidRPr="00257F28">
              <w:rPr>
                <w:rFonts w:eastAsia="Times New Roman"/>
                <w:b/>
                <w:bCs/>
                <w:color w:val="000000"/>
                <w:sz w:val="20"/>
                <w:szCs w:val="20"/>
                <w:lang w:eastAsia="en-AU"/>
              </w:rPr>
              <w:t>Medicine form</w:t>
            </w:r>
          </w:p>
        </w:tc>
        <w:tc>
          <w:tcPr>
            <w:tcW w:w="1984" w:type="dxa"/>
            <w:shd w:val="clear" w:color="auto" w:fill="D9D9D9" w:themeFill="background1" w:themeFillShade="D9"/>
            <w:noWrap/>
            <w:vAlign w:val="bottom"/>
          </w:tcPr>
          <w:p w14:paraId="202E27A2" w14:textId="77777777" w:rsidR="006F0DAE" w:rsidRPr="00257F28" w:rsidRDefault="006F0DAE" w:rsidP="00257F28">
            <w:pPr>
              <w:spacing w:after="0" w:line="240" w:lineRule="auto"/>
              <w:jc w:val="left"/>
              <w:rPr>
                <w:rFonts w:eastAsia="Times New Roman" w:cs="Calibri"/>
                <w:b/>
                <w:bCs/>
                <w:color w:val="000000"/>
                <w:sz w:val="20"/>
                <w:szCs w:val="20"/>
                <w:lang w:eastAsia="en-AU"/>
              </w:rPr>
            </w:pPr>
            <w:r w:rsidRPr="00257F28">
              <w:rPr>
                <w:rFonts w:eastAsia="Times New Roman" w:cs="Calibri"/>
                <w:b/>
                <w:bCs/>
                <w:color w:val="000000"/>
                <w:sz w:val="20"/>
                <w:szCs w:val="20"/>
                <w:lang w:eastAsia="en-AU"/>
              </w:rPr>
              <w:t>Cost per daily dose</w:t>
            </w:r>
          </w:p>
        </w:tc>
      </w:tr>
      <w:tr w:rsidR="006F0DAE" w:rsidRPr="00EA3458" w14:paraId="68D35099" w14:textId="77777777" w:rsidTr="00CE72DA">
        <w:trPr>
          <w:trHeight w:val="283"/>
        </w:trPr>
        <w:tc>
          <w:tcPr>
            <w:tcW w:w="3114" w:type="dxa"/>
            <w:shd w:val="clear" w:color="auto" w:fill="FFFFFF" w:themeFill="background1"/>
            <w:noWrap/>
            <w:vAlign w:val="bottom"/>
            <w:hideMark/>
          </w:tcPr>
          <w:p w14:paraId="66218860" w14:textId="0222F0D8" w:rsidR="006F0DAE" w:rsidRPr="00CE72DA" w:rsidRDefault="006F0DAE" w:rsidP="00257F28">
            <w:pPr>
              <w:spacing w:after="0" w:line="240" w:lineRule="auto"/>
              <w:jc w:val="left"/>
              <w:rPr>
                <w:rFonts w:eastAsia="Times New Roman"/>
                <w:color w:val="000000"/>
                <w:sz w:val="20"/>
                <w:szCs w:val="20"/>
                <w:lang w:eastAsia="en-AU"/>
              </w:rPr>
            </w:pPr>
            <w:r w:rsidRPr="00CE72DA">
              <w:rPr>
                <w:rFonts w:eastAsia="Times New Roman"/>
                <w:color w:val="000000"/>
                <w:sz w:val="20"/>
                <w:szCs w:val="20"/>
                <w:lang w:eastAsia="en-AU"/>
              </w:rPr>
              <w:t xml:space="preserve">Buprenorphine + Naloxone </w:t>
            </w:r>
          </w:p>
        </w:tc>
        <w:tc>
          <w:tcPr>
            <w:tcW w:w="1984" w:type="dxa"/>
            <w:shd w:val="clear" w:color="auto" w:fill="auto"/>
            <w:noWrap/>
            <w:vAlign w:val="bottom"/>
            <w:hideMark/>
          </w:tcPr>
          <w:p w14:paraId="2F79A59D" w14:textId="77777777" w:rsidR="006F0DAE" w:rsidRPr="00257F28" w:rsidRDefault="006F0DAE" w:rsidP="00257F28">
            <w:pPr>
              <w:spacing w:after="0" w:line="240" w:lineRule="auto"/>
              <w:jc w:val="left"/>
              <w:rPr>
                <w:rFonts w:eastAsia="Times New Roman" w:cs="Calibri"/>
                <w:color w:val="000000"/>
                <w:sz w:val="20"/>
                <w:szCs w:val="20"/>
                <w:lang w:eastAsia="en-AU"/>
              </w:rPr>
            </w:pPr>
            <w:r w:rsidRPr="00257F28">
              <w:rPr>
                <w:rFonts w:eastAsia="Times New Roman" w:cs="Calibri"/>
                <w:color w:val="000000"/>
                <w:sz w:val="20"/>
                <w:szCs w:val="20"/>
                <w:lang w:eastAsia="en-AU"/>
              </w:rPr>
              <w:t xml:space="preserve"> $9.99</w:t>
            </w:r>
          </w:p>
        </w:tc>
      </w:tr>
      <w:tr w:rsidR="006F0DAE" w:rsidRPr="00EA3458" w14:paraId="3DD38187" w14:textId="77777777" w:rsidTr="00CE72DA">
        <w:trPr>
          <w:trHeight w:val="283"/>
        </w:trPr>
        <w:tc>
          <w:tcPr>
            <w:tcW w:w="3114" w:type="dxa"/>
            <w:shd w:val="clear" w:color="auto" w:fill="FFFFFF" w:themeFill="background1"/>
            <w:noWrap/>
            <w:vAlign w:val="bottom"/>
            <w:hideMark/>
          </w:tcPr>
          <w:p w14:paraId="0DC7F240" w14:textId="77777777" w:rsidR="006F0DAE" w:rsidRPr="00CE72DA" w:rsidRDefault="006F0DAE" w:rsidP="00257F28">
            <w:pPr>
              <w:spacing w:after="0" w:line="240" w:lineRule="auto"/>
              <w:jc w:val="left"/>
              <w:rPr>
                <w:rFonts w:eastAsia="Times New Roman"/>
                <w:color w:val="000000"/>
                <w:sz w:val="20"/>
                <w:szCs w:val="20"/>
                <w:lang w:eastAsia="en-AU"/>
              </w:rPr>
            </w:pPr>
            <w:r w:rsidRPr="00CE72DA">
              <w:rPr>
                <w:rFonts w:eastAsia="Times New Roman"/>
                <w:color w:val="000000"/>
                <w:sz w:val="20"/>
                <w:szCs w:val="20"/>
                <w:lang w:eastAsia="en-AU"/>
              </w:rPr>
              <w:t>Methadone</w:t>
            </w:r>
          </w:p>
        </w:tc>
        <w:tc>
          <w:tcPr>
            <w:tcW w:w="1984" w:type="dxa"/>
            <w:shd w:val="clear" w:color="auto" w:fill="auto"/>
            <w:noWrap/>
            <w:vAlign w:val="bottom"/>
            <w:hideMark/>
          </w:tcPr>
          <w:p w14:paraId="4AA52D9B" w14:textId="77777777" w:rsidR="006F0DAE" w:rsidRPr="00257F28" w:rsidRDefault="006F0DAE" w:rsidP="00257F28">
            <w:pPr>
              <w:spacing w:after="0" w:line="240" w:lineRule="auto"/>
              <w:jc w:val="left"/>
              <w:rPr>
                <w:rFonts w:eastAsia="Times New Roman" w:cs="Calibri"/>
                <w:color w:val="000000"/>
                <w:sz w:val="20"/>
                <w:szCs w:val="20"/>
                <w:lang w:eastAsia="en-AU"/>
              </w:rPr>
            </w:pPr>
            <w:r w:rsidRPr="00257F28">
              <w:rPr>
                <w:rFonts w:eastAsia="Times New Roman" w:cs="Calibri"/>
                <w:color w:val="000000"/>
                <w:sz w:val="20"/>
                <w:szCs w:val="20"/>
                <w:lang w:eastAsia="en-AU"/>
              </w:rPr>
              <w:t xml:space="preserve"> $0.51</w:t>
            </w:r>
          </w:p>
        </w:tc>
      </w:tr>
      <w:tr w:rsidR="006F0DAE" w:rsidRPr="00EA3458" w14:paraId="77FB4491" w14:textId="77777777" w:rsidTr="00CE72DA">
        <w:trPr>
          <w:trHeight w:val="283"/>
        </w:trPr>
        <w:tc>
          <w:tcPr>
            <w:tcW w:w="3114" w:type="dxa"/>
            <w:shd w:val="clear" w:color="auto" w:fill="FFFFFF" w:themeFill="background1"/>
            <w:vAlign w:val="bottom"/>
            <w:hideMark/>
          </w:tcPr>
          <w:p w14:paraId="761CF94C" w14:textId="361F31C8" w:rsidR="006F0DAE" w:rsidRPr="00CE72DA" w:rsidRDefault="00CE72DA" w:rsidP="00257F28">
            <w:pPr>
              <w:spacing w:after="0" w:line="240" w:lineRule="auto"/>
              <w:jc w:val="left"/>
              <w:rPr>
                <w:rFonts w:eastAsia="Times New Roman"/>
                <w:color w:val="000000"/>
                <w:sz w:val="20"/>
                <w:szCs w:val="20"/>
                <w:lang w:eastAsia="en-AU"/>
              </w:rPr>
            </w:pPr>
            <w:r>
              <w:rPr>
                <w:rFonts w:eastAsia="Times New Roman"/>
                <w:color w:val="000000"/>
                <w:sz w:val="20"/>
                <w:szCs w:val="20"/>
                <w:lang w:eastAsia="en-AU"/>
              </w:rPr>
              <w:t>Buprenorphine LAI</w:t>
            </w:r>
          </w:p>
        </w:tc>
        <w:tc>
          <w:tcPr>
            <w:tcW w:w="1984" w:type="dxa"/>
            <w:shd w:val="clear" w:color="auto" w:fill="auto"/>
            <w:noWrap/>
            <w:vAlign w:val="bottom"/>
            <w:hideMark/>
          </w:tcPr>
          <w:p w14:paraId="5094CFF8" w14:textId="77777777" w:rsidR="006F0DAE" w:rsidRPr="00257F28" w:rsidRDefault="006F0DAE" w:rsidP="00257F28">
            <w:pPr>
              <w:spacing w:after="0" w:line="240" w:lineRule="auto"/>
              <w:jc w:val="left"/>
              <w:rPr>
                <w:rFonts w:eastAsia="Times New Roman" w:cs="Calibri"/>
                <w:color w:val="000000"/>
                <w:sz w:val="20"/>
                <w:szCs w:val="20"/>
                <w:lang w:eastAsia="en-AU"/>
              </w:rPr>
            </w:pPr>
            <w:r w:rsidRPr="00257F28">
              <w:rPr>
                <w:rFonts w:eastAsia="Times New Roman" w:cs="Calibri"/>
                <w:color w:val="000000"/>
                <w:sz w:val="20"/>
                <w:szCs w:val="20"/>
                <w:lang w:eastAsia="en-AU"/>
              </w:rPr>
              <w:t xml:space="preserve"> $13.20</w:t>
            </w:r>
          </w:p>
        </w:tc>
      </w:tr>
      <w:tr w:rsidR="006F0DAE" w:rsidRPr="00EA3458" w14:paraId="443E0B3F" w14:textId="77777777" w:rsidTr="00CE72DA">
        <w:trPr>
          <w:trHeight w:val="283"/>
        </w:trPr>
        <w:tc>
          <w:tcPr>
            <w:tcW w:w="3114" w:type="dxa"/>
            <w:shd w:val="clear" w:color="auto" w:fill="FFFFFF" w:themeFill="background1"/>
            <w:noWrap/>
            <w:vAlign w:val="bottom"/>
            <w:hideMark/>
          </w:tcPr>
          <w:p w14:paraId="7D8268F5" w14:textId="5147882A" w:rsidR="006F0DAE" w:rsidRPr="00CE72DA" w:rsidRDefault="006F0DAE" w:rsidP="00257F28">
            <w:pPr>
              <w:spacing w:after="0" w:line="240" w:lineRule="auto"/>
              <w:jc w:val="left"/>
              <w:rPr>
                <w:rFonts w:eastAsia="Times New Roman"/>
                <w:color w:val="000000"/>
                <w:sz w:val="20"/>
                <w:szCs w:val="20"/>
                <w:lang w:eastAsia="en-AU"/>
              </w:rPr>
            </w:pPr>
            <w:r w:rsidRPr="00CE72DA">
              <w:rPr>
                <w:rFonts w:eastAsia="Times New Roman"/>
                <w:color w:val="000000"/>
                <w:sz w:val="20"/>
                <w:szCs w:val="20"/>
                <w:lang w:eastAsia="en-AU"/>
              </w:rPr>
              <w:t xml:space="preserve">Buprenorphine </w:t>
            </w:r>
            <w:r w:rsidR="00CE72DA">
              <w:rPr>
                <w:rFonts w:eastAsia="Times New Roman"/>
                <w:color w:val="000000"/>
                <w:sz w:val="20"/>
                <w:szCs w:val="20"/>
                <w:lang w:eastAsia="en-AU"/>
              </w:rPr>
              <w:t>tablet</w:t>
            </w:r>
          </w:p>
        </w:tc>
        <w:tc>
          <w:tcPr>
            <w:tcW w:w="1984" w:type="dxa"/>
            <w:shd w:val="clear" w:color="auto" w:fill="auto"/>
            <w:noWrap/>
            <w:vAlign w:val="bottom"/>
            <w:hideMark/>
          </w:tcPr>
          <w:p w14:paraId="0F0169A1" w14:textId="77777777" w:rsidR="006F0DAE" w:rsidRPr="00257F28" w:rsidRDefault="006F0DAE" w:rsidP="00257F28">
            <w:pPr>
              <w:spacing w:after="0" w:line="240" w:lineRule="auto"/>
              <w:jc w:val="left"/>
              <w:rPr>
                <w:rFonts w:eastAsia="Times New Roman" w:cs="Calibri"/>
                <w:color w:val="000000"/>
                <w:sz w:val="20"/>
                <w:szCs w:val="20"/>
                <w:lang w:eastAsia="en-AU"/>
              </w:rPr>
            </w:pPr>
            <w:r w:rsidRPr="00257F28">
              <w:rPr>
                <w:rFonts w:eastAsia="Times New Roman" w:cs="Calibri"/>
                <w:color w:val="000000"/>
                <w:sz w:val="20"/>
                <w:szCs w:val="20"/>
                <w:lang w:eastAsia="en-AU"/>
              </w:rPr>
              <w:t xml:space="preserve"> $9.16</w:t>
            </w:r>
          </w:p>
        </w:tc>
      </w:tr>
    </w:tbl>
    <w:p w14:paraId="1B424DD9" w14:textId="77777777" w:rsidR="006F0DAE" w:rsidRPr="00EA3458" w:rsidRDefault="006F0DAE" w:rsidP="00981550">
      <w:pPr>
        <w:spacing w:after="0"/>
      </w:pPr>
    </w:p>
    <w:p w14:paraId="59B14F21" w14:textId="7D3BB199" w:rsidR="006F0DAE" w:rsidRPr="00EA3458" w:rsidRDefault="00992300" w:rsidP="007E3DC8">
      <w:pPr>
        <w:pStyle w:val="Heading4"/>
        <w:numPr>
          <w:ilvl w:val="2"/>
          <w:numId w:val="45"/>
        </w:numPr>
        <w:rPr>
          <w:rFonts w:eastAsia="Times New Roman"/>
        </w:rPr>
      </w:pPr>
      <w:r>
        <w:rPr>
          <w:rFonts w:eastAsia="Times New Roman"/>
        </w:rPr>
        <w:t xml:space="preserve">PBS </w:t>
      </w:r>
      <w:r w:rsidR="006F0DAE" w:rsidRPr="00EA3458">
        <w:rPr>
          <w:rFonts w:eastAsia="Times New Roman"/>
        </w:rPr>
        <w:t>ODTP medicine utilisation by supplied daily doses</w:t>
      </w:r>
    </w:p>
    <w:p w14:paraId="023581E7" w14:textId="1681B48E" w:rsidR="006F0DAE" w:rsidRPr="00EA3458" w:rsidRDefault="006F0DAE" w:rsidP="00F22F00">
      <w:pPr>
        <w:rPr>
          <w:highlight w:val="yellow"/>
        </w:rPr>
      </w:pPr>
      <w:r w:rsidRPr="00EA3458">
        <w:t xml:space="preserve">Annual estimates of average daily doses supplied were calculated for each medicine from expenditure data, based off the costs per average </w:t>
      </w:r>
      <w:r w:rsidRPr="00F01D1F">
        <w:t xml:space="preserve">dose in </w:t>
      </w:r>
      <w:r w:rsidR="009367FE" w:rsidRPr="00F01D1F">
        <w:t>T</w:t>
      </w:r>
      <w:r w:rsidRPr="00F01D1F">
        <w:t xml:space="preserve">able </w:t>
      </w:r>
      <w:r w:rsidR="009367FE" w:rsidRPr="00F01D1F">
        <w:t>1</w:t>
      </w:r>
      <w:r w:rsidR="00420AEF">
        <w:t>8</w:t>
      </w:r>
      <w:r w:rsidRPr="00F01D1F">
        <w:t>, to</w:t>
      </w:r>
      <w:r w:rsidRPr="00EA3458">
        <w:t xml:space="preserve"> provide a suitable metric to analyse yearly trends in medicine utilisation. </w:t>
      </w:r>
    </w:p>
    <w:p w14:paraId="59C53762" w14:textId="230474A7" w:rsidR="006F0DAE" w:rsidRPr="00EA3458" w:rsidRDefault="006F0DAE" w:rsidP="00F22F00">
      <w:r w:rsidRPr="00EA3458">
        <w:t xml:space="preserve">Figure </w:t>
      </w:r>
      <w:r w:rsidR="00CB4D7C" w:rsidRPr="00EA3458">
        <w:t>6</w:t>
      </w:r>
      <w:r w:rsidRPr="00EA3458">
        <w:t xml:space="preserve"> shows the trend for approximate all daily O</w:t>
      </w:r>
      <w:r w:rsidR="0046431B">
        <w:t>D</w:t>
      </w:r>
      <w:r w:rsidR="00AB43EE">
        <w:t>T</w:t>
      </w:r>
      <w:r w:rsidR="0046431B">
        <w:t xml:space="preserve"> medicine</w:t>
      </w:r>
      <w:r w:rsidRPr="00EA3458">
        <w:t xml:space="preserve"> doses supplied over time (black dashed line), and a breakdown by medicine for each year.</w:t>
      </w:r>
    </w:p>
    <w:p w14:paraId="7DEA9AD8" w14:textId="729FF3E5" w:rsidR="006F0DAE" w:rsidRPr="00EA3458" w:rsidRDefault="0046431B" w:rsidP="004139FC">
      <w:r>
        <w:t>Oral m</w:t>
      </w:r>
      <w:r w:rsidR="006F0DAE" w:rsidRPr="00EA3458">
        <w:t xml:space="preserve">ethadone has consistently been the most commonly supplied </w:t>
      </w:r>
      <w:r w:rsidR="00AB43EE">
        <w:t>O</w:t>
      </w:r>
      <w:r>
        <w:t>D</w:t>
      </w:r>
      <w:r w:rsidR="00AB43EE">
        <w:t>T</w:t>
      </w:r>
      <w:r w:rsidR="006F0DAE" w:rsidRPr="00EA3458">
        <w:t xml:space="preserve"> medicine throughout the years, making up approximately 52% of supplied </w:t>
      </w:r>
      <w:r w:rsidR="00AB43EE">
        <w:t>O</w:t>
      </w:r>
      <w:r>
        <w:t>D</w:t>
      </w:r>
      <w:r w:rsidR="00AB43EE">
        <w:t>T</w:t>
      </w:r>
      <w:r w:rsidR="006F0DAE" w:rsidRPr="00EA3458">
        <w:t xml:space="preserve"> medicine doses supplied in 2021-22. The remaining 48% of doses in 2021-22 are made up of the various buprenorphine formulations, with LAIB and </w:t>
      </w:r>
      <w:r>
        <w:t xml:space="preserve">sublingual </w:t>
      </w:r>
      <w:r w:rsidR="006F0DAE" w:rsidRPr="00EA3458">
        <w:t xml:space="preserve">buprenorphine + naloxone films making up an almost equal fraction of supplied doses (22% and 23% respectively), and </w:t>
      </w:r>
      <w:r>
        <w:t xml:space="preserve">sublingual </w:t>
      </w:r>
      <w:r w:rsidR="006F0DAE" w:rsidRPr="00EA3458">
        <w:t>buprenorphine tablets being the least common medicine supplied (3% of doses).</w:t>
      </w:r>
    </w:p>
    <w:p w14:paraId="2C43450F" w14:textId="5679C348" w:rsidR="006F0DAE" w:rsidRPr="00EA3458" w:rsidRDefault="006F0DAE" w:rsidP="004139FC">
      <w:r w:rsidRPr="00EA3458">
        <w:t>Although</w:t>
      </w:r>
      <w:r w:rsidR="0046431B">
        <w:t xml:space="preserve"> oral</w:t>
      </w:r>
      <w:r w:rsidRPr="00EA3458">
        <w:t xml:space="preserve"> methadone represents a large fraction of supplied doses, methadone expenditure is approximately 5% of total </w:t>
      </w:r>
      <w:r w:rsidR="00992300">
        <w:t xml:space="preserve">PBS </w:t>
      </w:r>
      <w:r w:rsidRPr="00EA3458">
        <w:t>ODTP expenditure in 2021-22 ($5.1</w:t>
      </w:r>
      <w:r w:rsidR="00AF7D24">
        <w:t xml:space="preserve"> million</w:t>
      </w:r>
      <w:r w:rsidRPr="00EA3458">
        <w:t xml:space="preserve"> out of $108.6</w:t>
      </w:r>
      <w:r w:rsidR="00AF7D24">
        <w:t xml:space="preserve"> million</w:t>
      </w:r>
      <w:r w:rsidRPr="00EA3458">
        <w:t xml:space="preserve">). This is due to the significantly smaller cost per dose of </w:t>
      </w:r>
      <w:r w:rsidR="0046431B">
        <w:t xml:space="preserve">oral </w:t>
      </w:r>
      <w:r w:rsidRPr="00EA3458">
        <w:t xml:space="preserve">methadone compared to other </w:t>
      </w:r>
      <w:r w:rsidR="0046431B">
        <w:t xml:space="preserve">ODT </w:t>
      </w:r>
      <w:r w:rsidRPr="00EA3458">
        <w:t xml:space="preserve">medicines </w:t>
      </w:r>
      <w:r w:rsidR="00F01D1F">
        <w:t>(</w:t>
      </w:r>
      <w:r w:rsidR="00F01D1F" w:rsidRPr="00F01D1F">
        <w:t>T</w:t>
      </w:r>
      <w:r w:rsidRPr="00F01D1F">
        <w:t xml:space="preserve">able </w:t>
      </w:r>
      <w:r w:rsidR="00CB4D7C" w:rsidRPr="00F01D1F">
        <w:t>1</w:t>
      </w:r>
      <w:r w:rsidR="00420AEF">
        <w:t>8</w:t>
      </w:r>
      <w:r w:rsidR="00CB4D7C" w:rsidRPr="00F01D1F">
        <w:t>)</w:t>
      </w:r>
      <w:r w:rsidRPr="00F01D1F">
        <w:t>.</w:t>
      </w:r>
    </w:p>
    <w:p w14:paraId="2BBD1C34" w14:textId="3EDF5F8A" w:rsidR="006F0DAE" w:rsidRPr="00EA3458" w:rsidRDefault="006F0DAE">
      <w:r w:rsidRPr="00EA3458">
        <w:t xml:space="preserve">Representing ODTP expenditure data in terms of approximate daily doses supplied can also provide further intuition on the possible underlying reasons for the increased growth in </w:t>
      </w:r>
      <w:r w:rsidR="00992300">
        <w:t xml:space="preserve">PBS </w:t>
      </w:r>
      <w:r w:rsidRPr="00EA3458">
        <w:t xml:space="preserve">ODTP expenditure since the listing of LAIB in September 2019 (see </w:t>
      </w:r>
      <w:r w:rsidR="00CB4D7C" w:rsidRPr="00F01D1F">
        <w:t>T</w:t>
      </w:r>
      <w:r w:rsidRPr="00F01D1F">
        <w:t xml:space="preserve">able </w:t>
      </w:r>
      <w:r w:rsidR="00CB4D7C" w:rsidRPr="00F01D1F">
        <w:t>1</w:t>
      </w:r>
      <w:r w:rsidR="00420AEF">
        <w:t>7</w:t>
      </w:r>
      <w:r w:rsidRPr="00F01D1F">
        <w:t xml:space="preserve"> and</w:t>
      </w:r>
      <w:r w:rsidRPr="00EA3458">
        <w:t xml:space="preserve"> </w:t>
      </w:r>
      <w:r w:rsidR="006D1683">
        <w:t>S</w:t>
      </w:r>
      <w:r w:rsidRPr="00EA3458">
        <w:t xml:space="preserve">ection </w:t>
      </w:r>
      <w:r w:rsidR="00F01D1F">
        <w:t>4</w:t>
      </w:r>
      <w:r w:rsidRPr="00EA3458">
        <w:t>.</w:t>
      </w:r>
      <w:r w:rsidR="0021131A">
        <w:t>4</w:t>
      </w:r>
      <w:r w:rsidRPr="00EA3458">
        <w:t>.1).</w:t>
      </w:r>
    </w:p>
    <w:p w14:paraId="10EFC2DF" w14:textId="218D001F" w:rsidR="006F0DAE" w:rsidRPr="00EA3458" w:rsidRDefault="006F0DAE">
      <w:r w:rsidRPr="00EA3458">
        <w:t xml:space="preserve">To some degree, this increase in expenditure can be explained by LAIB replacing other treatment types, especially buprenorphine + naloxone (see </w:t>
      </w:r>
      <w:r w:rsidR="00CB4D7C" w:rsidRPr="00EA3458">
        <w:t>Figure 6</w:t>
      </w:r>
      <w:r w:rsidRPr="00EA3458">
        <w:t>). Since LAIB</w:t>
      </w:r>
      <w:r w:rsidR="00BE12EB">
        <w:t xml:space="preserve"> is</w:t>
      </w:r>
      <w:r w:rsidRPr="00EA3458">
        <w:t xml:space="preserve"> more expensive than buprenorphine + naloxone on a cost per dose basis ($13.20 vs $9.99 respectively), it follows that treatment substitution towards LAIB contributes a slight increase to the overall expenditure of the program.</w:t>
      </w:r>
    </w:p>
    <w:p w14:paraId="59139F88" w14:textId="3EAA0FEA" w:rsidR="006F0DAE" w:rsidRDefault="006F0DAE" w:rsidP="001C7C0F">
      <w:pPr>
        <w:spacing w:after="0"/>
      </w:pPr>
      <w:r w:rsidRPr="00EA3458">
        <w:t xml:space="preserve">More importantly however, Figure </w:t>
      </w:r>
      <w:r w:rsidR="00CB4D7C" w:rsidRPr="00EA3458">
        <w:t>6</w:t>
      </w:r>
      <w:r w:rsidRPr="00EA3458">
        <w:t xml:space="preserve"> demonstrates an increase in growth in the estimated total doses supplied following the listing of LAIB in 2019. With utilisation of other </w:t>
      </w:r>
      <w:r w:rsidR="00AB43EE">
        <w:t>O</w:t>
      </w:r>
      <w:r w:rsidR="0046431B">
        <w:t>D</w:t>
      </w:r>
      <w:r w:rsidR="00AB43EE">
        <w:t>T</w:t>
      </w:r>
      <w:r w:rsidRPr="00EA3458">
        <w:t xml:space="preserve"> medicines either remaining largely stable, or decreasing in the case of buprenorphine + naloxone, this suggests the introduction of LAIB </w:t>
      </w:r>
      <w:r w:rsidR="00B162D0">
        <w:t>was followed by</w:t>
      </w:r>
      <w:r w:rsidRPr="00EA3458">
        <w:t xml:space="preserve"> a growth in the overall </w:t>
      </w:r>
      <w:r w:rsidRPr="00EA3458">
        <w:lastRenderedPageBreak/>
        <w:t xml:space="preserve">number of </w:t>
      </w:r>
      <w:r w:rsidR="00992300">
        <w:t xml:space="preserve">PBS </w:t>
      </w:r>
      <w:r w:rsidRPr="00EA3458">
        <w:t>ODTP consumers and an expansion of the population able to access O</w:t>
      </w:r>
      <w:r w:rsidR="00992300">
        <w:t>D</w:t>
      </w:r>
      <w:r w:rsidRPr="00EA3458">
        <w:t>T</w:t>
      </w:r>
      <w:r w:rsidR="00992300">
        <w:t xml:space="preserve"> medicines</w:t>
      </w:r>
      <w:r w:rsidRPr="00EA3458">
        <w:t xml:space="preserve"> due to the listing of LAIB. This could be due to </w:t>
      </w:r>
      <w:r w:rsidR="00FC283D">
        <w:t xml:space="preserve">preliminary evidence suggesting </w:t>
      </w:r>
      <w:r w:rsidRPr="00EA3458">
        <w:t xml:space="preserve">LAIB treatment </w:t>
      </w:r>
      <w:r w:rsidR="00FC283D">
        <w:t>has</w:t>
      </w:r>
      <w:r w:rsidR="00FC283D" w:rsidRPr="00EA3458">
        <w:t xml:space="preserve"> </w:t>
      </w:r>
      <w:r w:rsidRPr="00EA3458">
        <w:t>better patient retention compared to other medicines</w:t>
      </w:r>
      <w:r w:rsidR="00691FB8">
        <w:t>,</w:t>
      </w:r>
      <w:hyperlink w:anchor="_ENREF_98" w:tooltip="Committee, 2019 #68" w:history="1">
        <w:r w:rsidR="002565E6" w:rsidRPr="000B6BFB">
          <w:fldChar w:fldCharType="begin"/>
        </w:r>
        <w:r w:rsidR="002565E6">
          <w:instrText xml:space="preserve"> ADDIN EN.CITE &lt;EndNote&gt;&lt;Cite&gt;&lt;Author&gt;Committee&lt;/Author&gt;&lt;Year&gt;2019&lt;/Year&gt;&lt;RecNum&gt;68&lt;/RecNum&gt;&lt;DisplayText&gt;&lt;style face="superscript"&gt;98&lt;/style&gt;&lt;/DisplayText&gt;&lt;record&gt;&lt;rec-number&gt;68&lt;/rec-number&gt;&lt;foreign-keys&gt;&lt;key app="EN" db-id="xssz590sx9vzw4ewpzdv0s5sret50aexdtd9" timestamp="1668986252"&gt;68&lt;/key&gt;&lt;/foreign-keys&gt;&lt;ref-type name="Report"&gt;27&lt;/ref-type&gt;&lt;contributors&gt;&lt;authors&gt;&lt;author&gt;Pharmaceutical Benefits Advisory Committee&lt;/author&gt;&lt;/authors&gt;&lt;/contributors&gt;&lt;titles&gt;&lt;title&gt;Public Summary Document - March 2019 PBAC Meeting&lt;/title&gt;&lt;/titles&gt;&lt;dates&gt;&lt;year&gt;2019&lt;/year&gt;&lt;/dates&gt;&lt;urls&gt;&lt;/urls&gt;&lt;/record&gt;&lt;/Cite&gt;&lt;/EndNote&gt;</w:instrText>
        </w:r>
        <w:r w:rsidR="002565E6" w:rsidRPr="000B6BFB">
          <w:fldChar w:fldCharType="separate"/>
        </w:r>
        <w:r w:rsidR="002565E6" w:rsidRPr="002565E6">
          <w:rPr>
            <w:noProof/>
            <w:vertAlign w:val="superscript"/>
          </w:rPr>
          <w:t>98</w:t>
        </w:r>
        <w:r w:rsidR="002565E6" w:rsidRPr="000B6BFB">
          <w:fldChar w:fldCharType="end"/>
        </w:r>
      </w:hyperlink>
      <w:r w:rsidR="000B6BFB">
        <w:t xml:space="preserve"> </w:t>
      </w:r>
      <w:r w:rsidRPr="00EA3458">
        <w:t xml:space="preserve">or due to the removal of barriers to access enabled by the LAIB formulation, such as consumers not having to attend a dosing point each day and </w:t>
      </w:r>
      <w:r w:rsidR="00FC283D">
        <w:t xml:space="preserve">possibly </w:t>
      </w:r>
      <w:r w:rsidRPr="00EA3458">
        <w:t>lower financial burden due to paying a single monthly fee rather than multiple daily fees</w:t>
      </w:r>
      <w:r w:rsidR="00AF7D24">
        <w:t>.</w:t>
      </w:r>
      <w:r w:rsidRPr="00EA3458">
        <w:t xml:space="preserve"> </w:t>
      </w:r>
    </w:p>
    <w:p w14:paraId="4BB05F05" w14:textId="77777777" w:rsidR="001C7C0F" w:rsidRPr="00EA3458" w:rsidRDefault="001C7C0F" w:rsidP="001C7C0F">
      <w:pPr>
        <w:spacing w:after="0"/>
      </w:pPr>
    </w:p>
    <w:p w14:paraId="2EB4AF52" w14:textId="5FBD558C" w:rsidR="00CB4D7C" w:rsidRPr="00EA3458" w:rsidRDefault="00CB4D7C">
      <w:pPr>
        <w:pStyle w:val="FIgures"/>
        <w:rPr>
          <w:rFonts w:eastAsia="Times New Roman"/>
        </w:rPr>
      </w:pPr>
      <w:bookmarkStart w:id="507" w:name="_Toc132823446"/>
      <w:r w:rsidRPr="00EA3458">
        <w:rPr>
          <w:rFonts w:eastAsia="Times New Roman"/>
        </w:rPr>
        <w:t>Figure 6</w:t>
      </w:r>
      <w:r w:rsidR="00704874">
        <w:rPr>
          <w:rFonts w:eastAsia="Times New Roman"/>
        </w:rPr>
        <w:t>.</w:t>
      </w:r>
      <w:r w:rsidRPr="00EA3458">
        <w:rPr>
          <w:rFonts w:eastAsia="Times New Roman"/>
        </w:rPr>
        <w:t xml:space="preserve"> Approximate number of supplied ODT daily doses per financial year, broken down by medicine type.</w:t>
      </w:r>
      <w:bookmarkEnd w:id="507"/>
    </w:p>
    <w:p w14:paraId="60DBF8EC" w14:textId="4628A211" w:rsidR="006F0DAE" w:rsidRPr="00EA3458" w:rsidRDefault="006F0DAE">
      <w:pPr>
        <w:spacing w:after="0" w:line="240" w:lineRule="auto"/>
        <w:rPr>
          <w:rFonts w:eastAsia="Times New Roman" w:cs="Calibri"/>
          <w:sz w:val="20"/>
          <w:lang w:eastAsia="en-AU"/>
        </w:rPr>
      </w:pPr>
      <w:r w:rsidRPr="00EA3458">
        <w:rPr>
          <w:noProof/>
        </w:rPr>
        <w:drawing>
          <wp:inline distT="0" distB="0" distL="0" distR="0" wp14:anchorId="7426FF7E" wp14:editId="5EF3499B">
            <wp:extent cx="4848225" cy="3476625"/>
            <wp:effectExtent l="0" t="0" r="9525" b="9525"/>
            <wp:docPr id="3" name="Chart 3" descr="Growth in the estimated total doses supplied between 2016-17 and 2021-22 financial years, broken down by medicine.">
              <a:extLst xmlns:a="http://schemas.openxmlformats.org/drawingml/2006/main">
                <a:ext uri="{FF2B5EF4-FFF2-40B4-BE49-F238E27FC236}">
                  <a16:creationId xmlns:a16="http://schemas.microsoft.com/office/drawing/2014/main" id="{7EB4F0F5-AF40-4BED-A878-8B385D488F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3BD511B" w14:textId="77777777" w:rsidR="006F0DAE" w:rsidRPr="00EA3458" w:rsidRDefault="006F0DAE">
      <w:pPr>
        <w:spacing w:after="0" w:line="240" w:lineRule="auto"/>
        <w:rPr>
          <w:rFonts w:eastAsia="Times New Roman" w:cs="Calibri"/>
          <w:sz w:val="20"/>
          <w:lang w:eastAsia="en-AU"/>
        </w:rPr>
      </w:pPr>
      <w:r w:rsidRPr="00EA3458">
        <w:rPr>
          <w:rFonts w:eastAsia="Times New Roman" w:cs="Calibri"/>
          <w:sz w:val="20"/>
          <w:lang w:eastAsia="en-AU"/>
        </w:rPr>
        <w:t>Note: percentages for buprenorphine tablets omitted due to space constraints. Buprenorphine tablets account for approximately 3% of doses each year, with very little variation between years.</w:t>
      </w:r>
    </w:p>
    <w:p w14:paraId="30DD2C96" w14:textId="77777777" w:rsidR="006F0DAE" w:rsidRPr="00EA3458" w:rsidRDefault="006F0DAE">
      <w:pPr>
        <w:spacing w:after="0" w:line="240" w:lineRule="auto"/>
        <w:rPr>
          <w:rFonts w:eastAsia="Times New Roman" w:cs="Calibri"/>
          <w:sz w:val="20"/>
          <w:lang w:eastAsia="en-AU"/>
        </w:rPr>
      </w:pPr>
    </w:p>
    <w:p w14:paraId="30043DAD" w14:textId="38A45E91" w:rsidR="006F0DAE" w:rsidRPr="00EA3458" w:rsidRDefault="006F0DAE" w:rsidP="007E3DC8">
      <w:pPr>
        <w:pStyle w:val="Heading4"/>
        <w:numPr>
          <w:ilvl w:val="2"/>
          <w:numId w:val="45"/>
        </w:numPr>
        <w:rPr>
          <w:rFonts w:eastAsia="Times New Roman"/>
          <w:lang w:eastAsia="en-AU"/>
        </w:rPr>
      </w:pPr>
      <w:r w:rsidRPr="00EA3458">
        <w:rPr>
          <w:rFonts w:eastAsia="Times New Roman"/>
          <w:lang w:eastAsia="en-AU"/>
        </w:rPr>
        <w:t xml:space="preserve">Commonwealth expenditure across </w:t>
      </w:r>
      <w:r w:rsidR="00992300">
        <w:rPr>
          <w:rFonts w:eastAsia="Times New Roman"/>
          <w:lang w:eastAsia="en-AU"/>
        </w:rPr>
        <w:t xml:space="preserve">PBS </w:t>
      </w:r>
      <w:r w:rsidRPr="00EA3458">
        <w:rPr>
          <w:rFonts w:eastAsia="Times New Roman"/>
          <w:lang w:eastAsia="en-AU"/>
        </w:rPr>
        <w:t>ODTP medicines by jurisdiction</w:t>
      </w:r>
    </w:p>
    <w:p w14:paraId="2DBEDEC1" w14:textId="3F0430B6" w:rsidR="006F0DAE" w:rsidRPr="00EA3458" w:rsidRDefault="006F0DAE">
      <w:pPr>
        <w:rPr>
          <w:lang w:eastAsia="en-AU"/>
        </w:rPr>
      </w:pPr>
      <w:r w:rsidRPr="00EA3458">
        <w:rPr>
          <w:lang w:eastAsia="en-AU"/>
        </w:rPr>
        <w:t>With regards to total expenditure by jurisdiction in 2021-</w:t>
      </w:r>
      <w:r w:rsidRPr="00F01D1F">
        <w:rPr>
          <w:lang w:eastAsia="en-AU"/>
        </w:rPr>
        <w:t>22 (</w:t>
      </w:r>
      <w:r w:rsidR="00C371CB" w:rsidRPr="00F01D1F">
        <w:rPr>
          <w:lang w:eastAsia="en-AU"/>
        </w:rPr>
        <w:t>T</w:t>
      </w:r>
      <w:r w:rsidRPr="00F01D1F">
        <w:rPr>
          <w:lang w:eastAsia="en-AU"/>
        </w:rPr>
        <w:t xml:space="preserve">able </w:t>
      </w:r>
      <w:r w:rsidR="00C371CB" w:rsidRPr="00F01D1F">
        <w:rPr>
          <w:lang w:eastAsia="en-AU"/>
        </w:rPr>
        <w:t>1</w:t>
      </w:r>
      <w:r w:rsidR="00420AEF">
        <w:rPr>
          <w:lang w:eastAsia="en-AU"/>
        </w:rPr>
        <w:t>9</w:t>
      </w:r>
      <w:r w:rsidRPr="00F01D1F">
        <w:rPr>
          <w:lang w:eastAsia="en-AU"/>
        </w:rPr>
        <w:t>),</w:t>
      </w:r>
      <w:r w:rsidRPr="00EA3458">
        <w:rPr>
          <w:lang w:eastAsia="en-AU"/>
        </w:rPr>
        <w:t xml:space="preserve"> most Commonwealth expenditure was for O</w:t>
      </w:r>
      <w:r w:rsidR="000175C7">
        <w:rPr>
          <w:lang w:eastAsia="en-AU"/>
        </w:rPr>
        <w:t>D</w:t>
      </w:r>
      <w:r w:rsidR="00AB43EE">
        <w:rPr>
          <w:lang w:eastAsia="en-AU"/>
        </w:rPr>
        <w:t>T</w:t>
      </w:r>
      <w:r w:rsidRPr="00EA3458">
        <w:rPr>
          <w:lang w:eastAsia="en-AU"/>
        </w:rPr>
        <w:t xml:space="preserve"> medicine supplies in NSW ($42</w:t>
      </w:r>
      <w:r w:rsidR="00607283">
        <w:rPr>
          <w:lang w:eastAsia="en-AU"/>
        </w:rPr>
        <w:t xml:space="preserve"> million</w:t>
      </w:r>
      <w:r w:rsidRPr="00EA3458">
        <w:rPr>
          <w:lang w:eastAsia="en-AU"/>
        </w:rPr>
        <w:t>, 39% of all expenditure), followed by Vic</w:t>
      </w:r>
      <w:r w:rsidR="000175C7">
        <w:rPr>
          <w:lang w:eastAsia="en-AU"/>
        </w:rPr>
        <w:t>toria</w:t>
      </w:r>
      <w:r w:rsidRPr="00EA3458">
        <w:rPr>
          <w:lang w:eastAsia="en-AU"/>
        </w:rPr>
        <w:t xml:space="preserve"> ($28</w:t>
      </w:r>
      <w:r w:rsidR="00607283">
        <w:rPr>
          <w:lang w:eastAsia="en-AU"/>
        </w:rPr>
        <w:t xml:space="preserve"> million</w:t>
      </w:r>
      <w:r w:rsidRPr="00EA3458">
        <w:rPr>
          <w:lang w:eastAsia="en-AU"/>
        </w:rPr>
        <w:t>, 26% of all expenditure) and Q</w:t>
      </w:r>
      <w:r w:rsidR="000175C7">
        <w:rPr>
          <w:lang w:eastAsia="en-AU"/>
        </w:rPr>
        <w:t>ueenslan</w:t>
      </w:r>
      <w:r w:rsidRPr="00EA3458">
        <w:rPr>
          <w:lang w:eastAsia="en-AU"/>
        </w:rPr>
        <w:t>d ($20</w:t>
      </w:r>
      <w:r w:rsidR="00607283">
        <w:rPr>
          <w:lang w:eastAsia="en-AU"/>
        </w:rPr>
        <w:t xml:space="preserve"> million</w:t>
      </w:r>
      <w:r w:rsidRPr="00EA3458">
        <w:rPr>
          <w:lang w:eastAsia="en-AU"/>
        </w:rPr>
        <w:t>, 19% of all expenditure), with remaining jurisdictions accounting for less than 10% of expenditure each.</w:t>
      </w:r>
    </w:p>
    <w:p w14:paraId="0E7461D7" w14:textId="637DD254" w:rsidR="006F0DAE" w:rsidRPr="00EA3458" w:rsidRDefault="006F0DAE">
      <w:pPr>
        <w:rPr>
          <w:lang w:eastAsia="en-AU"/>
        </w:rPr>
      </w:pPr>
      <w:r w:rsidRPr="00EA3458">
        <w:rPr>
          <w:lang w:eastAsia="en-AU"/>
        </w:rPr>
        <w:t>This pattern does not significantly change when looking at expenditure broken down by individual medicines, with the one exception being buprenorphine tablets, for which Queensland accounts for 49% of national expenditure ($2.5</w:t>
      </w:r>
      <w:r w:rsidR="00607283">
        <w:rPr>
          <w:lang w:eastAsia="en-AU"/>
        </w:rPr>
        <w:t xml:space="preserve"> million </w:t>
      </w:r>
      <w:r w:rsidRPr="00EA3458">
        <w:rPr>
          <w:lang w:eastAsia="en-AU"/>
        </w:rPr>
        <w:t>out of $5.1</w:t>
      </w:r>
      <w:r w:rsidR="00607283">
        <w:rPr>
          <w:lang w:eastAsia="en-AU"/>
        </w:rPr>
        <w:t xml:space="preserve"> million</w:t>
      </w:r>
      <w:r w:rsidRPr="00EA3458">
        <w:rPr>
          <w:lang w:eastAsia="en-AU"/>
        </w:rPr>
        <w:t>).</w:t>
      </w:r>
    </w:p>
    <w:p w14:paraId="0D76D7E5" w14:textId="4817D503" w:rsidR="002F31D5" w:rsidRDefault="002F31D5" w:rsidP="002F31D5">
      <w:pPr>
        <w:spacing w:after="0"/>
        <w:rPr>
          <w:lang w:eastAsia="en-AU"/>
        </w:rPr>
      </w:pPr>
      <w:r>
        <w:rPr>
          <w:lang w:eastAsia="en-AU"/>
        </w:rPr>
        <w:t>The largest proportion of expenditure in most jurisdictions is LAIB, except in Q</w:t>
      </w:r>
      <w:r w:rsidR="000175C7">
        <w:rPr>
          <w:lang w:eastAsia="en-AU"/>
        </w:rPr>
        <w:t>ueenslan</w:t>
      </w:r>
      <w:r>
        <w:rPr>
          <w:lang w:eastAsia="en-AU"/>
        </w:rPr>
        <w:t>d, SA and Tas</w:t>
      </w:r>
      <w:r w:rsidR="000175C7">
        <w:rPr>
          <w:lang w:eastAsia="en-AU"/>
        </w:rPr>
        <w:t>mania</w:t>
      </w:r>
      <w:r>
        <w:rPr>
          <w:lang w:eastAsia="en-AU"/>
        </w:rPr>
        <w:t xml:space="preserve"> where supplies of buprenorphine + naloxone films are the greater proportion.</w:t>
      </w:r>
    </w:p>
    <w:p w14:paraId="01EF791E" w14:textId="77777777" w:rsidR="001C7C0F" w:rsidRDefault="001C7C0F" w:rsidP="001C7C0F">
      <w:pPr>
        <w:spacing w:after="0"/>
        <w:rPr>
          <w:rFonts w:eastAsia="Calibri" w:cstheme="majorBidi"/>
          <w:b/>
          <w:iCs/>
        </w:rPr>
      </w:pPr>
    </w:p>
    <w:p w14:paraId="135C4775" w14:textId="50C4C868" w:rsidR="000C0F50" w:rsidRPr="00F259F4" w:rsidRDefault="000C0F50">
      <w:pPr>
        <w:pStyle w:val="Tables"/>
        <w:rPr>
          <w:rFonts w:eastAsia="Calibri"/>
        </w:rPr>
      </w:pPr>
      <w:bookmarkStart w:id="508" w:name="_Toc120183450"/>
      <w:bookmarkStart w:id="509" w:name="_Toc132823439"/>
      <w:r w:rsidRPr="00F259F4">
        <w:rPr>
          <w:rFonts w:eastAsia="Calibri"/>
        </w:rPr>
        <w:lastRenderedPageBreak/>
        <w:t xml:space="preserve">Table </w:t>
      </w:r>
      <w:r>
        <w:rPr>
          <w:rFonts w:eastAsia="Calibri"/>
        </w:rPr>
        <w:t>1</w:t>
      </w:r>
      <w:r w:rsidR="00420AEF">
        <w:rPr>
          <w:rFonts w:eastAsia="Calibri"/>
        </w:rPr>
        <w:t>9</w:t>
      </w:r>
      <w:r w:rsidR="001957C9">
        <w:rPr>
          <w:rFonts w:eastAsia="Calibri"/>
        </w:rPr>
        <w:t>.</w:t>
      </w:r>
      <w:r w:rsidRPr="00F259F4">
        <w:rPr>
          <w:rFonts w:eastAsia="Calibri"/>
        </w:rPr>
        <w:t xml:space="preserve"> Breakdown of total </w:t>
      </w:r>
      <w:r w:rsidR="000175C7">
        <w:rPr>
          <w:rFonts w:eastAsia="Calibri"/>
        </w:rPr>
        <w:t xml:space="preserve">PBS </w:t>
      </w:r>
      <w:r w:rsidRPr="00F259F4">
        <w:rPr>
          <w:rFonts w:eastAsia="Calibri"/>
        </w:rPr>
        <w:t>ODTP expenditure by drug and state and territory (GST exclusive, 2021-22 FY)</w:t>
      </w:r>
      <w:bookmarkEnd w:id="508"/>
      <w:r w:rsidR="00713452" w:rsidRPr="00713452">
        <w:rPr>
          <w:rFonts w:eastAsia="Calibri"/>
          <w:vertAlign w:val="superscript"/>
        </w:rPr>
        <w:t>*</w:t>
      </w:r>
      <w:bookmarkEnd w:id="509"/>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701"/>
        <w:gridCol w:w="1427"/>
        <w:gridCol w:w="1691"/>
        <w:gridCol w:w="1701"/>
        <w:gridCol w:w="1300"/>
        <w:gridCol w:w="1394"/>
      </w:tblGrid>
      <w:tr w:rsidR="000C0F50" w:rsidRPr="00F259F4" w14:paraId="1EFAD972" w14:textId="77777777" w:rsidTr="00C621EB">
        <w:trPr>
          <w:trHeight w:val="237"/>
        </w:trPr>
        <w:tc>
          <w:tcPr>
            <w:tcW w:w="851"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14:paraId="562E04E1" w14:textId="77777777" w:rsidR="000C0F50" w:rsidRPr="00257F28" w:rsidRDefault="000C0F50">
            <w:pPr>
              <w:spacing w:after="160" w:line="256" w:lineRule="auto"/>
              <w:rPr>
                <w:rFonts w:eastAsia="Calibri"/>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14:paraId="07B0C203" w14:textId="1D316A23" w:rsidR="000C0F50" w:rsidRPr="00257F28" w:rsidRDefault="000C0F50" w:rsidP="001867AD">
            <w:pPr>
              <w:spacing w:after="0" w:line="240" w:lineRule="auto"/>
              <w:jc w:val="center"/>
              <w:rPr>
                <w:rFonts w:eastAsia="Times New Roman"/>
                <w:b/>
                <w:bCs/>
                <w:color w:val="000000"/>
                <w:sz w:val="20"/>
                <w:szCs w:val="20"/>
                <w:lang w:eastAsia="en-AU"/>
              </w:rPr>
            </w:pPr>
            <w:r w:rsidRPr="00257F28">
              <w:rPr>
                <w:rFonts w:eastAsia="Times New Roman"/>
                <w:b/>
                <w:bCs/>
                <w:color w:val="000000"/>
                <w:sz w:val="20"/>
                <w:szCs w:val="20"/>
                <w:lang w:eastAsia="en-AU"/>
              </w:rPr>
              <w:t>Buprenorphine + Naloxone (sublingual film)</w:t>
            </w:r>
          </w:p>
        </w:tc>
        <w:tc>
          <w:tcPr>
            <w:tcW w:w="1427"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14:paraId="230FB0D4" w14:textId="77777777" w:rsidR="000C0F50" w:rsidRPr="00257F28" w:rsidRDefault="000C0F50" w:rsidP="001867AD">
            <w:pPr>
              <w:spacing w:after="0" w:line="240" w:lineRule="auto"/>
              <w:jc w:val="center"/>
              <w:rPr>
                <w:rFonts w:eastAsia="Times New Roman"/>
                <w:b/>
                <w:bCs/>
                <w:color w:val="000000"/>
                <w:sz w:val="20"/>
                <w:szCs w:val="20"/>
                <w:lang w:eastAsia="en-AU"/>
              </w:rPr>
            </w:pPr>
            <w:r w:rsidRPr="00257F28">
              <w:rPr>
                <w:rFonts w:eastAsia="Times New Roman"/>
                <w:b/>
                <w:bCs/>
                <w:color w:val="000000"/>
                <w:sz w:val="20"/>
                <w:szCs w:val="20"/>
                <w:lang w:eastAsia="en-AU"/>
              </w:rPr>
              <w:t>Methadone</w:t>
            </w:r>
          </w:p>
        </w:tc>
        <w:tc>
          <w:tcPr>
            <w:tcW w:w="1691"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14:paraId="2BFF7049" w14:textId="6CABE0F5" w:rsidR="000C0F50" w:rsidRPr="00257F28" w:rsidRDefault="00181DF4" w:rsidP="001867AD">
            <w:pPr>
              <w:spacing w:after="0" w:line="240" w:lineRule="auto"/>
              <w:jc w:val="center"/>
              <w:rPr>
                <w:rFonts w:eastAsia="Times New Roman"/>
                <w:b/>
                <w:bCs/>
                <w:color w:val="000000"/>
                <w:sz w:val="20"/>
                <w:szCs w:val="20"/>
                <w:lang w:eastAsia="en-AU"/>
              </w:rPr>
            </w:pPr>
            <w:r w:rsidRPr="00257F28">
              <w:rPr>
                <w:rFonts w:eastAsia="Times New Roman"/>
                <w:b/>
                <w:bCs/>
                <w:color w:val="000000"/>
                <w:sz w:val="20"/>
                <w:szCs w:val="20"/>
                <w:lang w:eastAsia="en-AU"/>
              </w:rPr>
              <w:t>Long-acting</w:t>
            </w:r>
            <w:r w:rsidR="000C0F50" w:rsidRPr="00257F28">
              <w:rPr>
                <w:rFonts w:eastAsia="Times New Roman"/>
                <w:b/>
                <w:bCs/>
                <w:color w:val="000000"/>
                <w:sz w:val="20"/>
                <w:szCs w:val="20"/>
                <w:lang w:eastAsia="en-AU"/>
              </w:rPr>
              <w:t xml:space="preserve"> injectable buprenorphine</w:t>
            </w:r>
          </w:p>
        </w:tc>
        <w:tc>
          <w:tcPr>
            <w:tcW w:w="1701"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14:paraId="01836E00" w14:textId="77777777" w:rsidR="000C0F50" w:rsidRPr="00257F28" w:rsidRDefault="000C0F50" w:rsidP="001867AD">
            <w:pPr>
              <w:spacing w:after="0" w:line="240" w:lineRule="auto"/>
              <w:jc w:val="center"/>
              <w:rPr>
                <w:rFonts w:eastAsia="Times New Roman"/>
                <w:b/>
                <w:bCs/>
                <w:color w:val="000000"/>
                <w:sz w:val="20"/>
                <w:szCs w:val="20"/>
                <w:lang w:eastAsia="en-AU"/>
              </w:rPr>
            </w:pPr>
            <w:r w:rsidRPr="00257F28">
              <w:rPr>
                <w:rFonts w:eastAsia="Times New Roman"/>
                <w:b/>
                <w:bCs/>
                <w:color w:val="000000"/>
                <w:sz w:val="20"/>
                <w:szCs w:val="20"/>
                <w:lang w:eastAsia="en-AU"/>
              </w:rPr>
              <w:t>Buprenorphine (sublingual tablet)</w:t>
            </w:r>
          </w:p>
        </w:tc>
        <w:tc>
          <w:tcPr>
            <w:tcW w:w="1300"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14:paraId="2A1FA26F" w14:textId="77777777" w:rsidR="000C0F50" w:rsidRPr="00257F28" w:rsidRDefault="000C0F50" w:rsidP="001867AD">
            <w:pPr>
              <w:spacing w:after="0" w:line="240" w:lineRule="auto"/>
              <w:jc w:val="center"/>
              <w:rPr>
                <w:rFonts w:eastAsia="Times New Roman"/>
                <w:b/>
                <w:bCs/>
                <w:color w:val="000000"/>
                <w:sz w:val="20"/>
                <w:szCs w:val="20"/>
                <w:lang w:eastAsia="en-AU"/>
              </w:rPr>
            </w:pPr>
            <w:r w:rsidRPr="00257F28">
              <w:rPr>
                <w:rFonts w:eastAsia="Times New Roman"/>
                <w:b/>
                <w:bCs/>
                <w:color w:val="000000"/>
                <w:sz w:val="20"/>
                <w:szCs w:val="20"/>
                <w:lang w:eastAsia="en-AU"/>
              </w:rPr>
              <w:t>Total</w:t>
            </w:r>
          </w:p>
        </w:tc>
        <w:tc>
          <w:tcPr>
            <w:tcW w:w="139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bottom"/>
            <w:hideMark/>
          </w:tcPr>
          <w:p w14:paraId="1AA74B27" w14:textId="77777777" w:rsidR="000C0F50" w:rsidRPr="00257F28" w:rsidRDefault="000C0F50" w:rsidP="001867AD">
            <w:pPr>
              <w:spacing w:after="0" w:line="240" w:lineRule="auto"/>
              <w:jc w:val="center"/>
              <w:rPr>
                <w:rFonts w:eastAsia="Times New Roman"/>
                <w:b/>
                <w:bCs/>
                <w:color w:val="000000"/>
                <w:sz w:val="20"/>
                <w:szCs w:val="20"/>
                <w:lang w:eastAsia="en-AU"/>
              </w:rPr>
            </w:pPr>
            <w:r w:rsidRPr="00257F28">
              <w:rPr>
                <w:rFonts w:eastAsia="Times New Roman"/>
                <w:b/>
                <w:bCs/>
                <w:color w:val="000000"/>
                <w:sz w:val="20"/>
                <w:szCs w:val="20"/>
                <w:lang w:eastAsia="en-AU"/>
              </w:rPr>
              <w:t>Expenditure (%)</w:t>
            </w:r>
          </w:p>
        </w:tc>
      </w:tr>
      <w:tr w:rsidR="000C0F50" w:rsidRPr="00F259F4" w14:paraId="3B774BA8" w14:textId="77777777" w:rsidTr="00C621EB">
        <w:trPr>
          <w:trHeight w:val="237"/>
        </w:trPr>
        <w:tc>
          <w:tcPr>
            <w:tcW w:w="851" w:type="dxa"/>
            <w:tcBorders>
              <w:top w:val="single" w:sz="4" w:space="0" w:color="auto"/>
              <w:left w:val="single" w:sz="4" w:space="0" w:color="auto"/>
              <w:bottom w:val="single" w:sz="4" w:space="0" w:color="auto"/>
              <w:right w:val="single" w:sz="4" w:space="0" w:color="auto"/>
            </w:tcBorders>
            <w:noWrap/>
            <w:vAlign w:val="bottom"/>
            <w:hideMark/>
          </w:tcPr>
          <w:p w14:paraId="1874A413" w14:textId="77777777" w:rsidR="000C0F50" w:rsidRPr="00257F28" w:rsidRDefault="000C0F50" w:rsidP="00DA0E77">
            <w:pPr>
              <w:spacing w:after="0" w:line="240" w:lineRule="auto"/>
              <w:rPr>
                <w:rFonts w:eastAsia="Times New Roman"/>
                <w:b/>
                <w:bCs/>
                <w:color w:val="000000"/>
                <w:sz w:val="20"/>
                <w:szCs w:val="20"/>
                <w:lang w:eastAsia="en-AU"/>
              </w:rPr>
            </w:pPr>
            <w:r w:rsidRPr="00257F28">
              <w:rPr>
                <w:rFonts w:eastAsia="Times New Roman"/>
                <w:b/>
                <w:bCs/>
                <w:color w:val="000000"/>
                <w:sz w:val="20"/>
                <w:szCs w:val="20"/>
                <w:lang w:eastAsia="en-AU"/>
              </w:rPr>
              <w:t>ACT</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DC72AD4" w14:textId="77777777" w:rsidR="000C0F50" w:rsidRPr="00713452" w:rsidRDefault="000C0F50" w:rsidP="001867AD">
            <w:pPr>
              <w:spacing w:after="0" w:line="240" w:lineRule="auto"/>
              <w:jc w:val="right"/>
              <w:rPr>
                <w:rFonts w:eastAsia="Times New Roman"/>
                <w:i/>
                <w:iCs/>
                <w:color w:val="000000"/>
                <w:sz w:val="20"/>
                <w:szCs w:val="20"/>
                <w:lang w:eastAsia="en-AU"/>
              </w:rPr>
            </w:pPr>
            <w:r w:rsidRPr="00713452">
              <w:rPr>
                <w:rFonts w:eastAsia="Times New Roman"/>
                <w:i/>
                <w:iCs/>
                <w:color w:val="000000"/>
                <w:sz w:val="20"/>
                <w:szCs w:val="20"/>
                <w:lang w:eastAsia="en-AU"/>
              </w:rPr>
              <w:t>$635 K</w:t>
            </w:r>
          </w:p>
        </w:tc>
        <w:tc>
          <w:tcPr>
            <w:tcW w:w="1427" w:type="dxa"/>
            <w:tcBorders>
              <w:top w:val="single" w:sz="4" w:space="0" w:color="auto"/>
              <w:left w:val="single" w:sz="4" w:space="0" w:color="auto"/>
              <w:bottom w:val="single" w:sz="4" w:space="0" w:color="auto"/>
              <w:right w:val="single" w:sz="4" w:space="0" w:color="auto"/>
            </w:tcBorders>
            <w:noWrap/>
            <w:vAlign w:val="center"/>
            <w:hideMark/>
          </w:tcPr>
          <w:p w14:paraId="6CC2F8DE" w14:textId="77777777" w:rsidR="000C0F50" w:rsidRPr="00713452" w:rsidRDefault="000C0F50" w:rsidP="001867AD">
            <w:pPr>
              <w:spacing w:after="0" w:line="240" w:lineRule="auto"/>
              <w:jc w:val="right"/>
              <w:rPr>
                <w:rFonts w:eastAsia="Times New Roman"/>
                <w:i/>
                <w:iCs/>
                <w:color w:val="000000"/>
                <w:sz w:val="20"/>
                <w:szCs w:val="20"/>
                <w:lang w:eastAsia="en-AU"/>
              </w:rPr>
            </w:pPr>
            <w:r w:rsidRPr="00713452">
              <w:rPr>
                <w:rFonts w:eastAsia="Times New Roman"/>
                <w:i/>
                <w:iCs/>
                <w:color w:val="000000"/>
                <w:sz w:val="20"/>
                <w:szCs w:val="20"/>
                <w:lang w:eastAsia="en-AU"/>
              </w:rPr>
              <w:t>$114 K</w:t>
            </w:r>
          </w:p>
        </w:tc>
        <w:tc>
          <w:tcPr>
            <w:tcW w:w="1691" w:type="dxa"/>
            <w:tcBorders>
              <w:top w:val="single" w:sz="4" w:space="0" w:color="auto"/>
              <w:left w:val="single" w:sz="4" w:space="0" w:color="auto"/>
              <w:bottom w:val="single" w:sz="4" w:space="0" w:color="auto"/>
              <w:right w:val="single" w:sz="4" w:space="0" w:color="auto"/>
            </w:tcBorders>
            <w:noWrap/>
            <w:vAlign w:val="center"/>
            <w:hideMark/>
          </w:tcPr>
          <w:p w14:paraId="0ED249BF" w14:textId="646CED3F" w:rsidR="000C0F50" w:rsidRPr="00257F28" w:rsidRDefault="000C0F50" w:rsidP="001867AD">
            <w:pPr>
              <w:spacing w:after="0" w:line="240" w:lineRule="auto"/>
              <w:jc w:val="right"/>
              <w:rPr>
                <w:rFonts w:eastAsia="Times New Roman"/>
                <w:color w:val="000000"/>
                <w:sz w:val="20"/>
                <w:szCs w:val="20"/>
                <w:lang w:eastAsia="en-AU"/>
              </w:rPr>
            </w:pPr>
            <w:r w:rsidRPr="00257F28">
              <w:rPr>
                <w:rFonts w:eastAsia="Times New Roman"/>
                <w:color w:val="000000"/>
                <w:sz w:val="20"/>
                <w:szCs w:val="20"/>
                <w:lang w:eastAsia="en-AU"/>
              </w:rPr>
              <w:t xml:space="preserve"> $1</w:t>
            </w:r>
            <w:r w:rsidR="00881003">
              <w:rPr>
                <w:rFonts w:eastAsia="Times New Roman"/>
                <w:color w:val="000000"/>
                <w:sz w:val="20"/>
                <w:szCs w:val="20"/>
                <w:lang w:eastAsia="en-AU"/>
              </w:rPr>
              <w:t xml:space="preserve"> M</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3463E9D9" w14:textId="77777777" w:rsidR="000C0F50" w:rsidRPr="00713452" w:rsidRDefault="000C0F50" w:rsidP="001867AD">
            <w:pPr>
              <w:spacing w:after="0" w:line="240" w:lineRule="auto"/>
              <w:jc w:val="right"/>
              <w:rPr>
                <w:rFonts w:eastAsia="Times New Roman"/>
                <w:i/>
                <w:iCs/>
                <w:color w:val="000000"/>
                <w:sz w:val="20"/>
                <w:szCs w:val="20"/>
                <w:lang w:eastAsia="en-AU"/>
              </w:rPr>
            </w:pPr>
            <w:r w:rsidRPr="00257F28">
              <w:rPr>
                <w:rFonts w:eastAsia="Times New Roman"/>
                <w:color w:val="000000"/>
                <w:sz w:val="20"/>
                <w:szCs w:val="20"/>
                <w:lang w:eastAsia="en-AU"/>
              </w:rPr>
              <w:t xml:space="preserve"> </w:t>
            </w:r>
            <w:r w:rsidRPr="00713452">
              <w:rPr>
                <w:rFonts w:eastAsia="Times New Roman"/>
                <w:i/>
                <w:iCs/>
                <w:color w:val="000000"/>
                <w:sz w:val="20"/>
                <w:szCs w:val="20"/>
                <w:lang w:eastAsia="en-AU"/>
              </w:rPr>
              <w:t>$21 K</w:t>
            </w:r>
          </w:p>
        </w:tc>
        <w:tc>
          <w:tcPr>
            <w:tcW w:w="13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80EEBEA" w14:textId="41D68272" w:rsidR="000C0F50" w:rsidRPr="00257F28" w:rsidRDefault="000C0F50" w:rsidP="001867AD">
            <w:pPr>
              <w:spacing w:after="0" w:line="240" w:lineRule="auto"/>
              <w:jc w:val="right"/>
              <w:rPr>
                <w:rFonts w:eastAsia="Times New Roman"/>
                <w:b/>
                <w:bCs/>
                <w:color w:val="000000"/>
                <w:sz w:val="20"/>
                <w:szCs w:val="20"/>
                <w:lang w:eastAsia="en-AU"/>
              </w:rPr>
            </w:pPr>
            <w:r w:rsidRPr="00257F28">
              <w:rPr>
                <w:rFonts w:eastAsia="Times New Roman"/>
                <w:b/>
                <w:bCs/>
                <w:color w:val="000000"/>
                <w:sz w:val="20"/>
                <w:szCs w:val="20"/>
                <w:lang w:eastAsia="en-AU"/>
              </w:rPr>
              <w:t xml:space="preserve"> $2</w:t>
            </w:r>
            <w:r w:rsidR="00881003">
              <w:rPr>
                <w:rFonts w:eastAsia="Times New Roman"/>
                <w:b/>
                <w:bCs/>
                <w:color w:val="000000"/>
                <w:sz w:val="20"/>
                <w:szCs w:val="20"/>
                <w:lang w:eastAsia="en-AU"/>
              </w:rPr>
              <w:t xml:space="preserve"> M</w:t>
            </w:r>
          </w:p>
        </w:tc>
        <w:tc>
          <w:tcPr>
            <w:tcW w:w="139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6F7D7826" w14:textId="77777777" w:rsidR="000C0F50" w:rsidRPr="00257F28" w:rsidRDefault="000C0F50" w:rsidP="001867AD">
            <w:pPr>
              <w:spacing w:after="0" w:line="240" w:lineRule="auto"/>
              <w:jc w:val="center"/>
              <w:rPr>
                <w:rFonts w:eastAsia="Times New Roman"/>
                <w:color w:val="000000"/>
                <w:sz w:val="20"/>
                <w:szCs w:val="20"/>
                <w:lang w:eastAsia="en-AU"/>
              </w:rPr>
            </w:pPr>
            <w:r w:rsidRPr="00257F28">
              <w:rPr>
                <w:rFonts w:eastAsia="Times New Roman"/>
                <w:color w:val="000000"/>
                <w:sz w:val="20"/>
                <w:szCs w:val="20"/>
                <w:lang w:eastAsia="en-AU"/>
              </w:rPr>
              <w:t>2</w:t>
            </w:r>
          </w:p>
        </w:tc>
      </w:tr>
      <w:tr w:rsidR="000C0F50" w:rsidRPr="00F259F4" w14:paraId="5CD80C90" w14:textId="77777777" w:rsidTr="00C621EB">
        <w:trPr>
          <w:trHeight w:val="237"/>
        </w:trPr>
        <w:tc>
          <w:tcPr>
            <w:tcW w:w="851" w:type="dxa"/>
            <w:tcBorders>
              <w:top w:val="single" w:sz="4" w:space="0" w:color="auto"/>
              <w:left w:val="single" w:sz="4" w:space="0" w:color="auto"/>
              <w:bottom w:val="single" w:sz="4" w:space="0" w:color="auto"/>
              <w:right w:val="single" w:sz="4" w:space="0" w:color="auto"/>
            </w:tcBorders>
            <w:noWrap/>
            <w:vAlign w:val="bottom"/>
            <w:hideMark/>
          </w:tcPr>
          <w:p w14:paraId="6A9E3DA0" w14:textId="77777777" w:rsidR="000C0F50" w:rsidRPr="00257F28" w:rsidRDefault="000C0F50" w:rsidP="00DA0E77">
            <w:pPr>
              <w:spacing w:after="0" w:line="240" w:lineRule="auto"/>
              <w:rPr>
                <w:rFonts w:eastAsia="Times New Roman"/>
                <w:b/>
                <w:bCs/>
                <w:color w:val="000000"/>
                <w:sz w:val="20"/>
                <w:szCs w:val="20"/>
                <w:lang w:eastAsia="en-AU"/>
              </w:rPr>
            </w:pPr>
            <w:r w:rsidRPr="00257F28">
              <w:rPr>
                <w:rFonts w:eastAsia="Times New Roman"/>
                <w:b/>
                <w:bCs/>
                <w:color w:val="000000"/>
                <w:sz w:val="20"/>
                <w:szCs w:val="20"/>
                <w:lang w:eastAsia="en-AU"/>
              </w:rPr>
              <w:t>NSW</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53AF1BE9" w14:textId="5D573338" w:rsidR="000C0F50" w:rsidRPr="00257F28" w:rsidRDefault="000C0F50" w:rsidP="001867AD">
            <w:pPr>
              <w:spacing w:after="0" w:line="240" w:lineRule="auto"/>
              <w:jc w:val="right"/>
              <w:rPr>
                <w:rFonts w:eastAsia="Times New Roman"/>
                <w:color w:val="000000"/>
                <w:sz w:val="20"/>
                <w:szCs w:val="20"/>
                <w:lang w:eastAsia="en-AU"/>
              </w:rPr>
            </w:pPr>
            <w:r w:rsidRPr="00257F28">
              <w:rPr>
                <w:rFonts w:eastAsia="Times New Roman"/>
                <w:color w:val="000000"/>
                <w:sz w:val="20"/>
                <w:szCs w:val="20"/>
                <w:lang w:eastAsia="en-AU"/>
              </w:rPr>
              <w:t>$14</w:t>
            </w:r>
            <w:r w:rsidR="00881003">
              <w:rPr>
                <w:rFonts w:eastAsia="Times New Roman"/>
                <w:color w:val="000000"/>
                <w:sz w:val="20"/>
                <w:szCs w:val="20"/>
                <w:lang w:eastAsia="en-AU"/>
              </w:rPr>
              <w:t xml:space="preserve"> M</w:t>
            </w:r>
          </w:p>
        </w:tc>
        <w:tc>
          <w:tcPr>
            <w:tcW w:w="1427" w:type="dxa"/>
            <w:tcBorders>
              <w:top w:val="single" w:sz="4" w:space="0" w:color="auto"/>
              <w:left w:val="single" w:sz="4" w:space="0" w:color="auto"/>
              <w:bottom w:val="single" w:sz="4" w:space="0" w:color="auto"/>
              <w:right w:val="single" w:sz="4" w:space="0" w:color="auto"/>
            </w:tcBorders>
            <w:noWrap/>
            <w:vAlign w:val="center"/>
            <w:hideMark/>
          </w:tcPr>
          <w:p w14:paraId="7FCE8BFD" w14:textId="7554C315" w:rsidR="000C0F50" w:rsidRPr="00257F28" w:rsidRDefault="000C0F50" w:rsidP="001867AD">
            <w:pPr>
              <w:spacing w:after="0" w:line="240" w:lineRule="auto"/>
              <w:jc w:val="right"/>
              <w:rPr>
                <w:rFonts w:eastAsia="Times New Roman"/>
                <w:color w:val="000000"/>
                <w:sz w:val="20"/>
                <w:szCs w:val="20"/>
                <w:lang w:eastAsia="en-AU"/>
              </w:rPr>
            </w:pPr>
            <w:r w:rsidRPr="00257F28">
              <w:rPr>
                <w:rFonts w:eastAsia="Times New Roman"/>
                <w:color w:val="000000"/>
                <w:sz w:val="20"/>
                <w:szCs w:val="20"/>
                <w:lang w:eastAsia="en-AU"/>
              </w:rPr>
              <w:t xml:space="preserve"> $2</w:t>
            </w:r>
            <w:r w:rsidR="00881003">
              <w:rPr>
                <w:rFonts w:eastAsia="Times New Roman"/>
                <w:color w:val="000000"/>
                <w:sz w:val="20"/>
                <w:szCs w:val="20"/>
                <w:lang w:eastAsia="en-AU"/>
              </w:rPr>
              <w:t xml:space="preserve"> M</w:t>
            </w:r>
          </w:p>
        </w:tc>
        <w:tc>
          <w:tcPr>
            <w:tcW w:w="1691" w:type="dxa"/>
            <w:tcBorders>
              <w:top w:val="single" w:sz="4" w:space="0" w:color="auto"/>
              <w:left w:val="single" w:sz="4" w:space="0" w:color="auto"/>
              <w:bottom w:val="single" w:sz="4" w:space="0" w:color="auto"/>
              <w:right w:val="single" w:sz="4" w:space="0" w:color="auto"/>
            </w:tcBorders>
            <w:noWrap/>
            <w:vAlign w:val="center"/>
            <w:hideMark/>
          </w:tcPr>
          <w:p w14:paraId="31DD5AA7" w14:textId="4FCCF15E" w:rsidR="000C0F50" w:rsidRPr="00257F28" w:rsidRDefault="000C0F50" w:rsidP="001867AD">
            <w:pPr>
              <w:spacing w:after="0" w:line="240" w:lineRule="auto"/>
              <w:jc w:val="right"/>
              <w:rPr>
                <w:rFonts w:eastAsia="Times New Roman"/>
                <w:color w:val="000000"/>
                <w:sz w:val="20"/>
                <w:szCs w:val="20"/>
                <w:lang w:eastAsia="en-AU"/>
              </w:rPr>
            </w:pPr>
            <w:r w:rsidRPr="00257F28">
              <w:rPr>
                <w:rFonts w:eastAsia="Times New Roman"/>
                <w:color w:val="000000"/>
                <w:sz w:val="20"/>
                <w:szCs w:val="20"/>
                <w:lang w:eastAsia="en-AU"/>
              </w:rPr>
              <w:t xml:space="preserve"> $2</w:t>
            </w:r>
            <w:r w:rsidR="00881003">
              <w:rPr>
                <w:rFonts w:eastAsia="Times New Roman"/>
                <w:color w:val="000000"/>
                <w:sz w:val="20"/>
                <w:szCs w:val="20"/>
                <w:lang w:eastAsia="en-AU"/>
              </w:rPr>
              <w:t>4 M</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13EB8852" w14:textId="04547CFE" w:rsidR="000C0F50" w:rsidRPr="00257F28" w:rsidRDefault="000C0F50" w:rsidP="001867AD">
            <w:pPr>
              <w:spacing w:after="0" w:line="240" w:lineRule="auto"/>
              <w:jc w:val="right"/>
              <w:rPr>
                <w:rFonts w:eastAsia="Times New Roman"/>
                <w:color w:val="000000"/>
                <w:sz w:val="20"/>
                <w:szCs w:val="20"/>
                <w:lang w:eastAsia="en-AU"/>
              </w:rPr>
            </w:pPr>
            <w:r w:rsidRPr="00257F28">
              <w:rPr>
                <w:rFonts w:eastAsia="Times New Roman"/>
                <w:color w:val="000000"/>
                <w:sz w:val="20"/>
                <w:szCs w:val="20"/>
                <w:lang w:eastAsia="en-AU"/>
              </w:rPr>
              <w:t xml:space="preserve"> $1</w:t>
            </w:r>
            <w:r w:rsidR="00881003">
              <w:rPr>
                <w:rFonts w:eastAsia="Times New Roman"/>
                <w:color w:val="000000"/>
                <w:sz w:val="20"/>
                <w:szCs w:val="20"/>
                <w:lang w:eastAsia="en-AU"/>
              </w:rPr>
              <w:t xml:space="preserve"> M</w:t>
            </w:r>
          </w:p>
        </w:tc>
        <w:tc>
          <w:tcPr>
            <w:tcW w:w="13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DD9687C" w14:textId="384BC795" w:rsidR="000C0F50" w:rsidRPr="00257F28" w:rsidRDefault="000C0F50" w:rsidP="001867AD">
            <w:pPr>
              <w:spacing w:after="0" w:line="240" w:lineRule="auto"/>
              <w:jc w:val="right"/>
              <w:rPr>
                <w:rFonts w:eastAsia="Times New Roman"/>
                <w:b/>
                <w:bCs/>
                <w:color w:val="000000"/>
                <w:sz w:val="20"/>
                <w:szCs w:val="20"/>
                <w:lang w:eastAsia="en-AU"/>
              </w:rPr>
            </w:pPr>
            <w:r w:rsidRPr="00257F28">
              <w:rPr>
                <w:rFonts w:eastAsia="Times New Roman"/>
                <w:b/>
                <w:bCs/>
                <w:color w:val="000000"/>
                <w:sz w:val="20"/>
                <w:szCs w:val="20"/>
                <w:lang w:eastAsia="en-AU"/>
              </w:rPr>
              <w:t xml:space="preserve"> $42</w:t>
            </w:r>
            <w:r w:rsidR="00881003">
              <w:rPr>
                <w:rFonts w:eastAsia="Times New Roman"/>
                <w:b/>
                <w:bCs/>
                <w:color w:val="000000"/>
                <w:sz w:val="20"/>
                <w:szCs w:val="20"/>
                <w:lang w:eastAsia="en-AU"/>
              </w:rPr>
              <w:t xml:space="preserve"> M</w:t>
            </w:r>
          </w:p>
        </w:tc>
        <w:tc>
          <w:tcPr>
            <w:tcW w:w="139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288A4DD1" w14:textId="77777777" w:rsidR="000C0F50" w:rsidRPr="00257F28" w:rsidRDefault="000C0F50" w:rsidP="001867AD">
            <w:pPr>
              <w:spacing w:after="0" w:line="240" w:lineRule="auto"/>
              <w:jc w:val="center"/>
              <w:rPr>
                <w:rFonts w:eastAsia="Times New Roman"/>
                <w:color w:val="000000"/>
                <w:sz w:val="20"/>
                <w:szCs w:val="20"/>
                <w:lang w:eastAsia="en-AU"/>
              </w:rPr>
            </w:pPr>
            <w:r w:rsidRPr="00257F28">
              <w:rPr>
                <w:rFonts w:eastAsia="Times New Roman"/>
                <w:color w:val="000000"/>
                <w:sz w:val="20"/>
                <w:szCs w:val="20"/>
                <w:lang w:eastAsia="en-AU"/>
              </w:rPr>
              <w:t>39</w:t>
            </w:r>
          </w:p>
        </w:tc>
      </w:tr>
      <w:tr w:rsidR="000C0F50" w:rsidRPr="00F259F4" w14:paraId="7E910A3A" w14:textId="77777777" w:rsidTr="00C621EB">
        <w:trPr>
          <w:trHeight w:val="237"/>
        </w:trPr>
        <w:tc>
          <w:tcPr>
            <w:tcW w:w="851" w:type="dxa"/>
            <w:tcBorders>
              <w:top w:val="single" w:sz="4" w:space="0" w:color="auto"/>
              <w:left w:val="single" w:sz="4" w:space="0" w:color="auto"/>
              <w:bottom w:val="single" w:sz="4" w:space="0" w:color="auto"/>
              <w:right w:val="single" w:sz="4" w:space="0" w:color="auto"/>
            </w:tcBorders>
            <w:noWrap/>
            <w:vAlign w:val="bottom"/>
            <w:hideMark/>
          </w:tcPr>
          <w:p w14:paraId="6766CEA5" w14:textId="77777777" w:rsidR="000C0F50" w:rsidRPr="00257F28" w:rsidRDefault="000C0F50" w:rsidP="00DA0E77">
            <w:pPr>
              <w:spacing w:after="0" w:line="240" w:lineRule="auto"/>
              <w:rPr>
                <w:rFonts w:eastAsia="Times New Roman"/>
                <w:b/>
                <w:bCs/>
                <w:color w:val="000000"/>
                <w:sz w:val="20"/>
                <w:szCs w:val="20"/>
                <w:lang w:eastAsia="en-AU"/>
              </w:rPr>
            </w:pPr>
            <w:r w:rsidRPr="00257F28">
              <w:rPr>
                <w:rFonts w:eastAsia="Times New Roman"/>
                <w:b/>
                <w:bCs/>
                <w:color w:val="000000"/>
                <w:sz w:val="20"/>
                <w:szCs w:val="20"/>
                <w:lang w:eastAsia="en-AU"/>
              </w:rPr>
              <w:t>NT</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E128414" w14:textId="77777777" w:rsidR="000C0F50" w:rsidRPr="00713452" w:rsidRDefault="000C0F50" w:rsidP="001867AD">
            <w:pPr>
              <w:spacing w:after="0" w:line="240" w:lineRule="auto"/>
              <w:jc w:val="right"/>
              <w:rPr>
                <w:rFonts w:eastAsia="Times New Roman"/>
                <w:i/>
                <w:iCs/>
                <w:color w:val="000000"/>
                <w:sz w:val="20"/>
                <w:szCs w:val="20"/>
                <w:lang w:eastAsia="en-AU"/>
              </w:rPr>
            </w:pPr>
            <w:r w:rsidRPr="00713452">
              <w:rPr>
                <w:rFonts w:eastAsia="Times New Roman"/>
                <w:i/>
                <w:iCs/>
                <w:color w:val="000000"/>
                <w:sz w:val="20"/>
                <w:szCs w:val="20"/>
                <w:lang w:eastAsia="en-AU"/>
              </w:rPr>
              <w:t xml:space="preserve"> $228 K</w:t>
            </w:r>
          </w:p>
        </w:tc>
        <w:tc>
          <w:tcPr>
            <w:tcW w:w="1427" w:type="dxa"/>
            <w:tcBorders>
              <w:top w:val="single" w:sz="4" w:space="0" w:color="auto"/>
              <w:left w:val="single" w:sz="4" w:space="0" w:color="auto"/>
              <w:bottom w:val="single" w:sz="4" w:space="0" w:color="auto"/>
              <w:right w:val="single" w:sz="4" w:space="0" w:color="auto"/>
            </w:tcBorders>
            <w:noWrap/>
            <w:vAlign w:val="center"/>
            <w:hideMark/>
          </w:tcPr>
          <w:p w14:paraId="5761E1EF" w14:textId="77777777" w:rsidR="000C0F50" w:rsidRPr="00713452" w:rsidRDefault="000C0F50" w:rsidP="001867AD">
            <w:pPr>
              <w:spacing w:after="0" w:line="240" w:lineRule="auto"/>
              <w:jc w:val="right"/>
              <w:rPr>
                <w:rFonts w:eastAsia="Times New Roman"/>
                <w:i/>
                <w:iCs/>
                <w:color w:val="000000"/>
                <w:sz w:val="20"/>
                <w:szCs w:val="20"/>
                <w:lang w:eastAsia="en-AU"/>
              </w:rPr>
            </w:pPr>
            <w:r w:rsidRPr="00713452">
              <w:rPr>
                <w:rFonts w:eastAsia="Times New Roman"/>
                <w:i/>
                <w:iCs/>
                <w:color w:val="000000"/>
                <w:sz w:val="20"/>
                <w:szCs w:val="20"/>
                <w:lang w:eastAsia="en-AU"/>
              </w:rPr>
              <w:t xml:space="preserve"> $9 K</w:t>
            </w:r>
          </w:p>
        </w:tc>
        <w:tc>
          <w:tcPr>
            <w:tcW w:w="1691" w:type="dxa"/>
            <w:tcBorders>
              <w:top w:val="single" w:sz="4" w:space="0" w:color="auto"/>
              <w:left w:val="single" w:sz="4" w:space="0" w:color="auto"/>
              <w:bottom w:val="single" w:sz="4" w:space="0" w:color="auto"/>
              <w:right w:val="single" w:sz="4" w:space="0" w:color="auto"/>
            </w:tcBorders>
            <w:noWrap/>
            <w:vAlign w:val="center"/>
            <w:hideMark/>
          </w:tcPr>
          <w:p w14:paraId="6125729A" w14:textId="77777777" w:rsidR="000C0F50" w:rsidRPr="00713452" w:rsidRDefault="000C0F50" w:rsidP="001867AD">
            <w:pPr>
              <w:spacing w:after="0" w:line="240" w:lineRule="auto"/>
              <w:jc w:val="right"/>
              <w:rPr>
                <w:rFonts w:eastAsia="Times New Roman"/>
                <w:i/>
                <w:iCs/>
                <w:color w:val="000000"/>
                <w:sz w:val="20"/>
                <w:szCs w:val="20"/>
                <w:lang w:eastAsia="en-AU"/>
              </w:rPr>
            </w:pPr>
            <w:r w:rsidRPr="00257F28">
              <w:rPr>
                <w:rFonts w:eastAsia="Times New Roman"/>
                <w:color w:val="000000"/>
                <w:sz w:val="20"/>
                <w:szCs w:val="20"/>
                <w:lang w:eastAsia="en-AU"/>
              </w:rPr>
              <w:t xml:space="preserve"> </w:t>
            </w:r>
            <w:r w:rsidRPr="00713452">
              <w:rPr>
                <w:rFonts w:eastAsia="Times New Roman"/>
                <w:i/>
                <w:iCs/>
                <w:color w:val="000000"/>
                <w:sz w:val="20"/>
                <w:szCs w:val="20"/>
                <w:lang w:eastAsia="en-AU"/>
              </w:rPr>
              <w:t>$315 K</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74AA638C" w14:textId="77777777" w:rsidR="000C0F50" w:rsidRPr="00713452" w:rsidRDefault="000C0F50" w:rsidP="001867AD">
            <w:pPr>
              <w:spacing w:after="0" w:line="240" w:lineRule="auto"/>
              <w:jc w:val="right"/>
              <w:rPr>
                <w:rFonts w:eastAsia="Times New Roman"/>
                <w:i/>
                <w:iCs/>
                <w:color w:val="000000"/>
                <w:sz w:val="20"/>
                <w:szCs w:val="20"/>
                <w:lang w:eastAsia="en-AU"/>
              </w:rPr>
            </w:pPr>
            <w:r w:rsidRPr="00257F28">
              <w:rPr>
                <w:rFonts w:eastAsia="Times New Roman"/>
                <w:color w:val="000000"/>
                <w:sz w:val="20"/>
                <w:szCs w:val="20"/>
                <w:lang w:eastAsia="en-AU"/>
              </w:rPr>
              <w:t xml:space="preserve"> </w:t>
            </w:r>
            <w:r w:rsidRPr="00713452">
              <w:rPr>
                <w:rFonts w:eastAsia="Times New Roman"/>
                <w:i/>
                <w:iCs/>
                <w:color w:val="000000"/>
                <w:sz w:val="20"/>
                <w:szCs w:val="20"/>
                <w:lang w:eastAsia="en-AU"/>
              </w:rPr>
              <w:t>$72 K</w:t>
            </w:r>
          </w:p>
        </w:tc>
        <w:tc>
          <w:tcPr>
            <w:tcW w:w="13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7B9D763" w14:textId="77777777" w:rsidR="000C0F50" w:rsidRPr="00713452" w:rsidRDefault="000C0F50" w:rsidP="001867AD">
            <w:pPr>
              <w:spacing w:after="0" w:line="240" w:lineRule="auto"/>
              <w:jc w:val="right"/>
              <w:rPr>
                <w:rFonts w:eastAsia="Times New Roman"/>
                <w:b/>
                <w:bCs/>
                <w:i/>
                <w:iCs/>
                <w:color w:val="000000"/>
                <w:sz w:val="20"/>
                <w:szCs w:val="20"/>
                <w:lang w:eastAsia="en-AU"/>
              </w:rPr>
            </w:pPr>
            <w:r w:rsidRPr="00257F28">
              <w:rPr>
                <w:rFonts w:eastAsia="Times New Roman"/>
                <w:b/>
                <w:bCs/>
                <w:color w:val="000000"/>
                <w:sz w:val="20"/>
                <w:szCs w:val="20"/>
                <w:lang w:eastAsia="en-AU"/>
              </w:rPr>
              <w:t xml:space="preserve"> </w:t>
            </w:r>
            <w:r w:rsidRPr="00713452">
              <w:rPr>
                <w:rFonts w:eastAsia="Times New Roman"/>
                <w:b/>
                <w:bCs/>
                <w:i/>
                <w:iCs/>
                <w:color w:val="000000"/>
                <w:sz w:val="20"/>
                <w:szCs w:val="20"/>
                <w:lang w:eastAsia="en-AU"/>
              </w:rPr>
              <w:t>$624 K</w:t>
            </w:r>
          </w:p>
        </w:tc>
        <w:tc>
          <w:tcPr>
            <w:tcW w:w="139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3F88CF9A" w14:textId="77777777" w:rsidR="000C0F50" w:rsidRPr="00257F28" w:rsidRDefault="000C0F50" w:rsidP="001867AD">
            <w:pPr>
              <w:spacing w:after="0" w:line="240" w:lineRule="auto"/>
              <w:jc w:val="center"/>
              <w:rPr>
                <w:rFonts w:eastAsia="Times New Roman"/>
                <w:color w:val="000000"/>
                <w:sz w:val="20"/>
                <w:szCs w:val="20"/>
                <w:lang w:eastAsia="en-AU"/>
              </w:rPr>
            </w:pPr>
            <w:r w:rsidRPr="00257F28">
              <w:rPr>
                <w:rFonts w:eastAsia="Times New Roman"/>
                <w:color w:val="000000"/>
                <w:sz w:val="20"/>
                <w:szCs w:val="20"/>
                <w:lang w:eastAsia="en-AU"/>
              </w:rPr>
              <w:t>1</w:t>
            </w:r>
          </w:p>
        </w:tc>
      </w:tr>
      <w:tr w:rsidR="000C0F50" w:rsidRPr="00F259F4" w14:paraId="0DB589D9" w14:textId="77777777" w:rsidTr="00C621EB">
        <w:trPr>
          <w:trHeight w:val="237"/>
        </w:trPr>
        <w:tc>
          <w:tcPr>
            <w:tcW w:w="851" w:type="dxa"/>
            <w:tcBorders>
              <w:top w:val="single" w:sz="4" w:space="0" w:color="auto"/>
              <w:left w:val="single" w:sz="4" w:space="0" w:color="auto"/>
              <w:bottom w:val="single" w:sz="4" w:space="0" w:color="auto"/>
              <w:right w:val="single" w:sz="4" w:space="0" w:color="auto"/>
            </w:tcBorders>
            <w:noWrap/>
            <w:vAlign w:val="bottom"/>
            <w:hideMark/>
          </w:tcPr>
          <w:p w14:paraId="1D42579F" w14:textId="77777777" w:rsidR="000C0F50" w:rsidRPr="00257F28" w:rsidRDefault="000C0F50" w:rsidP="00DA0E77">
            <w:pPr>
              <w:spacing w:after="0" w:line="240" w:lineRule="auto"/>
              <w:rPr>
                <w:rFonts w:eastAsia="Times New Roman"/>
                <w:b/>
                <w:bCs/>
                <w:color w:val="000000"/>
                <w:sz w:val="20"/>
                <w:szCs w:val="20"/>
                <w:lang w:eastAsia="en-AU"/>
              </w:rPr>
            </w:pPr>
            <w:r w:rsidRPr="00257F28">
              <w:rPr>
                <w:rFonts w:eastAsia="Times New Roman"/>
                <w:b/>
                <w:bCs/>
                <w:color w:val="000000"/>
                <w:sz w:val="20"/>
                <w:szCs w:val="20"/>
                <w:lang w:eastAsia="en-AU"/>
              </w:rPr>
              <w:t>QLD</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15282EAE" w14:textId="51CFB606" w:rsidR="000C0F50" w:rsidRPr="00257F28" w:rsidRDefault="000C0F50" w:rsidP="001867AD">
            <w:pPr>
              <w:spacing w:after="0" w:line="240" w:lineRule="auto"/>
              <w:jc w:val="right"/>
              <w:rPr>
                <w:rFonts w:eastAsia="Times New Roman"/>
                <w:color w:val="000000"/>
                <w:sz w:val="20"/>
                <w:szCs w:val="20"/>
                <w:lang w:eastAsia="en-AU"/>
              </w:rPr>
            </w:pPr>
            <w:r w:rsidRPr="00257F28">
              <w:rPr>
                <w:rFonts w:eastAsia="Times New Roman"/>
                <w:color w:val="000000"/>
                <w:sz w:val="20"/>
                <w:szCs w:val="20"/>
                <w:lang w:eastAsia="en-AU"/>
              </w:rPr>
              <w:t xml:space="preserve"> $9</w:t>
            </w:r>
            <w:r w:rsidR="00881003">
              <w:rPr>
                <w:rFonts w:eastAsia="Times New Roman"/>
                <w:color w:val="000000"/>
                <w:sz w:val="20"/>
                <w:szCs w:val="20"/>
                <w:lang w:eastAsia="en-AU"/>
              </w:rPr>
              <w:t xml:space="preserve"> M</w:t>
            </w:r>
          </w:p>
        </w:tc>
        <w:tc>
          <w:tcPr>
            <w:tcW w:w="1427" w:type="dxa"/>
            <w:tcBorders>
              <w:top w:val="single" w:sz="4" w:space="0" w:color="auto"/>
              <w:left w:val="single" w:sz="4" w:space="0" w:color="auto"/>
              <w:bottom w:val="single" w:sz="4" w:space="0" w:color="auto"/>
              <w:right w:val="single" w:sz="4" w:space="0" w:color="auto"/>
            </w:tcBorders>
            <w:noWrap/>
            <w:vAlign w:val="center"/>
            <w:hideMark/>
          </w:tcPr>
          <w:p w14:paraId="41937A5D" w14:textId="77777777" w:rsidR="000C0F50" w:rsidRPr="00713452" w:rsidRDefault="000C0F50" w:rsidP="001867AD">
            <w:pPr>
              <w:spacing w:after="0" w:line="240" w:lineRule="auto"/>
              <w:jc w:val="right"/>
              <w:rPr>
                <w:rFonts w:eastAsia="Times New Roman"/>
                <w:i/>
                <w:iCs/>
                <w:color w:val="000000"/>
                <w:sz w:val="20"/>
                <w:szCs w:val="20"/>
                <w:lang w:eastAsia="en-AU"/>
              </w:rPr>
            </w:pPr>
            <w:r w:rsidRPr="00713452">
              <w:rPr>
                <w:rFonts w:eastAsia="Times New Roman"/>
                <w:i/>
                <w:iCs/>
                <w:color w:val="000000"/>
                <w:sz w:val="20"/>
                <w:szCs w:val="20"/>
                <w:lang w:eastAsia="en-AU"/>
              </w:rPr>
              <w:t>$519 K</w:t>
            </w:r>
          </w:p>
        </w:tc>
        <w:tc>
          <w:tcPr>
            <w:tcW w:w="1691" w:type="dxa"/>
            <w:tcBorders>
              <w:top w:val="single" w:sz="4" w:space="0" w:color="auto"/>
              <w:left w:val="single" w:sz="4" w:space="0" w:color="auto"/>
              <w:bottom w:val="single" w:sz="4" w:space="0" w:color="auto"/>
              <w:right w:val="single" w:sz="4" w:space="0" w:color="auto"/>
            </w:tcBorders>
            <w:noWrap/>
            <w:vAlign w:val="center"/>
            <w:hideMark/>
          </w:tcPr>
          <w:p w14:paraId="51CA219E" w14:textId="2886D900" w:rsidR="000C0F50" w:rsidRPr="00257F28" w:rsidRDefault="000C0F50" w:rsidP="001867AD">
            <w:pPr>
              <w:spacing w:after="0" w:line="240" w:lineRule="auto"/>
              <w:jc w:val="right"/>
              <w:rPr>
                <w:rFonts w:eastAsia="Times New Roman"/>
                <w:color w:val="000000"/>
                <w:sz w:val="20"/>
                <w:szCs w:val="20"/>
                <w:lang w:eastAsia="en-AU"/>
              </w:rPr>
            </w:pPr>
            <w:r w:rsidRPr="00257F28">
              <w:rPr>
                <w:rFonts w:eastAsia="Times New Roman"/>
                <w:color w:val="000000"/>
                <w:sz w:val="20"/>
                <w:szCs w:val="20"/>
                <w:lang w:eastAsia="en-AU"/>
              </w:rPr>
              <w:t xml:space="preserve"> $8</w:t>
            </w:r>
            <w:r w:rsidR="00881003">
              <w:rPr>
                <w:rFonts w:eastAsia="Times New Roman"/>
                <w:color w:val="000000"/>
                <w:sz w:val="20"/>
                <w:szCs w:val="20"/>
                <w:lang w:eastAsia="en-AU"/>
              </w:rPr>
              <w:t xml:space="preserve"> M</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52789073" w14:textId="583FA027" w:rsidR="000C0F50" w:rsidRPr="00881003" w:rsidRDefault="000C0F50" w:rsidP="001867AD">
            <w:pPr>
              <w:spacing w:after="0" w:line="240" w:lineRule="auto"/>
              <w:jc w:val="right"/>
              <w:rPr>
                <w:rFonts w:eastAsia="Times New Roman"/>
                <w:color w:val="000000"/>
                <w:sz w:val="20"/>
                <w:szCs w:val="20"/>
                <w:lang w:eastAsia="en-AU"/>
              </w:rPr>
            </w:pPr>
            <w:r w:rsidRPr="00257F28">
              <w:rPr>
                <w:rFonts w:eastAsia="Times New Roman"/>
                <w:color w:val="000000"/>
                <w:sz w:val="20"/>
                <w:szCs w:val="20"/>
                <w:lang w:eastAsia="en-AU"/>
              </w:rPr>
              <w:t xml:space="preserve"> </w:t>
            </w:r>
            <w:r w:rsidRPr="00881003">
              <w:rPr>
                <w:rFonts w:eastAsia="Times New Roman"/>
                <w:color w:val="000000"/>
                <w:sz w:val="20"/>
                <w:szCs w:val="20"/>
                <w:lang w:eastAsia="en-AU"/>
              </w:rPr>
              <w:t>$</w:t>
            </w:r>
            <w:r w:rsidR="00881003" w:rsidRPr="00B211B3">
              <w:rPr>
                <w:rFonts w:eastAsia="Times New Roman"/>
                <w:color w:val="000000"/>
                <w:sz w:val="20"/>
                <w:szCs w:val="20"/>
                <w:lang w:eastAsia="en-AU"/>
              </w:rPr>
              <w:t>3 M</w:t>
            </w:r>
          </w:p>
        </w:tc>
        <w:tc>
          <w:tcPr>
            <w:tcW w:w="13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64A74C0" w14:textId="1BEFD921" w:rsidR="000C0F50" w:rsidRPr="00257F28" w:rsidRDefault="000C0F50" w:rsidP="001867AD">
            <w:pPr>
              <w:spacing w:after="0" w:line="240" w:lineRule="auto"/>
              <w:jc w:val="right"/>
              <w:rPr>
                <w:rFonts w:eastAsia="Times New Roman"/>
                <w:b/>
                <w:bCs/>
                <w:color w:val="000000"/>
                <w:sz w:val="20"/>
                <w:szCs w:val="20"/>
                <w:lang w:eastAsia="en-AU"/>
              </w:rPr>
            </w:pPr>
            <w:r w:rsidRPr="00257F28">
              <w:rPr>
                <w:rFonts w:eastAsia="Times New Roman"/>
                <w:b/>
                <w:bCs/>
                <w:color w:val="000000"/>
                <w:sz w:val="20"/>
                <w:szCs w:val="20"/>
                <w:lang w:eastAsia="en-AU"/>
              </w:rPr>
              <w:t xml:space="preserve"> $20</w:t>
            </w:r>
            <w:r w:rsidR="00881003">
              <w:rPr>
                <w:rFonts w:eastAsia="Times New Roman"/>
                <w:b/>
                <w:bCs/>
                <w:color w:val="000000"/>
                <w:sz w:val="20"/>
                <w:szCs w:val="20"/>
                <w:lang w:eastAsia="en-AU"/>
              </w:rPr>
              <w:t xml:space="preserve"> M</w:t>
            </w:r>
          </w:p>
        </w:tc>
        <w:tc>
          <w:tcPr>
            <w:tcW w:w="139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216DD5F3" w14:textId="77777777" w:rsidR="000C0F50" w:rsidRPr="00257F28" w:rsidRDefault="000C0F50" w:rsidP="001867AD">
            <w:pPr>
              <w:spacing w:after="0" w:line="240" w:lineRule="auto"/>
              <w:jc w:val="center"/>
              <w:rPr>
                <w:rFonts w:eastAsia="Times New Roman"/>
                <w:color w:val="000000"/>
                <w:sz w:val="20"/>
                <w:szCs w:val="20"/>
                <w:lang w:eastAsia="en-AU"/>
              </w:rPr>
            </w:pPr>
            <w:r w:rsidRPr="00257F28">
              <w:rPr>
                <w:rFonts w:eastAsia="Times New Roman"/>
                <w:color w:val="000000"/>
                <w:sz w:val="20"/>
                <w:szCs w:val="20"/>
                <w:lang w:eastAsia="en-AU"/>
              </w:rPr>
              <w:t>19</w:t>
            </w:r>
          </w:p>
        </w:tc>
      </w:tr>
      <w:tr w:rsidR="000C0F50" w:rsidRPr="00F259F4" w14:paraId="127D01AB" w14:textId="77777777" w:rsidTr="00C621EB">
        <w:trPr>
          <w:trHeight w:val="237"/>
        </w:trPr>
        <w:tc>
          <w:tcPr>
            <w:tcW w:w="851" w:type="dxa"/>
            <w:tcBorders>
              <w:top w:val="single" w:sz="4" w:space="0" w:color="auto"/>
              <w:left w:val="single" w:sz="4" w:space="0" w:color="auto"/>
              <w:bottom w:val="single" w:sz="4" w:space="0" w:color="auto"/>
              <w:right w:val="single" w:sz="4" w:space="0" w:color="auto"/>
            </w:tcBorders>
            <w:noWrap/>
            <w:vAlign w:val="bottom"/>
            <w:hideMark/>
          </w:tcPr>
          <w:p w14:paraId="0875F0A6" w14:textId="77777777" w:rsidR="000C0F50" w:rsidRPr="00257F28" w:rsidRDefault="000C0F50" w:rsidP="00DA0E77">
            <w:pPr>
              <w:spacing w:after="0" w:line="240" w:lineRule="auto"/>
              <w:rPr>
                <w:rFonts w:eastAsia="Times New Roman"/>
                <w:b/>
                <w:bCs/>
                <w:color w:val="000000"/>
                <w:sz w:val="20"/>
                <w:szCs w:val="20"/>
                <w:lang w:eastAsia="en-AU"/>
              </w:rPr>
            </w:pPr>
            <w:r w:rsidRPr="00257F28">
              <w:rPr>
                <w:rFonts w:eastAsia="Times New Roman"/>
                <w:b/>
                <w:bCs/>
                <w:color w:val="000000"/>
                <w:sz w:val="20"/>
                <w:szCs w:val="20"/>
                <w:lang w:eastAsia="en-AU"/>
              </w:rPr>
              <w:t>SA</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2F9DC73A" w14:textId="5B697C1C" w:rsidR="000C0F50" w:rsidRPr="00257F28" w:rsidRDefault="000C0F50" w:rsidP="001867AD">
            <w:pPr>
              <w:spacing w:after="0" w:line="240" w:lineRule="auto"/>
              <w:jc w:val="right"/>
              <w:rPr>
                <w:rFonts w:eastAsia="Times New Roman"/>
                <w:color w:val="000000"/>
                <w:sz w:val="20"/>
                <w:szCs w:val="20"/>
                <w:lang w:eastAsia="en-AU"/>
              </w:rPr>
            </w:pPr>
            <w:r w:rsidRPr="00257F28">
              <w:rPr>
                <w:rFonts w:eastAsia="Times New Roman"/>
                <w:color w:val="000000"/>
                <w:sz w:val="20"/>
                <w:szCs w:val="20"/>
                <w:lang w:eastAsia="en-AU"/>
              </w:rPr>
              <w:t xml:space="preserve"> $4</w:t>
            </w:r>
            <w:r w:rsidR="00881003">
              <w:rPr>
                <w:rFonts w:eastAsia="Times New Roman"/>
                <w:color w:val="000000"/>
                <w:sz w:val="20"/>
                <w:szCs w:val="20"/>
                <w:lang w:eastAsia="en-AU"/>
              </w:rPr>
              <w:t xml:space="preserve"> M</w:t>
            </w:r>
          </w:p>
        </w:tc>
        <w:tc>
          <w:tcPr>
            <w:tcW w:w="1427" w:type="dxa"/>
            <w:tcBorders>
              <w:top w:val="single" w:sz="4" w:space="0" w:color="auto"/>
              <w:left w:val="single" w:sz="4" w:space="0" w:color="auto"/>
              <w:bottom w:val="single" w:sz="4" w:space="0" w:color="auto"/>
              <w:right w:val="single" w:sz="4" w:space="0" w:color="auto"/>
            </w:tcBorders>
            <w:noWrap/>
            <w:vAlign w:val="center"/>
            <w:hideMark/>
          </w:tcPr>
          <w:p w14:paraId="52F0DB61" w14:textId="77777777" w:rsidR="000C0F50" w:rsidRPr="00713452" w:rsidRDefault="000C0F50" w:rsidP="001867AD">
            <w:pPr>
              <w:spacing w:after="0" w:line="240" w:lineRule="auto"/>
              <w:jc w:val="right"/>
              <w:rPr>
                <w:rFonts w:eastAsia="Times New Roman"/>
                <w:i/>
                <w:iCs/>
                <w:color w:val="000000"/>
                <w:sz w:val="20"/>
                <w:szCs w:val="20"/>
                <w:lang w:eastAsia="en-AU"/>
              </w:rPr>
            </w:pPr>
            <w:r w:rsidRPr="00713452">
              <w:rPr>
                <w:rFonts w:eastAsia="Times New Roman"/>
                <w:i/>
                <w:iCs/>
                <w:color w:val="000000"/>
                <w:sz w:val="20"/>
                <w:szCs w:val="20"/>
                <w:lang w:eastAsia="en-AU"/>
              </w:rPr>
              <w:t xml:space="preserve"> $251 K</w:t>
            </w:r>
          </w:p>
        </w:tc>
        <w:tc>
          <w:tcPr>
            <w:tcW w:w="1691" w:type="dxa"/>
            <w:tcBorders>
              <w:top w:val="single" w:sz="4" w:space="0" w:color="auto"/>
              <w:left w:val="single" w:sz="4" w:space="0" w:color="auto"/>
              <w:bottom w:val="single" w:sz="4" w:space="0" w:color="auto"/>
              <w:right w:val="single" w:sz="4" w:space="0" w:color="auto"/>
            </w:tcBorders>
            <w:noWrap/>
            <w:vAlign w:val="center"/>
            <w:hideMark/>
          </w:tcPr>
          <w:p w14:paraId="7D1CF3DF" w14:textId="78CB360E" w:rsidR="000C0F50" w:rsidRPr="00257F28" w:rsidRDefault="000C0F50" w:rsidP="001867AD">
            <w:pPr>
              <w:spacing w:after="0" w:line="240" w:lineRule="auto"/>
              <w:jc w:val="right"/>
              <w:rPr>
                <w:rFonts w:eastAsia="Times New Roman"/>
                <w:color w:val="000000"/>
                <w:sz w:val="20"/>
                <w:szCs w:val="20"/>
                <w:lang w:eastAsia="en-AU"/>
              </w:rPr>
            </w:pPr>
            <w:r w:rsidRPr="00257F28">
              <w:rPr>
                <w:rFonts w:eastAsia="Times New Roman"/>
                <w:color w:val="000000"/>
                <w:sz w:val="20"/>
                <w:szCs w:val="20"/>
                <w:lang w:eastAsia="en-AU"/>
              </w:rPr>
              <w:t xml:space="preserve"> $</w:t>
            </w:r>
            <w:r w:rsidR="00881003">
              <w:rPr>
                <w:rFonts w:eastAsia="Times New Roman"/>
                <w:color w:val="000000"/>
                <w:sz w:val="20"/>
                <w:szCs w:val="20"/>
                <w:lang w:eastAsia="en-AU"/>
              </w:rPr>
              <w:t>3 M</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5AC4B7D5" w14:textId="77777777" w:rsidR="000C0F50" w:rsidRPr="00713452" w:rsidRDefault="000C0F50" w:rsidP="001867AD">
            <w:pPr>
              <w:spacing w:after="0" w:line="240" w:lineRule="auto"/>
              <w:jc w:val="right"/>
              <w:rPr>
                <w:rFonts w:eastAsia="Times New Roman"/>
                <w:i/>
                <w:iCs/>
                <w:color w:val="000000"/>
                <w:sz w:val="20"/>
                <w:szCs w:val="20"/>
                <w:lang w:eastAsia="en-AU"/>
              </w:rPr>
            </w:pPr>
            <w:r w:rsidRPr="00713452">
              <w:rPr>
                <w:rFonts w:eastAsia="Times New Roman"/>
                <w:i/>
                <w:iCs/>
                <w:color w:val="000000"/>
                <w:sz w:val="20"/>
                <w:szCs w:val="20"/>
                <w:lang w:eastAsia="en-AU"/>
              </w:rPr>
              <w:t xml:space="preserve"> $76 K</w:t>
            </w:r>
          </w:p>
        </w:tc>
        <w:tc>
          <w:tcPr>
            <w:tcW w:w="13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7CD501A" w14:textId="538D7C76" w:rsidR="000C0F50" w:rsidRPr="00257F28" w:rsidRDefault="000C0F50" w:rsidP="001867AD">
            <w:pPr>
              <w:spacing w:after="0" w:line="240" w:lineRule="auto"/>
              <w:jc w:val="right"/>
              <w:rPr>
                <w:rFonts w:eastAsia="Times New Roman"/>
                <w:b/>
                <w:bCs/>
                <w:color w:val="000000"/>
                <w:sz w:val="20"/>
                <w:szCs w:val="20"/>
                <w:lang w:eastAsia="en-AU"/>
              </w:rPr>
            </w:pPr>
            <w:r w:rsidRPr="00257F28">
              <w:rPr>
                <w:rFonts w:eastAsia="Times New Roman"/>
                <w:b/>
                <w:bCs/>
                <w:color w:val="000000"/>
                <w:sz w:val="20"/>
                <w:szCs w:val="20"/>
                <w:lang w:eastAsia="en-AU"/>
              </w:rPr>
              <w:t xml:space="preserve"> $</w:t>
            </w:r>
            <w:r w:rsidR="00881003">
              <w:rPr>
                <w:rFonts w:eastAsia="Times New Roman"/>
                <w:b/>
                <w:bCs/>
                <w:color w:val="000000"/>
                <w:sz w:val="20"/>
                <w:szCs w:val="20"/>
                <w:lang w:eastAsia="en-AU"/>
              </w:rPr>
              <w:t>8 M</w:t>
            </w:r>
          </w:p>
        </w:tc>
        <w:tc>
          <w:tcPr>
            <w:tcW w:w="139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2A86DA9A" w14:textId="77777777" w:rsidR="000C0F50" w:rsidRPr="00257F28" w:rsidRDefault="000C0F50" w:rsidP="001867AD">
            <w:pPr>
              <w:spacing w:after="0" w:line="240" w:lineRule="auto"/>
              <w:jc w:val="center"/>
              <w:rPr>
                <w:rFonts w:eastAsia="Times New Roman"/>
                <w:color w:val="000000"/>
                <w:sz w:val="20"/>
                <w:szCs w:val="20"/>
                <w:lang w:eastAsia="en-AU"/>
              </w:rPr>
            </w:pPr>
            <w:r w:rsidRPr="00257F28">
              <w:rPr>
                <w:rFonts w:eastAsia="Times New Roman"/>
                <w:color w:val="000000"/>
                <w:sz w:val="20"/>
                <w:szCs w:val="20"/>
                <w:lang w:eastAsia="en-AU"/>
              </w:rPr>
              <w:t>7</w:t>
            </w:r>
          </w:p>
        </w:tc>
      </w:tr>
      <w:tr w:rsidR="000C0F50" w:rsidRPr="00F259F4" w14:paraId="438D7F1C" w14:textId="77777777" w:rsidTr="00C621EB">
        <w:trPr>
          <w:trHeight w:val="237"/>
        </w:trPr>
        <w:tc>
          <w:tcPr>
            <w:tcW w:w="851" w:type="dxa"/>
            <w:tcBorders>
              <w:top w:val="single" w:sz="4" w:space="0" w:color="auto"/>
              <w:left w:val="single" w:sz="4" w:space="0" w:color="auto"/>
              <w:bottom w:val="single" w:sz="4" w:space="0" w:color="auto"/>
              <w:right w:val="single" w:sz="4" w:space="0" w:color="auto"/>
            </w:tcBorders>
            <w:noWrap/>
            <w:vAlign w:val="bottom"/>
            <w:hideMark/>
          </w:tcPr>
          <w:p w14:paraId="60B5A7AE" w14:textId="77777777" w:rsidR="000C0F50" w:rsidRPr="00257F28" w:rsidRDefault="000C0F50" w:rsidP="00DA0E77">
            <w:pPr>
              <w:spacing w:after="0" w:line="240" w:lineRule="auto"/>
              <w:rPr>
                <w:rFonts w:eastAsia="Times New Roman"/>
                <w:b/>
                <w:bCs/>
                <w:color w:val="000000"/>
                <w:sz w:val="20"/>
                <w:szCs w:val="20"/>
                <w:lang w:eastAsia="en-AU"/>
              </w:rPr>
            </w:pPr>
            <w:r w:rsidRPr="00257F28">
              <w:rPr>
                <w:rFonts w:eastAsia="Times New Roman"/>
                <w:b/>
                <w:bCs/>
                <w:color w:val="000000"/>
                <w:sz w:val="20"/>
                <w:szCs w:val="20"/>
                <w:lang w:eastAsia="en-AU"/>
              </w:rPr>
              <w:t>TAS</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33EE9EA5" w14:textId="77777777" w:rsidR="000C0F50" w:rsidRPr="00713452" w:rsidRDefault="000C0F50" w:rsidP="001867AD">
            <w:pPr>
              <w:spacing w:after="0" w:line="240" w:lineRule="auto"/>
              <w:jc w:val="right"/>
              <w:rPr>
                <w:rFonts w:eastAsia="Times New Roman"/>
                <w:i/>
                <w:iCs/>
                <w:color w:val="000000"/>
                <w:sz w:val="20"/>
                <w:szCs w:val="20"/>
                <w:lang w:eastAsia="en-AU"/>
              </w:rPr>
            </w:pPr>
            <w:r w:rsidRPr="00257F28">
              <w:rPr>
                <w:rFonts w:eastAsia="Times New Roman"/>
                <w:color w:val="000000"/>
                <w:sz w:val="20"/>
                <w:szCs w:val="20"/>
                <w:lang w:eastAsia="en-AU"/>
              </w:rPr>
              <w:t xml:space="preserve"> </w:t>
            </w:r>
            <w:r w:rsidRPr="00713452">
              <w:rPr>
                <w:rFonts w:eastAsia="Times New Roman"/>
                <w:i/>
                <w:iCs/>
                <w:color w:val="000000"/>
                <w:sz w:val="20"/>
                <w:szCs w:val="20"/>
                <w:lang w:eastAsia="en-AU"/>
              </w:rPr>
              <w:t>$929 K</w:t>
            </w:r>
          </w:p>
        </w:tc>
        <w:tc>
          <w:tcPr>
            <w:tcW w:w="1427" w:type="dxa"/>
            <w:tcBorders>
              <w:top w:val="single" w:sz="4" w:space="0" w:color="auto"/>
              <w:left w:val="single" w:sz="4" w:space="0" w:color="auto"/>
              <w:bottom w:val="single" w:sz="4" w:space="0" w:color="auto"/>
              <w:right w:val="single" w:sz="4" w:space="0" w:color="auto"/>
            </w:tcBorders>
            <w:noWrap/>
            <w:vAlign w:val="center"/>
            <w:hideMark/>
          </w:tcPr>
          <w:p w14:paraId="6448F103" w14:textId="77777777" w:rsidR="000C0F50" w:rsidRPr="00713452" w:rsidRDefault="000C0F50" w:rsidP="001867AD">
            <w:pPr>
              <w:spacing w:after="0" w:line="240" w:lineRule="auto"/>
              <w:jc w:val="right"/>
              <w:rPr>
                <w:rFonts w:eastAsia="Times New Roman"/>
                <w:i/>
                <w:iCs/>
                <w:color w:val="000000"/>
                <w:sz w:val="20"/>
                <w:szCs w:val="20"/>
                <w:lang w:eastAsia="en-AU"/>
              </w:rPr>
            </w:pPr>
            <w:r w:rsidRPr="00713452">
              <w:rPr>
                <w:rFonts w:eastAsia="Times New Roman"/>
                <w:i/>
                <w:iCs/>
                <w:color w:val="000000"/>
                <w:sz w:val="20"/>
                <w:szCs w:val="20"/>
                <w:lang w:eastAsia="en-AU"/>
              </w:rPr>
              <w:t xml:space="preserve"> $47 K</w:t>
            </w:r>
          </w:p>
        </w:tc>
        <w:tc>
          <w:tcPr>
            <w:tcW w:w="1691" w:type="dxa"/>
            <w:tcBorders>
              <w:top w:val="single" w:sz="4" w:space="0" w:color="auto"/>
              <w:left w:val="single" w:sz="4" w:space="0" w:color="auto"/>
              <w:bottom w:val="single" w:sz="4" w:space="0" w:color="auto"/>
              <w:right w:val="single" w:sz="4" w:space="0" w:color="auto"/>
            </w:tcBorders>
            <w:noWrap/>
            <w:vAlign w:val="center"/>
            <w:hideMark/>
          </w:tcPr>
          <w:p w14:paraId="5D52EE75" w14:textId="77777777" w:rsidR="000C0F50" w:rsidRPr="00713452" w:rsidRDefault="000C0F50" w:rsidP="001867AD">
            <w:pPr>
              <w:spacing w:after="0" w:line="240" w:lineRule="auto"/>
              <w:jc w:val="right"/>
              <w:rPr>
                <w:rFonts w:eastAsia="Times New Roman"/>
                <w:i/>
                <w:iCs/>
                <w:color w:val="000000"/>
                <w:sz w:val="20"/>
                <w:szCs w:val="20"/>
                <w:lang w:eastAsia="en-AU"/>
              </w:rPr>
            </w:pPr>
            <w:r w:rsidRPr="00713452">
              <w:rPr>
                <w:rFonts w:eastAsia="Times New Roman"/>
                <w:i/>
                <w:iCs/>
                <w:color w:val="000000"/>
                <w:sz w:val="20"/>
                <w:szCs w:val="20"/>
                <w:lang w:eastAsia="en-AU"/>
              </w:rPr>
              <w:t>$654 K</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5192EDB2" w14:textId="77777777" w:rsidR="000C0F50" w:rsidRPr="00713452" w:rsidRDefault="000C0F50" w:rsidP="001867AD">
            <w:pPr>
              <w:spacing w:after="0" w:line="240" w:lineRule="auto"/>
              <w:jc w:val="right"/>
              <w:rPr>
                <w:rFonts w:eastAsia="Times New Roman"/>
                <w:i/>
                <w:iCs/>
                <w:color w:val="000000"/>
                <w:sz w:val="20"/>
                <w:szCs w:val="20"/>
                <w:lang w:eastAsia="en-AU"/>
              </w:rPr>
            </w:pPr>
            <w:r w:rsidRPr="00713452">
              <w:rPr>
                <w:rFonts w:eastAsia="Times New Roman"/>
                <w:i/>
                <w:iCs/>
                <w:color w:val="000000"/>
                <w:sz w:val="20"/>
                <w:szCs w:val="20"/>
                <w:lang w:eastAsia="en-AU"/>
              </w:rPr>
              <w:t xml:space="preserve"> $163 K</w:t>
            </w:r>
          </w:p>
        </w:tc>
        <w:tc>
          <w:tcPr>
            <w:tcW w:w="13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CB5B4C9" w14:textId="75EC8CD6" w:rsidR="000C0F50" w:rsidRPr="00257F28" w:rsidRDefault="000C0F50" w:rsidP="001867AD">
            <w:pPr>
              <w:spacing w:after="0" w:line="240" w:lineRule="auto"/>
              <w:jc w:val="right"/>
              <w:rPr>
                <w:rFonts w:eastAsia="Times New Roman"/>
                <w:b/>
                <w:bCs/>
                <w:color w:val="000000"/>
                <w:sz w:val="20"/>
                <w:szCs w:val="20"/>
                <w:lang w:eastAsia="en-AU"/>
              </w:rPr>
            </w:pPr>
            <w:r w:rsidRPr="00257F28">
              <w:rPr>
                <w:rFonts w:eastAsia="Times New Roman"/>
                <w:b/>
                <w:bCs/>
                <w:color w:val="000000"/>
                <w:sz w:val="20"/>
                <w:szCs w:val="20"/>
                <w:lang w:eastAsia="en-AU"/>
              </w:rPr>
              <w:t xml:space="preserve"> $</w:t>
            </w:r>
            <w:r w:rsidR="00881003">
              <w:rPr>
                <w:rFonts w:eastAsia="Times New Roman"/>
                <w:b/>
                <w:bCs/>
                <w:color w:val="000000"/>
                <w:sz w:val="20"/>
                <w:szCs w:val="20"/>
                <w:lang w:eastAsia="en-AU"/>
              </w:rPr>
              <w:t>2 M</w:t>
            </w:r>
          </w:p>
        </w:tc>
        <w:tc>
          <w:tcPr>
            <w:tcW w:w="139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31E544CF" w14:textId="77777777" w:rsidR="000C0F50" w:rsidRPr="00257F28" w:rsidRDefault="000C0F50" w:rsidP="001867AD">
            <w:pPr>
              <w:spacing w:after="0" w:line="240" w:lineRule="auto"/>
              <w:jc w:val="center"/>
              <w:rPr>
                <w:rFonts w:eastAsia="Times New Roman"/>
                <w:color w:val="000000"/>
                <w:sz w:val="20"/>
                <w:szCs w:val="20"/>
                <w:lang w:eastAsia="en-AU"/>
              </w:rPr>
            </w:pPr>
            <w:r w:rsidRPr="00257F28">
              <w:rPr>
                <w:rFonts w:eastAsia="Times New Roman"/>
                <w:color w:val="000000"/>
                <w:sz w:val="20"/>
                <w:szCs w:val="20"/>
                <w:lang w:eastAsia="en-AU"/>
              </w:rPr>
              <w:t>2</w:t>
            </w:r>
          </w:p>
        </w:tc>
      </w:tr>
      <w:tr w:rsidR="000C0F50" w:rsidRPr="00F259F4" w14:paraId="656437B1" w14:textId="77777777" w:rsidTr="00C621EB">
        <w:trPr>
          <w:trHeight w:val="237"/>
        </w:trPr>
        <w:tc>
          <w:tcPr>
            <w:tcW w:w="851" w:type="dxa"/>
            <w:tcBorders>
              <w:top w:val="single" w:sz="4" w:space="0" w:color="auto"/>
              <w:left w:val="single" w:sz="4" w:space="0" w:color="auto"/>
              <w:bottom w:val="single" w:sz="4" w:space="0" w:color="auto"/>
              <w:right w:val="single" w:sz="4" w:space="0" w:color="auto"/>
            </w:tcBorders>
            <w:noWrap/>
            <w:vAlign w:val="bottom"/>
            <w:hideMark/>
          </w:tcPr>
          <w:p w14:paraId="26521AB5" w14:textId="77777777" w:rsidR="000C0F50" w:rsidRPr="00257F28" w:rsidRDefault="000C0F50" w:rsidP="00DA0E77">
            <w:pPr>
              <w:spacing w:after="0" w:line="240" w:lineRule="auto"/>
              <w:rPr>
                <w:rFonts w:eastAsia="Times New Roman"/>
                <w:b/>
                <w:bCs/>
                <w:color w:val="000000"/>
                <w:sz w:val="20"/>
                <w:szCs w:val="20"/>
                <w:lang w:eastAsia="en-AU"/>
              </w:rPr>
            </w:pPr>
            <w:r w:rsidRPr="00257F28">
              <w:rPr>
                <w:rFonts w:eastAsia="Times New Roman"/>
                <w:b/>
                <w:bCs/>
                <w:color w:val="000000"/>
                <w:sz w:val="20"/>
                <w:szCs w:val="20"/>
                <w:lang w:eastAsia="en-AU"/>
              </w:rPr>
              <w:t>VIC</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36D75ACF" w14:textId="5788818B" w:rsidR="000C0F50" w:rsidRPr="00257F28" w:rsidRDefault="000C0F50" w:rsidP="001867AD">
            <w:pPr>
              <w:spacing w:after="0" w:line="240" w:lineRule="auto"/>
              <w:jc w:val="right"/>
              <w:rPr>
                <w:rFonts w:eastAsia="Times New Roman"/>
                <w:color w:val="000000"/>
                <w:sz w:val="20"/>
                <w:szCs w:val="20"/>
                <w:lang w:eastAsia="en-AU"/>
              </w:rPr>
            </w:pPr>
            <w:r w:rsidRPr="00257F28">
              <w:rPr>
                <w:rFonts w:eastAsia="Times New Roman"/>
                <w:color w:val="000000"/>
                <w:sz w:val="20"/>
                <w:szCs w:val="20"/>
                <w:lang w:eastAsia="en-AU"/>
              </w:rPr>
              <w:t xml:space="preserve">$12 </w:t>
            </w:r>
            <w:r w:rsidR="00881003">
              <w:rPr>
                <w:rFonts w:eastAsia="Times New Roman"/>
                <w:color w:val="000000"/>
                <w:sz w:val="20"/>
                <w:szCs w:val="20"/>
                <w:lang w:eastAsia="en-AU"/>
              </w:rPr>
              <w:t>M</w:t>
            </w:r>
          </w:p>
        </w:tc>
        <w:tc>
          <w:tcPr>
            <w:tcW w:w="1427" w:type="dxa"/>
            <w:tcBorders>
              <w:top w:val="single" w:sz="4" w:space="0" w:color="auto"/>
              <w:left w:val="single" w:sz="4" w:space="0" w:color="auto"/>
              <w:bottom w:val="single" w:sz="4" w:space="0" w:color="auto"/>
              <w:right w:val="single" w:sz="4" w:space="0" w:color="auto"/>
            </w:tcBorders>
            <w:noWrap/>
            <w:vAlign w:val="center"/>
            <w:hideMark/>
          </w:tcPr>
          <w:p w14:paraId="7EC394DB" w14:textId="2ADE85B8" w:rsidR="000C0F50" w:rsidRPr="00257F28" w:rsidRDefault="000C0F50" w:rsidP="001867AD">
            <w:pPr>
              <w:spacing w:after="0" w:line="240" w:lineRule="auto"/>
              <w:jc w:val="right"/>
              <w:rPr>
                <w:rFonts w:eastAsia="Times New Roman"/>
                <w:color w:val="000000"/>
                <w:sz w:val="20"/>
                <w:szCs w:val="20"/>
                <w:lang w:eastAsia="en-AU"/>
              </w:rPr>
            </w:pPr>
            <w:r w:rsidRPr="00257F28">
              <w:rPr>
                <w:rFonts w:eastAsia="Times New Roman"/>
                <w:color w:val="000000"/>
                <w:sz w:val="20"/>
                <w:szCs w:val="20"/>
                <w:lang w:eastAsia="en-AU"/>
              </w:rPr>
              <w:t xml:space="preserve"> $1</w:t>
            </w:r>
            <w:r w:rsidR="00881003">
              <w:rPr>
                <w:rFonts w:eastAsia="Times New Roman"/>
                <w:color w:val="000000"/>
                <w:sz w:val="20"/>
                <w:szCs w:val="20"/>
                <w:lang w:eastAsia="en-AU"/>
              </w:rPr>
              <w:t xml:space="preserve"> M</w:t>
            </w:r>
          </w:p>
        </w:tc>
        <w:tc>
          <w:tcPr>
            <w:tcW w:w="1691" w:type="dxa"/>
            <w:tcBorders>
              <w:top w:val="single" w:sz="4" w:space="0" w:color="auto"/>
              <w:left w:val="single" w:sz="4" w:space="0" w:color="auto"/>
              <w:bottom w:val="single" w:sz="4" w:space="0" w:color="auto"/>
              <w:right w:val="single" w:sz="4" w:space="0" w:color="auto"/>
            </w:tcBorders>
            <w:noWrap/>
            <w:vAlign w:val="center"/>
            <w:hideMark/>
          </w:tcPr>
          <w:p w14:paraId="303297B6" w14:textId="35BC9D9D" w:rsidR="000C0F50" w:rsidRPr="00257F28" w:rsidRDefault="000C0F50" w:rsidP="001867AD">
            <w:pPr>
              <w:spacing w:after="0" w:line="240" w:lineRule="auto"/>
              <w:jc w:val="right"/>
              <w:rPr>
                <w:rFonts w:eastAsia="Times New Roman"/>
                <w:color w:val="000000"/>
                <w:sz w:val="20"/>
                <w:szCs w:val="20"/>
                <w:lang w:eastAsia="en-AU"/>
              </w:rPr>
            </w:pPr>
            <w:r w:rsidRPr="00257F28">
              <w:rPr>
                <w:rFonts w:eastAsia="Times New Roman"/>
                <w:color w:val="000000"/>
                <w:sz w:val="20"/>
                <w:szCs w:val="20"/>
                <w:lang w:eastAsia="en-AU"/>
              </w:rPr>
              <w:t xml:space="preserve"> $14</w:t>
            </w:r>
            <w:r w:rsidR="00881003">
              <w:rPr>
                <w:rFonts w:eastAsia="Times New Roman"/>
                <w:color w:val="000000"/>
                <w:sz w:val="20"/>
                <w:szCs w:val="20"/>
                <w:lang w:eastAsia="en-AU"/>
              </w:rPr>
              <w:t xml:space="preserve"> M</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1FF2E83A" w14:textId="77777777" w:rsidR="000C0F50" w:rsidRPr="00713452" w:rsidRDefault="000C0F50" w:rsidP="001867AD">
            <w:pPr>
              <w:spacing w:after="0" w:line="240" w:lineRule="auto"/>
              <w:jc w:val="right"/>
              <w:rPr>
                <w:rFonts w:eastAsia="Times New Roman"/>
                <w:i/>
                <w:iCs/>
                <w:color w:val="000000"/>
                <w:sz w:val="20"/>
                <w:szCs w:val="20"/>
                <w:lang w:eastAsia="en-AU"/>
              </w:rPr>
            </w:pPr>
            <w:r w:rsidRPr="00713452">
              <w:rPr>
                <w:rFonts w:eastAsia="Times New Roman"/>
                <w:i/>
                <w:iCs/>
                <w:color w:val="000000"/>
                <w:sz w:val="20"/>
                <w:szCs w:val="20"/>
                <w:lang w:eastAsia="en-AU"/>
              </w:rPr>
              <w:t xml:space="preserve"> $640 K</w:t>
            </w:r>
          </w:p>
        </w:tc>
        <w:tc>
          <w:tcPr>
            <w:tcW w:w="13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4C3BB02" w14:textId="1FF76B9A" w:rsidR="000C0F50" w:rsidRPr="00257F28" w:rsidRDefault="000C0F50" w:rsidP="001867AD">
            <w:pPr>
              <w:spacing w:after="0" w:line="240" w:lineRule="auto"/>
              <w:jc w:val="right"/>
              <w:rPr>
                <w:rFonts w:eastAsia="Times New Roman"/>
                <w:b/>
                <w:bCs/>
                <w:color w:val="000000"/>
                <w:sz w:val="20"/>
                <w:szCs w:val="20"/>
                <w:lang w:eastAsia="en-AU"/>
              </w:rPr>
            </w:pPr>
            <w:r w:rsidRPr="00257F28">
              <w:rPr>
                <w:rFonts w:eastAsia="Times New Roman"/>
                <w:b/>
                <w:bCs/>
                <w:color w:val="000000"/>
                <w:sz w:val="20"/>
                <w:szCs w:val="20"/>
                <w:lang w:eastAsia="en-AU"/>
              </w:rPr>
              <w:t xml:space="preserve"> $28</w:t>
            </w:r>
            <w:r w:rsidR="00881003">
              <w:rPr>
                <w:rFonts w:eastAsia="Times New Roman"/>
                <w:b/>
                <w:bCs/>
                <w:color w:val="000000"/>
                <w:sz w:val="20"/>
                <w:szCs w:val="20"/>
                <w:lang w:eastAsia="en-AU"/>
              </w:rPr>
              <w:t xml:space="preserve"> M</w:t>
            </w:r>
          </w:p>
        </w:tc>
        <w:tc>
          <w:tcPr>
            <w:tcW w:w="139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23EA0F93" w14:textId="77777777" w:rsidR="000C0F50" w:rsidRPr="00257F28" w:rsidRDefault="000C0F50" w:rsidP="001867AD">
            <w:pPr>
              <w:spacing w:after="0" w:line="240" w:lineRule="auto"/>
              <w:jc w:val="center"/>
              <w:rPr>
                <w:rFonts w:eastAsia="Times New Roman"/>
                <w:color w:val="000000"/>
                <w:sz w:val="20"/>
                <w:szCs w:val="20"/>
                <w:lang w:eastAsia="en-AU"/>
              </w:rPr>
            </w:pPr>
            <w:r w:rsidRPr="00257F28">
              <w:rPr>
                <w:rFonts w:eastAsia="Times New Roman"/>
                <w:color w:val="000000"/>
                <w:sz w:val="20"/>
                <w:szCs w:val="20"/>
                <w:lang w:eastAsia="en-AU"/>
              </w:rPr>
              <w:t>26</w:t>
            </w:r>
          </w:p>
        </w:tc>
      </w:tr>
      <w:tr w:rsidR="000C0F50" w:rsidRPr="00F259F4" w14:paraId="6924E5D0" w14:textId="77777777" w:rsidTr="00C621EB">
        <w:trPr>
          <w:trHeight w:val="237"/>
        </w:trPr>
        <w:tc>
          <w:tcPr>
            <w:tcW w:w="851" w:type="dxa"/>
            <w:tcBorders>
              <w:top w:val="single" w:sz="4" w:space="0" w:color="auto"/>
              <w:left w:val="single" w:sz="4" w:space="0" w:color="auto"/>
              <w:bottom w:val="single" w:sz="12" w:space="0" w:color="auto"/>
              <w:right w:val="single" w:sz="4" w:space="0" w:color="auto"/>
            </w:tcBorders>
            <w:noWrap/>
            <w:vAlign w:val="bottom"/>
            <w:hideMark/>
          </w:tcPr>
          <w:p w14:paraId="50B97178" w14:textId="77777777" w:rsidR="000C0F50" w:rsidRPr="00257F28" w:rsidRDefault="000C0F50" w:rsidP="00DA0E77">
            <w:pPr>
              <w:spacing w:after="0" w:line="240" w:lineRule="auto"/>
              <w:rPr>
                <w:rFonts w:eastAsia="Times New Roman"/>
                <w:b/>
                <w:bCs/>
                <w:color w:val="000000"/>
                <w:sz w:val="20"/>
                <w:szCs w:val="20"/>
                <w:lang w:eastAsia="en-AU"/>
              </w:rPr>
            </w:pPr>
            <w:r w:rsidRPr="00257F28">
              <w:rPr>
                <w:rFonts w:eastAsia="Times New Roman"/>
                <w:b/>
                <w:bCs/>
                <w:color w:val="000000"/>
                <w:sz w:val="20"/>
                <w:szCs w:val="20"/>
                <w:lang w:eastAsia="en-AU"/>
              </w:rPr>
              <w:t>WA</w:t>
            </w:r>
          </w:p>
        </w:tc>
        <w:tc>
          <w:tcPr>
            <w:tcW w:w="1701" w:type="dxa"/>
            <w:tcBorders>
              <w:top w:val="single" w:sz="4" w:space="0" w:color="auto"/>
              <w:left w:val="single" w:sz="4" w:space="0" w:color="auto"/>
              <w:bottom w:val="single" w:sz="12" w:space="0" w:color="auto"/>
              <w:right w:val="single" w:sz="4" w:space="0" w:color="auto"/>
            </w:tcBorders>
            <w:noWrap/>
            <w:vAlign w:val="center"/>
            <w:hideMark/>
          </w:tcPr>
          <w:p w14:paraId="7542DF35" w14:textId="5EB4913C" w:rsidR="000C0F50" w:rsidRPr="00257F28" w:rsidRDefault="000C0F50" w:rsidP="001867AD">
            <w:pPr>
              <w:spacing w:after="0" w:line="240" w:lineRule="auto"/>
              <w:jc w:val="right"/>
              <w:rPr>
                <w:rFonts w:eastAsia="Times New Roman"/>
                <w:color w:val="000000"/>
                <w:sz w:val="20"/>
                <w:szCs w:val="20"/>
                <w:lang w:eastAsia="en-AU"/>
              </w:rPr>
            </w:pPr>
            <w:r w:rsidRPr="00257F28">
              <w:rPr>
                <w:rFonts w:eastAsia="Times New Roman"/>
                <w:color w:val="000000"/>
                <w:sz w:val="20"/>
                <w:szCs w:val="20"/>
                <w:lang w:eastAsia="en-AU"/>
              </w:rPr>
              <w:t xml:space="preserve">$2 </w:t>
            </w:r>
            <w:r w:rsidR="00881003">
              <w:rPr>
                <w:rFonts w:eastAsia="Times New Roman"/>
                <w:color w:val="000000"/>
                <w:sz w:val="20"/>
                <w:szCs w:val="20"/>
                <w:lang w:eastAsia="en-AU"/>
              </w:rPr>
              <w:t>M</w:t>
            </w:r>
          </w:p>
        </w:tc>
        <w:tc>
          <w:tcPr>
            <w:tcW w:w="1427" w:type="dxa"/>
            <w:tcBorders>
              <w:top w:val="single" w:sz="4" w:space="0" w:color="auto"/>
              <w:left w:val="single" w:sz="4" w:space="0" w:color="auto"/>
              <w:bottom w:val="single" w:sz="12" w:space="0" w:color="auto"/>
              <w:right w:val="single" w:sz="4" w:space="0" w:color="auto"/>
            </w:tcBorders>
            <w:noWrap/>
            <w:vAlign w:val="center"/>
            <w:hideMark/>
          </w:tcPr>
          <w:p w14:paraId="2179F38F" w14:textId="77777777" w:rsidR="000C0F50" w:rsidRPr="00713452" w:rsidRDefault="000C0F50" w:rsidP="001867AD">
            <w:pPr>
              <w:spacing w:after="0" w:line="240" w:lineRule="auto"/>
              <w:jc w:val="right"/>
              <w:rPr>
                <w:rFonts w:eastAsia="Times New Roman"/>
                <w:i/>
                <w:iCs/>
                <w:color w:val="000000"/>
                <w:sz w:val="20"/>
                <w:szCs w:val="20"/>
                <w:lang w:eastAsia="en-AU"/>
              </w:rPr>
            </w:pPr>
            <w:r w:rsidRPr="00257F28">
              <w:rPr>
                <w:rFonts w:eastAsia="Times New Roman"/>
                <w:color w:val="000000"/>
                <w:sz w:val="20"/>
                <w:szCs w:val="20"/>
                <w:lang w:eastAsia="en-AU"/>
              </w:rPr>
              <w:t xml:space="preserve"> </w:t>
            </w:r>
            <w:r w:rsidRPr="00713452">
              <w:rPr>
                <w:rFonts w:eastAsia="Times New Roman"/>
                <w:i/>
                <w:iCs/>
                <w:color w:val="000000"/>
                <w:sz w:val="20"/>
                <w:szCs w:val="20"/>
                <w:lang w:eastAsia="en-AU"/>
              </w:rPr>
              <w:t>$266 K</w:t>
            </w:r>
          </w:p>
        </w:tc>
        <w:tc>
          <w:tcPr>
            <w:tcW w:w="1691" w:type="dxa"/>
            <w:tcBorders>
              <w:top w:val="single" w:sz="4" w:space="0" w:color="auto"/>
              <w:left w:val="single" w:sz="4" w:space="0" w:color="auto"/>
              <w:bottom w:val="single" w:sz="12" w:space="0" w:color="auto"/>
              <w:right w:val="single" w:sz="4" w:space="0" w:color="auto"/>
            </w:tcBorders>
            <w:noWrap/>
            <w:vAlign w:val="center"/>
            <w:hideMark/>
          </w:tcPr>
          <w:p w14:paraId="5E817FCD" w14:textId="503481A3" w:rsidR="000C0F50" w:rsidRPr="00257F28" w:rsidRDefault="000C0F50" w:rsidP="001867AD">
            <w:pPr>
              <w:spacing w:after="0" w:line="240" w:lineRule="auto"/>
              <w:jc w:val="right"/>
              <w:rPr>
                <w:rFonts w:eastAsia="Times New Roman"/>
                <w:color w:val="000000"/>
                <w:sz w:val="20"/>
                <w:szCs w:val="20"/>
                <w:lang w:eastAsia="en-AU"/>
              </w:rPr>
            </w:pPr>
            <w:r w:rsidRPr="00257F28">
              <w:rPr>
                <w:rFonts w:eastAsia="Times New Roman"/>
                <w:color w:val="000000"/>
                <w:sz w:val="20"/>
                <w:szCs w:val="20"/>
                <w:lang w:eastAsia="en-AU"/>
              </w:rPr>
              <w:t xml:space="preserve"> $</w:t>
            </w:r>
            <w:r w:rsidR="00881003">
              <w:rPr>
                <w:rFonts w:eastAsia="Times New Roman"/>
                <w:color w:val="000000"/>
                <w:sz w:val="20"/>
                <w:szCs w:val="20"/>
                <w:lang w:eastAsia="en-AU"/>
              </w:rPr>
              <w:t>3 M</w:t>
            </w:r>
          </w:p>
        </w:tc>
        <w:tc>
          <w:tcPr>
            <w:tcW w:w="1701" w:type="dxa"/>
            <w:tcBorders>
              <w:top w:val="single" w:sz="4" w:space="0" w:color="auto"/>
              <w:left w:val="single" w:sz="4" w:space="0" w:color="auto"/>
              <w:bottom w:val="single" w:sz="12" w:space="0" w:color="auto"/>
              <w:right w:val="single" w:sz="4" w:space="0" w:color="auto"/>
            </w:tcBorders>
            <w:noWrap/>
            <w:vAlign w:val="center"/>
            <w:hideMark/>
          </w:tcPr>
          <w:p w14:paraId="2910C6EC" w14:textId="77777777" w:rsidR="000C0F50" w:rsidRPr="00713452" w:rsidRDefault="000C0F50" w:rsidP="001867AD">
            <w:pPr>
              <w:spacing w:after="0" w:line="240" w:lineRule="auto"/>
              <w:jc w:val="right"/>
              <w:rPr>
                <w:rFonts w:eastAsia="Times New Roman"/>
                <w:i/>
                <w:iCs/>
                <w:color w:val="000000"/>
                <w:sz w:val="20"/>
                <w:szCs w:val="20"/>
                <w:lang w:eastAsia="en-AU"/>
              </w:rPr>
            </w:pPr>
            <w:r w:rsidRPr="00713452">
              <w:rPr>
                <w:rFonts w:eastAsia="Times New Roman"/>
                <w:i/>
                <w:iCs/>
                <w:color w:val="000000"/>
                <w:sz w:val="20"/>
                <w:szCs w:val="20"/>
                <w:lang w:eastAsia="en-AU"/>
              </w:rPr>
              <w:t xml:space="preserve"> $97 K</w:t>
            </w:r>
          </w:p>
        </w:tc>
        <w:tc>
          <w:tcPr>
            <w:tcW w:w="1300" w:type="dxa"/>
            <w:tcBorders>
              <w:top w:val="single" w:sz="4" w:space="0" w:color="auto"/>
              <w:left w:val="single" w:sz="4" w:space="0" w:color="auto"/>
              <w:bottom w:val="single" w:sz="12" w:space="0" w:color="auto"/>
              <w:right w:val="single" w:sz="4" w:space="0" w:color="auto"/>
            </w:tcBorders>
            <w:shd w:val="clear" w:color="auto" w:fill="FFFFFF" w:themeFill="background1"/>
            <w:noWrap/>
            <w:vAlign w:val="center"/>
            <w:hideMark/>
          </w:tcPr>
          <w:p w14:paraId="03AC1159" w14:textId="095E3810" w:rsidR="000C0F50" w:rsidRPr="00257F28" w:rsidRDefault="000C0F50" w:rsidP="001867AD">
            <w:pPr>
              <w:spacing w:after="0" w:line="240" w:lineRule="auto"/>
              <w:jc w:val="right"/>
              <w:rPr>
                <w:rFonts w:eastAsia="Times New Roman"/>
                <w:b/>
                <w:bCs/>
                <w:color w:val="000000"/>
                <w:sz w:val="20"/>
                <w:szCs w:val="20"/>
                <w:lang w:eastAsia="en-AU"/>
              </w:rPr>
            </w:pPr>
            <w:r w:rsidRPr="00257F28">
              <w:rPr>
                <w:rFonts w:eastAsia="Times New Roman"/>
                <w:b/>
                <w:bCs/>
                <w:color w:val="000000"/>
                <w:sz w:val="20"/>
                <w:szCs w:val="20"/>
                <w:lang w:eastAsia="en-AU"/>
              </w:rPr>
              <w:t xml:space="preserve"> $5</w:t>
            </w:r>
            <w:r w:rsidR="00881003">
              <w:rPr>
                <w:rFonts w:eastAsia="Times New Roman"/>
                <w:b/>
                <w:bCs/>
                <w:color w:val="000000"/>
                <w:sz w:val="20"/>
                <w:szCs w:val="20"/>
                <w:lang w:eastAsia="en-AU"/>
              </w:rPr>
              <w:t xml:space="preserve"> M</w:t>
            </w:r>
          </w:p>
        </w:tc>
        <w:tc>
          <w:tcPr>
            <w:tcW w:w="1394" w:type="dxa"/>
            <w:tcBorders>
              <w:top w:val="single" w:sz="4" w:space="0" w:color="auto"/>
              <w:left w:val="single" w:sz="4" w:space="0" w:color="auto"/>
              <w:bottom w:val="single" w:sz="12" w:space="0" w:color="auto"/>
              <w:right w:val="single" w:sz="4" w:space="0" w:color="auto"/>
            </w:tcBorders>
            <w:shd w:val="clear" w:color="auto" w:fill="FBE4D5" w:themeFill="accent2" w:themeFillTint="33"/>
            <w:hideMark/>
          </w:tcPr>
          <w:p w14:paraId="7B222CFD" w14:textId="77777777" w:rsidR="000C0F50" w:rsidRPr="00257F28" w:rsidRDefault="000C0F50" w:rsidP="001867AD">
            <w:pPr>
              <w:spacing w:after="0" w:line="240" w:lineRule="auto"/>
              <w:jc w:val="center"/>
              <w:rPr>
                <w:rFonts w:eastAsia="Times New Roman"/>
                <w:color w:val="000000"/>
                <w:sz w:val="20"/>
                <w:szCs w:val="20"/>
                <w:lang w:eastAsia="en-AU"/>
              </w:rPr>
            </w:pPr>
            <w:r w:rsidRPr="00257F28">
              <w:rPr>
                <w:rFonts w:eastAsia="Times New Roman"/>
                <w:color w:val="000000"/>
                <w:sz w:val="20"/>
                <w:szCs w:val="20"/>
                <w:lang w:eastAsia="en-AU"/>
              </w:rPr>
              <w:t>5</w:t>
            </w:r>
          </w:p>
        </w:tc>
      </w:tr>
      <w:tr w:rsidR="000C0F50" w:rsidRPr="00F259F4" w14:paraId="1D1ECA37" w14:textId="77777777" w:rsidTr="00C621EB">
        <w:trPr>
          <w:trHeight w:val="237"/>
        </w:trPr>
        <w:tc>
          <w:tcPr>
            <w:tcW w:w="851" w:type="dxa"/>
            <w:tcBorders>
              <w:top w:val="single" w:sz="12" w:space="0" w:color="auto"/>
              <w:left w:val="single" w:sz="4" w:space="0" w:color="auto"/>
              <w:bottom w:val="single" w:sz="4" w:space="0" w:color="auto"/>
              <w:right w:val="single" w:sz="4" w:space="0" w:color="auto"/>
            </w:tcBorders>
            <w:noWrap/>
            <w:vAlign w:val="bottom"/>
            <w:hideMark/>
          </w:tcPr>
          <w:p w14:paraId="479138CD" w14:textId="77777777" w:rsidR="000C0F50" w:rsidRPr="00257F28" w:rsidRDefault="000C0F50" w:rsidP="00DA0E77">
            <w:pPr>
              <w:spacing w:after="0" w:line="240" w:lineRule="auto"/>
              <w:rPr>
                <w:rFonts w:eastAsia="Times New Roman"/>
                <w:b/>
                <w:bCs/>
                <w:color w:val="000000"/>
                <w:sz w:val="20"/>
                <w:szCs w:val="20"/>
                <w:lang w:eastAsia="en-AU"/>
              </w:rPr>
            </w:pPr>
            <w:r w:rsidRPr="00257F28">
              <w:rPr>
                <w:rFonts w:eastAsia="Times New Roman"/>
                <w:b/>
                <w:bCs/>
                <w:color w:val="000000"/>
                <w:sz w:val="20"/>
                <w:szCs w:val="20"/>
                <w:lang w:eastAsia="en-AU"/>
              </w:rPr>
              <w:t>Total</w:t>
            </w:r>
          </w:p>
        </w:tc>
        <w:tc>
          <w:tcPr>
            <w:tcW w:w="1701" w:type="dxa"/>
            <w:tcBorders>
              <w:top w:val="single" w:sz="12" w:space="0" w:color="auto"/>
              <w:left w:val="single" w:sz="4" w:space="0" w:color="auto"/>
              <w:bottom w:val="single" w:sz="4" w:space="0" w:color="auto"/>
              <w:right w:val="single" w:sz="4" w:space="0" w:color="auto"/>
            </w:tcBorders>
            <w:noWrap/>
            <w:vAlign w:val="center"/>
            <w:hideMark/>
          </w:tcPr>
          <w:p w14:paraId="293CDAF4" w14:textId="7E997C39" w:rsidR="000C0F50" w:rsidRPr="00257F28" w:rsidRDefault="000C0F50" w:rsidP="001867AD">
            <w:pPr>
              <w:spacing w:after="0" w:line="240" w:lineRule="auto"/>
              <w:jc w:val="right"/>
              <w:rPr>
                <w:rFonts w:eastAsia="Times New Roman"/>
                <w:b/>
                <w:bCs/>
                <w:color w:val="000000"/>
                <w:sz w:val="20"/>
                <w:szCs w:val="20"/>
                <w:lang w:eastAsia="en-AU"/>
              </w:rPr>
            </w:pPr>
            <w:r w:rsidRPr="00257F28">
              <w:rPr>
                <w:rFonts w:eastAsia="Times New Roman"/>
                <w:b/>
                <w:bCs/>
                <w:color w:val="000000"/>
                <w:sz w:val="20"/>
                <w:szCs w:val="20"/>
                <w:lang w:eastAsia="en-AU"/>
              </w:rPr>
              <w:t xml:space="preserve"> $4</w:t>
            </w:r>
            <w:r w:rsidR="00881003">
              <w:rPr>
                <w:rFonts w:eastAsia="Times New Roman"/>
                <w:b/>
                <w:bCs/>
                <w:color w:val="000000"/>
                <w:sz w:val="20"/>
                <w:szCs w:val="20"/>
                <w:lang w:eastAsia="en-AU"/>
              </w:rPr>
              <w:t>4 M</w:t>
            </w:r>
          </w:p>
        </w:tc>
        <w:tc>
          <w:tcPr>
            <w:tcW w:w="1427" w:type="dxa"/>
            <w:tcBorders>
              <w:top w:val="single" w:sz="12" w:space="0" w:color="auto"/>
              <w:left w:val="single" w:sz="4" w:space="0" w:color="auto"/>
              <w:bottom w:val="single" w:sz="4" w:space="0" w:color="auto"/>
              <w:right w:val="single" w:sz="4" w:space="0" w:color="auto"/>
            </w:tcBorders>
            <w:noWrap/>
            <w:vAlign w:val="center"/>
            <w:hideMark/>
          </w:tcPr>
          <w:p w14:paraId="1EA88B40" w14:textId="61508603" w:rsidR="000C0F50" w:rsidRPr="00257F28" w:rsidRDefault="000C0F50" w:rsidP="001867AD">
            <w:pPr>
              <w:spacing w:after="0" w:line="240" w:lineRule="auto"/>
              <w:jc w:val="right"/>
              <w:rPr>
                <w:rFonts w:eastAsia="Times New Roman"/>
                <w:b/>
                <w:bCs/>
                <w:color w:val="000000"/>
                <w:sz w:val="20"/>
                <w:szCs w:val="20"/>
                <w:lang w:eastAsia="en-AU"/>
              </w:rPr>
            </w:pPr>
            <w:r w:rsidRPr="00257F28">
              <w:rPr>
                <w:rFonts w:eastAsia="Times New Roman"/>
                <w:b/>
                <w:bCs/>
                <w:color w:val="000000"/>
                <w:sz w:val="20"/>
                <w:szCs w:val="20"/>
                <w:lang w:eastAsia="en-AU"/>
              </w:rPr>
              <w:t xml:space="preserve"> $5 </w:t>
            </w:r>
            <w:r w:rsidR="00881003">
              <w:rPr>
                <w:rFonts w:eastAsia="Times New Roman"/>
                <w:b/>
                <w:bCs/>
                <w:color w:val="000000"/>
                <w:sz w:val="20"/>
                <w:szCs w:val="20"/>
                <w:lang w:eastAsia="en-AU"/>
              </w:rPr>
              <w:t>M</w:t>
            </w:r>
          </w:p>
        </w:tc>
        <w:tc>
          <w:tcPr>
            <w:tcW w:w="1691" w:type="dxa"/>
            <w:tcBorders>
              <w:top w:val="single" w:sz="12" w:space="0" w:color="auto"/>
              <w:left w:val="single" w:sz="4" w:space="0" w:color="auto"/>
              <w:bottom w:val="single" w:sz="4" w:space="0" w:color="auto"/>
              <w:right w:val="single" w:sz="4" w:space="0" w:color="auto"/>
            </w:tcBorders>
            <w:noWrap/>
            <w:vAlign w:val="center"/>
            <w:hideMark/>
          </w:tcPr>
          <w:p w14:paraId="42F2CA1A" w14:textId="6931FFA6" w:rsidR="000C0F50" w:rsidRPr="00257F28" w:rsidRDefault="000C0F50" w:rsidP="001867AD">
            <w:pPr>
              <w:spacing w:after="0" w:line="240" w:lineRule="auto"/>
              <w:jc w:val="right"/>
              <w:rPr>
                <w:rFonts w:eastAsia="Times New Roman"/>
                <w:b/>
                <w:bCs/>
                <w:color w:val="000000"/>
                <w:sz w:val="20"/>
                <w:szCs w:val="20"/>
                <w:lang w:eastAsia="en-AU"/>
              </w:rPr>
            </w:pPr>
            <w:r w:rsidRPr="00257F28">
              <w:rPr>
                <w:rFonts w:eastAsia="Times New Roman"/>
                <w:b/>
                <w:bCs/>
                <w:color w:val="000000"/>
                <w:sz w:val="20"/>
                <w:szCs w:val="20"/>
                <w:lang w:eastAsia="en-AU"/>
              </w:rPr>
              <w:t xml:space="preserve"> $54</w:t>
            </w:r>
            <w:r w:rsidR="00881003">
              <w:rPr>
                <w:rFonts w:eastAsia="Times New Roman"/>
                <w:b/>
                <w:bCs/>
                <w:color w:val="000000"/>
                <w:sz w:val="20"/>
                <w:szCs w:val="20"/>
                <w:lang w:eastAsia="en-AU"/>
              </w:rPr>
              <w:t xml:space="preserve"> M</w:t>
            </w:r>
          </w:p>
        </w:tc>
        <w:tc>
          <w:tcPr>
            <w:tcW w:w="1701" w:type="dxa"/>
            <w:tcBorders>
              <w:top w:val="single" w:sz="12" w:space="0" w:color="auto"/>
              <w:left w:val="single" w:sz="4" w:space="0" w:color="auto"/>
              <w:bottom w:val="single" w:sz="4" w:space="0" w:color="auto"/>
              <w:right w:val="single" w:sz="4" w:space="0" w:color="auto"/>
            </w:tcBorders>
            <w:noWrap/>
            <w:vAlign w:val="center"/>
            <w:hideMark/>
          </w:tcPr>
          <w:p w14:paraId="77401598" w14:textId="3E2965FC" w:rsidR="000C0F50" w:rsidRPr="00257F28" w:rsidRDefault="000C0F50" w:rsidP="001867AD">
            <w:pPr>
              <w:spacing w:after="0" w:line="240" w:lineRule="auto"/>
              <w:jc w:val="right"/>
              <w:rPr>
                <w:rFonts w:eastAsia="Times New Roman"/>
                <w:b/>
                <w:bCs/>
                <w:color w:val="000000"/>
                <w:sz w:val="20"/>
                <w:szCs w:val="20"/>
                <w:lang w:eastAsia="en-AU"/>
              </w:rPr>
            </w:pPr>
            <w:r w:rsidRPr="00257F28">
              <w:rPr>
                <w:rFonts w:eastAsia="Times New Roman"/>
                <w:b/>
                <w:bCs/>
                <w:color w:val="000000"/>
                <w:sz w:val="20"/>
                <w:szCs w:val="20"/>
                <w:lang w:eastAsia="en-AU"/>
              </w:rPr>
              <w:t xml:space="preserve"> $5</w:t>
            </w:r>
            <w:r w:rsidR="00881003">
              <w:rPr>
                <w:rFonts w:eastAsia="Times New Roman"/>
                <w:b/>
                <w:bCs/>
                <w:color w:val="000000"/>
                <w:sz w:val="20"/>
                <w:szCs w:val="20"/>
                <w:lang w:eastAsia="en-AU"/>
              </w:rPr>
              <w:t xml:space="preserve"> M</w:t>
            </w:r>
          </w:p>
        </w:tc>
        <w:tc>
          <w:tcPr>
            <w:tcW w:w="1300" w:type="dxa"/>
            <w:tcBorders>
              <w:top w:val="single" w:sz="12" w:space="0" w:color="auto"/>
              <w:left w:val="single" w:sz="4" w:space="0" w:color="auto"/>
              <w:bottom w:val="single" w:sz="4" w:space="0" w:color="auto"/>
              <w:right w:val="single" w:sz="4" w:space="0" w:color="auto"/>
            </w:tcBorders>
            <w:shd w:val="clear" w:color="auto" w:fill="FFFFFF" w:themeFill="background1"/>
            <w:noWrap/>
            <w:vAlign w:val="center"/>
            <w:hideMark/>
          </w:tcPr>
          <w:p w14:paraId="7089535D" w14:textId="3A22CF06" w:rsidR="000C0F50" w:rsidRPr="00257F28" w:rsidRDefault="000C0F50" w:rsidP="001867AD">
            <w:pPr>
              <w:spacing w:after="0" w:line="240" w:lineRule="auto"/>
              <w:jc w:val="right"/>
              <w:rPr>
                <w:rFonts w:eastAsia="Times New Roman"/>
                <w:b/>
                <w:bCs/>
                <w:color w:val="000000"/>
                <w:sz w:val="20"/>
                <w:szCs w:val="20"/>
                <w:lang w:eastAsia="en-AU"/>
              </w:rPr>
            </w:pPr>
            <w:r w:rsidRPr="00257F28">
              <w:rPr>
                <w:rFonts w:eastAsia="Times New Roman"/>
                <w:b/>
                <w:bCs/>
                <w:color w:val="000000"/>
                <w:sz w:val="20"/>
                <w:szCs w:val="20"/>
                <w:lang w:eastAsia="en-AU"/>
              </w:rPr>
              <w:t xml:space="preserve">$108 </w:t>
            </w:r>
            <w:r w:rsidR="00881003">
              <w:rPr>
                <w:rFonts w:eastAsia="Times New Roman"/>
                <w:b/>
                <w:bCs/>
                <w:color w:val="000000"/>
                <w:sz w:val="20"/>
                <w:szCs w:val="20"/>
                <w:lang w:eastAsia="en-AU"/>
              </w:rPr>
              <w:t>M</w:t>
            </w:r>
          </w:p>
        </w:tc>
        <w:tc>
          <w:tcPr>
            <w:tcW w:w="1394" w:type="dxa"/>
            <w:tcBorders>
              <w:top w:val="single" w:sz="12" w:space="0" w:color="auto"/>
              <w:left w:val="single" w:sz="4" w:space="0" w:color="auto"/>
              <w:bottom w:val="single" w:sz="4" w:space="0" w:color="auto"/>
              <w:right w:val="single" w:sz="4" w:space="0" w:color="auto"/>
            </w:tcBorders>
            <w:shd w:val="clear" w:color="auto" w:fill="FBE4D5" w:themeFill="accent2" w:themeFillTint="33"/>
          </w:tcPr>
          <w:p w14:paraId="5F500D65" w14:textId="77777777" w:rsidR="000C0F50" w:rsidRPr="00257F28" w:rsidRDefault="000C0F50" w:rsidP="001867AD">
            <w:pPr>
              <w:spacing w:after="0" w:line="240" w:lineRule="auto"/>
              <w:jc w:val="center"/>
              <w:rPr>
                <w:rFonts w:eastAsia="Times New Roman"/>
                <w:color w:val="000000"/>
                <w:sz w:val="20"/>
                <w:szCs w:val="20"/>
                <w:lang w:eastAsia="en-AU"/>
              </w:rPr>
            </w:pPr>
          </w:p>
        </w:tc>
      </w:tr>
    </w:tbl>
    <w:bookmarkEnd w:id="499"/>
    <w:p w14:paraId="473FC662" w14:textId="5EADE12D" w:rsidR="006F0DAE" w:rsidRDefault="00713452" w:rsidP="00EA7873">
      <w:pPr>
        <w:spacing w:after="0"/>
        <w:rPr>
          <w:i/>
          <w:iCs/>
          <w:sz w:val="20"/>
          <w:szCs w:val="20"/>
        </w:rPr>
      </w:pPr>
      <w:r w:rsidRPr="00713452">
        <w:rPr>
          <w:sz w:val="20"/>
          <w:szCs w:val="20"/>
        </w:rPr>
        <w:t>*</w:t>
      </w:r>
      <w:r>
        <w:rPr>
          <w:sz w:val="20"/>
          <w:szCs w:val="20"/>
        </w:rPr>
        <w:t xml:space="preserve">M – million, </w:t>
      </w:r>
      <w:r>
        <w:rPr>
          <w:i/>
          <w:iCs/>
          <w:sz w:val="20"/>
          <w:szCs w:val="20"/>
        </w:rPr>
        <w:t xml:space="preserve">K </w:t>
      </w:r>
      <w:r w:rsidR="00EA7873">
        <w:rPr>
          <w:i/>
          <w:iCs/>
          <w:sz w:val="20"/>
          <w:szCs w:val="20"/>
        </w:rPr>
        <w:t>–</w:t>
      </w:r>
      <w:r>
        <w:rPr>
          <w:i/>
          <w:iCs/>
          <w:sz w:val="20"/>
          <w:szCs w:val="20"/>
        </w:rPr>
        <w:t xml:space="preserve"> thousand</w:t>
      </w:r>
    </w:p>
    <w:p w14:paraId="075A8E0B" w14:textId="77777777" w:rsidR="00EA7873" w:rsidRPr="00713452" w:rsidRDefault="00EA7873" w:rsidP="00EA7873">
      <w:pPr>
        <w:spacing w:after="0"/>
        <w:rPr>
          <w:i/>
          <w:iCs/>
          <w:sz w:val="20"/>
          <w:szCs w:val="20"/>
        </w:rPr>
      </w:pPr>
    </w:p>
    <w:p w14:paraId="74AA708B" w14:textId="77777777" w:rsidR="006F0DAE" w:rsidRPr="00EA3458" w:rsidRDefault="006F0DAE" w:rsidP="007E3DC8">
      <w:pPr>
        <w:pStyle w:val="Heading4"/>
        <w:numPr>
          <w:ilvl w:val="2"/>
          <w:numId w:val="45"/>
        </w:numPr>
        <w:rPr>
          <w:rFonts w:eastAsia="Calibri"/>
        </w:rPr>
      </w:pPr>
      <w:r w:rsidRPr="00EA3458">
        <w:rPr>
          <w:rFonts w:eastAsia="Calibri"/>
        </w:rPr>
        <w:t>Supply of medicines by dosing point</w:t>
      </w:r>
    </w:p>
    <w:p w14:paraId="765EAE40" w14:textId="086D17E2" w:rsidR="000C0F50" w:rsidRPr="00D111AE" w:rsidRDefault="000C0F50">
      <w:r w:rsidRPr="001867AD">
        <w:t xml:space="preserve">With the current </w:t>
      </w:r>
      <w:r w:rsidR="000175C7">
        <w:t xml:space="preserve">PBS </w:t>
      </w:r>
      <w:r w:rsidRPr="001867AD">
        <w:t>ODTP arrangement</w:t>
      </w:r>
      <w:r w:rsidR="000175C7">
        <w:t>s</w:t>
      </w:r>
      <w:r w:rsidRPr="001867AD">
        <w:t xml:space="preserve">, sites from which </w:t>
      </w:r>
      <w:r w:rsidR="00AB43EE">
        <w:t>O</w:t>
      </w:r>
      <w:r w:rsidR="000175C7">
        <w:t>D</w:t>
      </w:r>
      <w:r w:rsidR="00AB43EE">
        <w:t>T</w:t>
      </w:r>
      <w:r w:rsidRPr="001867AD">
        <w:t xml:space="preserve"> medicines are dispensed and/or administered order medicines directly from their manufacturers and the medicines are then paid for by the Commonwealth. Commonwealth </w:t>
      </w:r>
      <w:r w:rsidR="000175C7">
        <w:t xml:space="preserve">PBS </w:t>
      </w:r>
      <w:r w:rsidRPr="001867AD">
        <w:t xml:space="preserve">ODTP expenditure data can be used to determine how many medicines are supplied through each type of </w:t>
      </w:r>
      <w:r w:rsidRPr="00F01D1F">
        <w:t xml:space="preserve">site (Table </w:t>
      </w:r>
      <w:r w:rsidR="00420AEF">
        <w:t>20</w:t>
      </w:r>
      <w:r w:rsidRPr="00F01D1F">
        <w:t>).</w:t>
      </w:r>
      <w:r w:rsidRPr="001867AD">
        <w:t xml:space="preserve"> While the data reflects current trends in the supply of </w:t>
      </w:r>
      <w:r w:rsidR="00181DF4" w:rsidRPr="001867AD">
        <w:t>medicines if</w:t>
      </w:r>
      <w:r w:rsidRPr="001867AD">
        <w:t xml:space="preserve"> the PBS listings of ODTP medicines were to change following </w:t>
      </w:r>
      <w:r w:rsidR="006C4489">
        <w:t>PBAC</w:t>
      </w:r>
      <w:r w:rsidRPr="001867AD">
        <w:t xml:space="preserve"> recommendations from the PMR there would likely be changes to the distribution </w:t>
      </w:r>
      <w:r w:rsidR="00EF3794">
        <w:t xml:space="preserve">patterns </w:t>
      </w:r>
      <w:r w:rsidRPr="001867AD">
        <w:t>of medicines.</w:t>
      </w:r>
    </w:p>
    <w:p w14:paraId="2F27F972" w14:textId="55273C71" w:rsidR="000C0F50" w:rsidRDefault="000C0F50">
      <w:r w:rsidRPr="00EA3458">
        <w:rPr>
          <w:rFonts w:cs="Calibri"/>
        </w:rPr>
        <w:t xml:space="preserve">It should be noted that </w:t>
      </w:r>
      <w:r w:rsidR="000175C7">
        <w:rPr>
          <w:rFonts w:cs="Calibri"/>
        </w:rPr>
        <w:t xml:space="preserve">PBS </w:t>
      </w:r>
      <w:r w:rsidRPr="00EA3458">
        <w:rPr>
          <w:rFonts w:cs="Calibri"/>
        </w:rPr>
        <w:t>ODTP expenditure data is limited to where medicines are supplied to, and therefore do</w:t>
      </w:r>
      <w:r>
        <w:rPr>
          <w:rFonts w:cs="Calibri"/>
        </w:rPr>
        <w:t>es</w:t>
      </w:r>
      <w:r w:rsidRPr="00EA3458">
        <w:rPr>
          <w:rFonts w:cs="Calibri"/>
        </w:rPr>
        <w:t xml:space="preserve"> not account for internal arrangements between dosing sites where supplies may be delivered to a subsequent location following their initial delivery.</w:t>
      </w:r>
    </w:p>
    <w:p w14:paraId="49AC879F" w14:textId="592C1A24" w:rsidR="006F0DAE" w:rsidRPr="00EA3458" w:rsidRDefault="006F0DAE">
      <w:r w:rsidRPr="00EA3458">
        <w:t xml:space="preserve">According to </w:t>
      </w:r>
      <w:r w:rsidRPr="00F01D1F">
        <w:t xml:space="preserve">Table </w:t>
      </w:r>
      <w:r w:rsidR="00420AEF">
        <w:t>20</w:t>
      </w:r>
      <w:r w:rsidRPr="00F01D1F">
        <w:t>,</w:t>
      </w:r>
      <w:r w:rsidRPr="00EA3458">
        <w:t xml:space="preserve"> </w:t>
      </w:r>
      <w:r w:rsidR="00181DF4" w:rsidRPr="00EA3458">
        <w:t>most</w:t>
      </w:r>
      <w:r w:rsidRPr="00EA3458">
        <w:t xml:space="preserve"> daily medicine formulations (oral/sublingual) are supplied through pharmacies (80% of all doses)</w:t>
      </w:r>
      <w:r w:rsidR="000C0F50">
        <w:t>.</w:t>
      </w:r>
    </w:p>
    <w:p w14:paraId="7ADBB3CD" w14:textId="2F3228B6" w:rsidR="006F0DAE" w:rsidRDefault="006F0DAE">
      <w:r w:rsidRPr="00EA3458">
        <w:t>The distribution of LAIB is more spread out across dosing points, with only 29% of supplies being delivered to pharmacies. The remaining doses are largely supplied through public hospitals (19%), health services (18%) and correctional facilities (18%).</w:t>
      </w:r>
    </w:p>
    <w:p w14:paraId="3250AA5B" w14:textId="7D2742A6" w:rsidR="000C0F50" w:rsidRPr="00EA3458" w:rsidRDefault="000C0F50">
      <w:r>
        <w:t xml:space="preserve">By comparison, only 3% of oral and sublingual </w:t>
      </w:r>
      <w:r w:rsidR="000175C7">
        <w:t>OD</w:t>
      </w:r>
      <w:r w:rsidR="00AB43EE">
        <w:t>T</w:t>
      </w:r>
      <w:r>
        <w:t xml:space="preserve"> medicines are supplied to correctional facilities, suggesting that LAIB has advantages over other medicines in facilitating </w:t>
      </w:r>
      <w:r w:rsidR="00AB43EE">
        <w:t>provision</w:t>
      </w:r>
      <w:r>
        <w:t xml:space="preserve"> of </w:t>
      </w:r>
      <w:r w:rsidR="00AB43EE">
        <w:t>O</w:t>
      </w:r>
      <w:r w:rsidR="000175C7">
        <w:t>D</w:t>
      </w:r>
      <w:r w:rsidR="00AB43EE">
        <w:t>T</w:t>
      </w:r>
      <w:r w:rsidR="000175C7">
        <w:t xml:space="preserve"> medicines</w:t>
      </w:r>
      <w:r>
        <w:t xml:space="preserve"> to detainees.</w:t>
      </w:r>
    </w:p>
    <w:p w14:paraId="598DC5E5" w14:textId="0BC18A4C" w:rsidR="006F0DAE" w:rsidRPr="00EA3458" w:rsidRDefault="006F0DAE">
      <w:pPr>
        <w:rPr>
          <w:rFonts w:cs="Calibri"/>
        </w:rPr>
      </w:pPr>
      <w:r w:rsidRPr="00EA3458">
        <w:t xml:space="preserve">Overall, 69% of medicines are supplied through community pharmacies. This is consistent with NOPSAD estimates, which state </w:t>
      </w:r>
      <w:r w:rsidRPr="00EA3458">
        <w:rPr>
          <w:rFonts w:cs="Calibri"/>
        </w:rPr>
        <w:t xml:space="preserve">2 in 3 consumers receive </w:t>
      </w:r>
      <w:r w:rsidR="00694A1A">
        <w:rPr>
          <w:rFonts w:cs="Calibri"/>
        </w:rPr>
        <w:t>ODT medicines</w:t>
      </w:r>
      <w:r w:rsidR="00694A1A" w:rsidRPr="00EA3458">
        <w:rPr>
          <w:rFonts w:cs="Calibri"/>
        </w:rPr>
        <w:t xml:space="preserve"> </w:t>
      </w:r>
      <w:r w:rsidRPr="00EA3458">
        <w:rPr>
          <w:rFonts w:cs="Calibri"/>
        </w:rPr>
        <w:t>from community pharmacies</w:t>
      </w:r>
      <w:r w:rsidR="00632246">
        <w:rPr>
          <w:rFonts w:cs="Calibri"/>
        </w:rPr>
        <w:t>.</w:t>
      </w:r>
      <w:hyperlink w:anchor="_ENREF_1" w:tooltip="Australian Institute of Health and Welfare, 2022 #1" w:history="1">
        <w:r w:rsidR="002565E6" w:rsidRPr="000B6BFB">
          <w:rPr>
            <w:rFonts w:cs="Calibri"/>
          </w:rPr>
          <w:fldChar w:fldCharType="begin"/>
        </w:r>
        <w:r w:rsidR="002565E6">
          <w:rPr>
            <w:rFonts w:cs="Calibri"/>
          </w:rPr>
          <w:instrText xml:space="preserve"> ADDIN EN.CITE &lt;EndNote&gt;&lt;Cite&gt;&lt;Author&gt;Australian Institute of Health and Welfare&lt;/Author&gt;&lt;Year&gt;2022&lt;/Year&gt;&lt;RecNum&gt;1&lt;/RecNum&gt;&lt;DisplayText&gt;&lt;style face="superscript"&gt;1&lt;/style&gt;&lt;/DisplayText&gt;&lt;record&gt;&lt;rec-number&gt;1&lt;/rec-number&gt;&lt;foreign-keys&gt;&lt;key app="EN" db-id="xssz590sx9vzw4ewpzdv0s5sret50aexdtd9" timestamp="1668645241"&gt;1&lt;/key&gt;&lt;/foreign-keys&gt;&lt;ref-type name="Report"&gt;27&lt;/ref-type&gt;&lt;contributors&gt;&lt;authors&gt;&lt;author&gt;Australian Institute of Health and Welfare,&lt;/author&gt;&lt;/authors&gt;&lt;/contributors&gt;&lt;titles&gt;&lt;title&gt;National Opioid Pharmacotherapy Statistics Annual Data (NOPSAD) collection. &lt;/title&gt;&lt;/titles&gt;&lt;volume&gt;Cat. no. PHE 266&lt;/volume&gt;&lt;dates&gt;&lt;year&gt;2022&lt;/year&gt;&lt;pub-dates&gt;&lt;date&gt;2022/11/21/&lt;/date&gt;&lt;/pub-dates&gt;&lt;/dates&gt;&lt;pub-location&gt;Canberra&lt;/pub-location&gt;&lt;publisher&gt;AIHW&lt;/publisher&gt;&lt;label&gt;BibEntry2022Feb&lt;/label&gt;&lt;urls&gt;&lt;related-urls&gt;&lt;url&gt;https://www.aihw.gov.au/reports/alcohol-other-drug-treatment-services/national-opioidpharmacotherapy-statistics&lt;/url&gt;&lt;/related-urls&gt;&lt;/urls&gt;&lt;language&gt;English&lt;/language&gt;&lt;/record&gt;&lt;/Cite&gt;&lt;/EndNote&gt;</w:instrText>
        </w:r>
        <w:r w:rsidR="002565E6" w:rsidRPr="000B6BFB">
          <w:rPr>
            <w:rFonts w:cs="Calibri"/>
          </w:rPr>
          <w:fldChar w:fldCharType="separate"/>
        </w:r>
        <w:r w:rsidR="002565E6" w:rsidRPr="005531C9">
          <w:rPr>
            <w:rFonts w:cs="Calibri"/>
            <w:noProof/>
            <w:vertAlign w:val="superscript"/>
          </w:rPr>
          <w:t>1</w:t>
        </w:r>
        <w:r w:rsidR="002565E6" w:rsidRPr="000B6BFB">
          <w:rPr>
            <w:rFonts w:cs="Calibri"/>
          </w:rPr>
          <w:fldChar w:fldCharType="end"/>
        </w:r>
      </w:hyperlink>
    </w:p>
    <w:p w14:paraId="010E103A" w14:textId="77777777" w:rsidR="000C0F50" w:rsidRDefault="000C0F50">
      <w:pPr>
        <w:spacing w:after="160" w:line="259" w:lineRule="auto"/>
        <w:rPr>
          <w:rFonts w:ascii="Yu Gothic Light" w:eastAsiaTheme="majorEastAsia" w:hAnsi="Yu Gothic Light" w:cs="Calibri"/>
          <w:b/>
          <w:iCs/>
        </w:rPr>
      </w:pPr>
      <w:r>
        <w:rPr>
          <w:rFonts w:cs="Calibri"/>
        </w:rPr>
        <w:br w:type="page"/>
      </w:r>
    </w:p>
    <w:p w14:paraId="708FD95F" w14:textId="3015FE7A" w:rsidR="006F0DAE" w:rsidRPr="00EA3458" w:rsidRDefault="006F0DAE">
      <w:pPr>
        <w:pStyle w:val="Tables"/>
        <w:rPr>
          <w:rFonts w:eastAsia="Calibri"/>
        </w:rPr>
      </w:pPr>
      <w:bookmarkStart w:id="510" w:name="_Toc120183451"/>
      <w:bookmarkStart w:id="511" w:name="_Toc132823440"/>
      <w:r w:rsidRPr="00EA3458">
        <w:rPr>
          <w:rFonts w:eastAsia="Calibri"/>
        </w:rPr>
        <w:lastRenderedPageBreak/>
        <w:t xml:space="preserve">Table </w:t>
      </w:r>
      <w:r w:rsidR="00420AEF">
        <w:rPr>
          <w:rFonts w:eastAsia="Calibri"/>
        </w:rPr>
        <w:t>20</w:t>
      </w:r>
      <w:r w:rsidR="001957C9">
        <w:rPr>
          <w:rFonts w:eastAsia="Calibri"/>
        </w:rPr>
        <w:t>.</w:t>
      </w:r>
      <w:r w:rsidRPr="00EA3458">
        <w:rPr>
          <w:rFonts w:eastAsia="Calibri"/>
        </w:rPr>
        <w:t xml:space="preserve"> Estimated percentage of </w:t>
      </w:r>
      <w:r w:rsidR="000175C7">
        <w:rPr>
          <w:rFonts w:eastAsia="Calibri"/>
        </w:rPr>
        <w:t xml:space="preserve">PBS </w:t>
      </w:r>
      <w:r w:rsidRPr="00EA3458">
        <w:rPr>
          <w:rFonts w:eastAsia="Calibri"/>
        </w:rPr>
        <w:t>ODT</w:t>
      </w:r>
      <w:r w:rsidR="000175C7">
        <w:rPr>
          <w:rFonts w:eastAsia="Calibri"/>
        </w:rPr>
        <w:t>P</w:t>
      </w:r>
      <w:r w:rsidRPr="00EA3458">
        <w:rPr>
          <w:rFonts w:eastAsia="Calibri"/>
        </w:rPr>
        <w:t xml:space="preserve"> medicine doses supplied to each type of dosing point by medicine form</w:t>
      </w:r>
      <w:bookmarkEnd w:id="510"/>
      <w:bookmarkEnd w:id="511"/>
      <w:r w:rsidRPr="00EA3458">
        <w:rPr>
          <w:rFonts w:eastAsia="Calibri"/>
        </w:rPr>
        <w:t xml:space="preserve">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5"/>
        <w:gridCol w:w="1570"/>
        <w:gridCol w:w="1243"/>
        <w:gridCol w:w="1559"/>
        <w:gridCol w:w="1559"/>
        <w:gridCol w:w="1560"/>
        <w:gridCol w:w="1134"/>
      </w:tblGrid>
      <w:tr w:rsidR="006F0DAE" w:rsidRPr="00EA3458" w14:paraId="736F2856" w14:textId="77777777" w:rsidTr="00CE03C3">
        <w:trPr>
          <w:trHeight w:val="294"/>
        </w:trPr>
        <w:tc>
          <w:tcPr>
            <w:tcW w:w="1435" w:type="dxa"/>
            <w:shd w:val="clear" w:color="auto" w:fill="E7E6E6" w:themeFill="background2"/>
            <w:noWrap/>
            <w:vAlign w:val="bottom"/>
            <w:hideMark/>
          </w:tcPr>
          <w:p w14:paraId="5992F697" w14:textId="77777777" w:rsidR="006F0DAE" w:rsidRPr="00226937" w:rsidRDefault="006F0DAE">
            <w:pPr>
              <w:spacing w:after="0" w:line="240" w:lineRule="auto"/>
              <w:rPr>
                <w:rFonts w:eastAsia="Times New Roman" w:cs="Calibri"/>
                <w:b/>
                <w:bCs/>
                <w:color w:val="000000"/>
                <w:sz w:val="20"/>
                <w:szCs w:val="20"/>
                <w:lang w:eastAsia="en-AU"/>
              </w:rPr>
            </w:pPr>
            <w:r w:rsidRPr="00226937">
              <w:rPr>
                <w:rFonts w:eastAsia="Times New Roman" w:cs="Calibri"/>
                <w:b/>
                <w:bCs/>
                <w:color w:val="000000"/>
                <w:sz w:val="20"/>
                <w:szCs w:val="20"/>
                <w:lang w:eastAsia="en-AU"/>
              </w:rPr>
              <w:t> </w:t>
            </w:r>
          </w:p>
        </w:tc>
        <w:tc>
          <w:tcPr>
            <w:tcW w:w="1570" w:type="dxa"/>
            <w:shd w:val="clear" w:color="auto" w:fill="E7E6E6" w:themeFill="background2"/>
            <w:noWrap/>
            <w:vAlign w:val="bottom"/>
            <w:hideMark/>
          </w:tcPr>
          <w:p w14:paraId="760ADA0A" w14:textId="77777777" w:rsidR="006F0DAE" w:rsidRPr="00226937" w:rsidRDefault="006F0DAE" w:rsidP="00257F28">
            <w:pPr>
              <w:spacing w:after="0" w:line="240" w:lineRule="auto"/>
              <w:jc w:val="left"/>
              <w:rPr>
                <w:rFonts w:eastAsia="Times New Roman"/>
                <w:b/>
                <w:bCs/>
                <w:color w:val="000000"/>
                <w:sz w:val="20"/>
                <w:szCs w:val="20"/>
                <w:lang w:eastAsia="en-AU"/>
              </w:rPr>
            </w:pPr>
            <w:r w:rsidRPr="00226937">
              <w:rPr>
                <w:rFonts w:eastAsia="Times New Roman"/>
                <w:b/>
                <w:bCs/>
                <w:color w:val="000000"/>
                <w:sz w:val="20"/>
                <w:szCs w:val="20"/>
                <w:lang w:eastAsia="en-AU"/>
              </w:rPr>
              <w:t>Buprenorphine + Naloxone (sublingual film)</w:t>
            </w:r>
          </w:p>
        </w:tc>
        <w:tc>
          <w:tcPr>
            <w:tcW w:w="1243" w:type="dxa"/>
            <w:shd w:val="clear" w:color="auto" w:fill="E7E6E6" w:themeFill="background2"/>
            <w:noWrap/>
            <w:vAlign w:val="bottom"/>
            <w:hideMark/>
          </w:tcPr>
          <w:p w14:paraId="195BB403" w14:textId="77777777" w:rsidR="006F0DAE" w:rsidRPr="00226937" w:rsidRDefault="006F0DAE" w:rsidP="00257F28">
            <w:pPr>
              <w:spacing w:after="0" w:line="240" w:lineRule="auto"/>
              <w:jc w:val="left"/>
              <w:rPr>
                <w:rFonts w:eastAsia="Times New Roman"/>
                <w:b/>
                <w:bCs/>
                <w:color w:val="000000"/>
                <w:sz w:val="20"/>
                <w:szCs w:val="20"/>
                <w:lang w:eastAsia="en-AU"/>
              </w:rPr>
            </w:pPr>
            <w:r w:rsidRPr="00226937">
              <w:rPr>
                <w:rFonts w:eastAsia="Times New Roman"/>
                <w:b/>
                <w:bCs/>
                <w:color w:val="000000"/>
                <w:sz w:val="20"/>
                <w:szCs w:val="20"/>
                <w:lang w:eastAsia="en-AU"/>
              </w:rPr>
              <w:t>Methadone</w:t>
            </w:r>
          </w:p>
        </w:tc>
        <w:tc>
          <w:tcPr>
            <w:tcW w:w="1559" w:type="dxa"/>
            <w:shd w:val="clear" w:color="auto" w:fill="E7E6E6" w:themeFill="background2"/>
            <w:noWrap/>
            <w:vAlign w:val="bottom"/>
            <w:hideMark/>
          </w:tcPr>
          <w:p w14:paraId="6E158CA9" w14:textId="3281D685" w:rsidR="006F0DAE" w:rsidRPr="00226937" w:rsidRDefault="00181DF4" w:rsidP="00257F28">
            <w:pPr>
              <w:spacing w:after="0" w:line="240" w:lineRule="auto"/>
              <w:jc w:val="left"/>
              <w:rPr>
                <w:rFonts w:eastAsia="Times New Roman"/>
                <w:b/>
                <w:bCs/>
                <w:color w:val="000000"/>
                <w:sz w:val="20"/>
                <w:szCs w:val="20"/>
                <w:lang w:eastAsia="en-AU"/>
              </w:rPr>
            </w:pPr>
            <w:r w:rsidRPr="00226937">
              <w:rPr>
                <w:rFonts w:eastAsia="Times New Roman"/>
                <w:b/>
                <w:bCs/>
                <w:color w:val="000000"/>
                <w:sz w:val="20"/>
                <w:szCs w:val="20"/>
                <w:lang w:eastAsia="en-AU"/>
              </w:rPr>
              <w:t>Long-acting</w:t>
            </w:r>
            <w:r w:rsidR="006F0DAE" w:rsidRPr="00226937">
              <w:rPr>
                <w:rFonts w:eastAsia="Times New Roman"/>
                <w:b/>
                <w:bCs/>
                <w:color w:val="000000"/>
                <w:sz w:val="20"/>
                <w:szCs w:val="20"/>
                <w:lang w:eastAsia="en-AU"/>
              </w:rPr>
              <w:t xml:space="preserve"> injectable buprenorphine</w:t>
            </w:r>
          </w:p>
        </w:tc>
        <w:tc>
          <w:tcPr>
            <w:tcW w:w="1559" w:type="dxa"/>
            <w:shd w:val="clear" w:color="auto" w:fill="E7E6E6" w:themeFill="background2"/>
            <w:noWrap/>
            <w:vAlign w:val="bottom"/>
            <w:hideMark/>
          </w:tcPr>
          <w:p w14:paraId="4BC22ABA" w14:textId="77777777" w:rsidR="006F0DAE" w:rsidRPr="00226937" w:rsidRDefault="006F0DAE" w:rsidP="00257F28">
            <w:pPr>
              <w:spacing w:after="0" w:line="240" w:lineRule="auto"/>
              <w:jc w:val="left"/>
              <w:rPr>
                <w:rFonts w:eastAsia="Times New Roman"/>
                <w:b/>
                <w:bCs/>
                <w:color w:val="000000"/>
                <w:sz w:val="20"/>
                <w:szCs w:val="20"/>
                <w:lang w:eastAsia="en-AU"/>
              </w:rPr>
            </w:pPr>
            <w:r w:rsidRPr="00226937">
              <w:rPr>
                <w:rFonts w:eastAsia="Times New Roman"/>
                <w:b/>
                <w:bCs/>
                <w:color w:val="000000"/>
                <w:sz w:val="20"/>
                <w:szCs w:val="20"/>
                <w:lang w:eastAsia="en-AU"/>
              </w:rPr>
              <w:t>Buprenorphine (sublingual tablet)</w:t>
            </w:r>
          </w:p>
        </w:tc>
        <w:tc>
          <w:tcPr>
            <w:tcW w:w="1560" w:type="dxa"/>
            <w:shd w:val="clear" w:color="auto" w:fill="E7E6E6" w:themeFill="background2"/>
          </w:tcPr>
          <w:p w14:paraId="72EDFACF" w14:textId="4E712A97" w:rsidR="006F0DAE" w:rsidRPr="00226937" w:rsidRDefault="006F0DAE" w:rsidP="00257F28">
            <w:pPr>
              <w:spacing w:after="0" w:line="240" w:lineRule="auto"/>
              <w:jc w:val="left"/>
              <w:rPr>
                <w:rFonts w:eastAsia="Times New Roman" w:cs="Calibri"/>
                <w:b/>
                <w:bCs/>
                <w:color w:val="000000"/>
                <w:sz w:val="20"/>
                <w:szCs w:val="20"/>
                <w:lang w:eastAsia="en-AU"/>
              </w:rPr>
            </w:pPr>
            <w:r w:rsidRPr="00226937">
              <w:rPr>
                <w:rFonts w:eastAsia="Times New Roman" w:cs="Calibri"/>
                <w:b/>
                <w:bCs/>
                <w:color w:val="000000"/>
                <w:sz w:val="20"/>
                <w:szCs w:val="20"/>
                <w:lang w:eastAsia="en-AU"/>
              </w:rPr>
              <w:t xml:space="preserve">Oral/sublingual </w:t>
            </w:r>
            <w:r w:rsidR="000175C7">
              <w:rPr>
                <w:rFonts w:eastAsia="Times New Roman" w:cs="Calibri"/>
                <w:b/>
                <w:bCs/>
                <w:color w:val="000000"/>
                <w:sz w:val="20"/>
                <w:szCs w:val="20"/>
                <w:lang w:eastAsia="en-AU"/>
              </w:rPr>
              <w:t xml:space="preserve">PBS </w:t>
            </w:r>
            <w:r w:rsidRPr="00226937">
              <w:rPr>
                <w:rFonts w:eastAsia="Times New Roman" w:cs="Calibri"/>
                <w:b/>
                <w:bCs/>
                <w:color w:val="000000"/>
                <w:sz w:val="20"/>
                <w:szCs w:val="20"/>
                <w:lang w:eastAsia="en-AU"/>
              </w:rPr>
              <w:t>ODTP medicines</w:t>
            </w:r>
          </w:p>
        </w:tc>
        <w:tc>
          <w:tcPr>
            <w:tcW w:w="1134" w:type="dxa"/>
            <w:shd w:val="clear" w:color="auto" w:fill="E7E6E6" w:themeFill="background2"/>
            <w:noWrap/>
            <w:vAlign w:val="bottom"/>
            <w:hideMark/>
          </w:tcPr>
          <w:p w14:paraId="2EBBBDDA" w14:textId="1693357A" w:rsidR="006F0DAE" w:rsidRPr="00226937" w:rsidRDefault="006F0DAE" w:rsidP="00257F28">
            <w:pPr>
              <w:spacing w:after="0" w:line="240" w:lineRule="auto"/>
              <w:jc w:val="left"/>
              <w:rPr>
                <w:rFonts w:eastAsia="Times New Roman" w:cs="Calibri"/>
                <w:b/>
                <w:bCs/>
                <w:color w:val="000000"/>
                <w:sz w:val="20"/>
                <w:szCs w:val="20"/>
                <w:lang w:eastAsia="en-AU"/>
              </w:rPr>
            </w:pPr>
            <w:r w:rsidRPr="00226937">
              <w:rPr>
                <w:rFonts w:eastAsia="Times New Roman" w:cs="Calibri"/>
                <w:b/>
                <w:bCs/>
                <w:color w:val="000000"/>
                <w:sz w:val="20"/>
                <w:szCs w:val="20"/>
                <w:lang w:eastAsia="en-AU"/>
              </w:rPr>
              <w:t xml:space="preserve">All </w:t>
            </w:r>
            <w:r w:rsidR="000175C7">
              <w:rPr>
                <w:rFonts w:eastAsia="Times New Roman" w:cs="Calibri"/>
                <w:b/>
                <w:bCs/>
                <w:color w:val="000000"/>
                <w:sz w:val="20"/>
                <w:szCs w:val="20"/>
                <w:lang w:eastAsia="en-AU"/>
              </w:rPr>
              <w:t xml:space="preserve">PBS </w:t>
            </w:r>
            <w:r w:rsidRPr="00226937">
              <w:rPr>
                <w:rFonts w:eastAsia="Times New Roman" w:cs="Calibri"/>
                <w:b/>
                <w:bCs/>
                <w:color w:val="000000"/>
                <w:sz w:val="20"/>
                <w:szCs w:val="20"/>
                <w:lang w:eastAsia="en-AU"/>
              </w:rPr>
              <w:t>ODTP medicines</w:t>
            </w:r>
          </w:p>
        </w:tc>
      </w:tr>
      <w:tr w:rsidR="006F0DAE" w:rsidRPr="00EA3458" w14:paraId="288777A1" w14:textId="77777777" w:rsidTr="00CE03C3">
        <w:trPr>
          <w:trHeight w:val="294"/>
        </w:trPr>
        <w:tc>
          <w:tcPr>
            <w:tcW w:w="1435" w:type="dxa"/>
            <w:shd w:val="clear" w:color="auto" w:fill="DEEAF6" w:themeFill="accent5" w:themeFillTint="33"/>
            <w:noWrap/>
            <w:vAlign w:val="bottom"/>
            <w:hideMark/>
          </w:tcPr>
          <w:p w14:paraId="0A6B6AC6" w14:textId="77777777" w:rsidR="006F0DAE" w:rsidRPr="00226937" w:rsidRDefault="006F0DAE" w:rsidP="00DA0E77">
            <w:pPr>
              <w:spacing w:after="0" w:line="240" w:lineRule="auto"/>
              <w:rPr>
                <w:rFonts w:eastAsia="Times New Roman" w:cs="Calibri"/>
                <w:color w:val="000000"/>
                <w:sz w:val="20"/>
                <w:szCs w:val="20"/>
                <w:lang w:eastAsia="en-AU"/>
              </w:rPr>
            </w:pPr>
            <w:r w:rsidRPr="00226937">
              <w:rPr>
                <w:rFonts w:eastAsia="Times New Roman" w:cs="Calibri"/>
                <w:color w:val="000000"/>
                <w:sz w:val="20"/>
                <w:szCs w:val="20"/>
                <w:lang w:eastAsia="en-AU"/>
              </w:rPr>
              <w:t>Alcohol/Drug Treatment Centre</w:t>
            </w:r>
          </w:p>
        </w:tc>
        <w:tc>
          <w:tcPr>
            <w:tcW w:w="1570" w:type="dxa"/>
            <w:shd w:val="clear" w:color="auto" w:fill="auto"/>
            <w:noWrap/>
            <w:vAlign w:val="bottom"/>
            <w:hideMark/>
          </w:tcPr>
          <w:p w14:paraId="55EBE766" w14:textId="77777777" w:rsidR="006F0DAE" w:rsidRPr="00226937" w:rsidRDefault="006F0DAE" w:rsidP="001867AD">
            <w:pPr>
              <w:spacing w:after="0" w:line="240" w:lineRule="auto"/>
              <w:jc w:val="right"/>
              <w:rPr>
                <w:rFonts w:eastAsia="Times New Roman" w:cs="Calibri"/>
                <w:color w:val="000000"/>
                <w:sz w:val="20"/>
                <w:szCs w:val="20"/>
                <w:lang w:eastAsia="en-AU"/>
              </w:rPr>
            </w:pPr>
            <w:r w:rsidRPr="00226937">
              <w:rPr>
                <w:rFonts w:eastAsia="Times New Roman" w:cs="Calibri"/>
                <w:color w:val="000000"/>
                <w:sz w:val="20"/>
                <w:szCs w:val="20"/>
                <w:lang w:eastAsia="en-AU"/>
              </w:rPr>
              <w:t>4%</w:t>
            </w:r>
          </w:p>
        </w:tc>
        <w:tc>
          <w:tcPr>
            <w:tcW w:w="1243" w:type="dxa"/>
            <w:shd w:val="clear" w:color="auto" w:fill="auto"/>
            <w:noWrap/>
            <w:vAlign w:val="bottom"/>
            <w:hideMark/>
          </w:tcPr>
          <w:p w14:paraId="56191A1B" w14:textId="77777777" w:rsidR="006F0DAE" w:rsidRPr="00226937" w:rsidRDefault="006F0DAE" w:rsidP="001867AD">
            <w:pPr>
              <w:spacing w:after="0" w:line="240" w:lineRule="auto"/>
              <w:jc w:val="right"/>
              <w:rPr>
                <w:rFonts w:eastAsia="Times New Roman" w:cs="Calibri"/>
                <w:color w:val="000000"/>
                <w:sz w:val="20"/>
                <w:szCs w:val="20"/>
                <w:lang w:eastAsia="en-AU"/>
              </w:rPr>
            </w:pPr>
            <w:r w:rsidRPr="00226937">
              <w:rPr>
                <w:rFonts w:eastAsia="Times New Roman" w:cs="Calibri"/>
                <w:color w:val="000000"/>
                <w:sz w:val="20"/>
                <w:szCs w:val="20"/>
                <w:lang w:eastAsia="en-AU"/>
              </w:rPr>
              <w:t>10%</w:t>
            </w:r>
          </w:p>
        </w:tc>
        <w:tc>
          <w:tcPr>
            <w:tcW w:w="1559" w:type="dxa"/>
            <w:shd w:val="clear" w:color="auto" w:fill="auto"/>
            <w:noWrap/>
            <w:vAlign w:val="bottom"/>
            <w:hideMark/>
          </w:tcPr>
          <w:p w14:paraId="1C0B66C9" w14:textId="77777777" w:rsidR="006F0DAE" w:rsidRPr="00226937" w:rsidRDefault="006F0DAE" w:rsidP="001867AD">
            <w:pPr>
              <w:spacing w:after="0" w:line="240" w:lineRule="auto"/>
              <w:jc w:val="right"/>
              <w:rPr>
                <w:rFonts w:eastAsia="Times New Roman" w:cs="Calibri"/>
                <w:color w:val="000000"/>
                <w:sz w:val="20"/>
                <w:szCs w:val="20"/>
                <w:lang w:eastAsia="en-AU"/>
              </w:rPr>
            </w:pPr>
            <w:r w:rsidRPr="00226937">
              <w:rPr>
                <w:rFonts w:eastAsia="Times New Roman" w:cs="Calibri"/>
                <w:color w:val="000000"/>
                <w:sz w:val="20"/>
                <w:szCs w:val="20"/>
                <w:lang w:eastAsia="en-AU"/>
              </w:rPr>
              <w:t>6%</w:t>
            </w:r>
          </w:p>
        </w:tc>
        <w:tc>
          <w:tcPr>
            <w:tcW w:w="1559" w:type="dxa"/>
            <w:shd w:val="clear" w:color="auto" w:fill="auto"/>
            <w:noWrap/>
            <w:vAlign w:val="bottom"/>
            <w:hideMark/>
          </w:tcPr>
          <w:p w14:paraId="7C72F2D9" w14:textId="77777777" w:rsidR="006F0DAE" w:rsidRPr="00226937" w:rsidRDefault="006F0DAE" w:rsidP="001867AD">
            <w:pPr>
              <w:spacing w:after="0" w:line="240" w:lineRule="auto"/>
              <w:jc w:val="right"/>
              <w:rPr>
                <w:rFonts w:eastAsia="Times New Roman" w:cs="Calibri"/>
                <w:color w:val="000000"/>
                <w:sz w:val="20"/>
                <w:szCs w:val="20"/>
                <w:lang w:eastAsia="en-AU"/>
              </w:rPr>
            </w:pPr>
            <w:r w:rsidRPr="00226937">
              <w:rPr>
                <w:rFonts w:eastAsia="Times New Roman" w:cs="Calibri"/>
                <w:color w:val="000000"/>
                <w:sz w:val="20"/>
                <w:szCs w:val="20"/>
                <w:lang w:eastAsia="en-AU"/>
              </w:rPr>
              <w:t>7%</w:t>
            </w:r>
          </w:p>
        </w:tc>
        <w:tc>
          <w:tcPr>
            <w:tcW w:w="1560" w:type="dxa"/>
            <w:shd w:val="clear" w:color="auto" w:fill="FFF2CC" w:themeFill="accent4" w:themeFillTint="33"/>
            <w:vAlign w:val="bottom"/>
          </w:tcPr>
          <w:p w14:paraId="60DB7A1F" w14:textId="77777777" w:rsidR="006F0DAE" w:rsidRPr="00226937" w:rsidRDefault="006F0DAE" w:rsidP="001867AD">
            <w:pPr>
              <w:spacing w:after="0" w:line="240" w:lineRule="auto"/>
              <w:jc w:val="right"/>
              <w:rPr>
                <w:rFonts w:eastAsia="Times New Roman" w:cs="Calibri"/>
                <w:b/>
                <w:bCs/>
                <w:color w:val="000000"/>
                <w:sz w:val="20"/>
                <w:szCs w:val="20"/>
                <w:lang w:eastAsia="en-AU"/>
              </w:rPr>
            </w:pPr>
            <w:r w:rsidRPr="00226937">
              <w:rPr>
                <w:rFonts w:eastAsia="Times New Roman" w:cs="Calibri"/>
                <w:b/>
                <w:bCs/>
                <w:color w:val="000000"/>
                <w:sz w:val="20"/>
                <w:szCs w:val="20"/>
                <w:lang w:eastAsia="en-AU"/>
              </w:rPr>
              <w:t>8%</w:t>
            </w:r>
          </w:p>
        </w:tc>
        <w:tc>
          <w:tcPr>
            <w:tcW w:w="1134" w:type="dxa"/>
            <w:shd w:val="clear" w:color="auto" w:fill="FBE4D5" w:themeFill="accent2" w:themeFillTint="33"/>
            <w:noWrap/>
            <w:vAlign w:val="bottom"/>
            <w:hideMark/>
          </w:tcPr>
          <w:p w14:paraId="5EE8EAE0" w14:textId="77777777" w:rsidR="006F0DAE" w:rsidRPr="00226937" w:rsidRDefault="006F0DAE" w:rsidP="001867AD">
            <w:pPr>
              <w:spacing w:after="0" w:line="240" w:lineRule="auto"/>
              <w:jc w:val="right"/>
              <w:rPr>
                <w:rFonts w:eastAsia="Times New Roman" w:cs="Calibri"/>
                <w:b/>
                <w:bCs/>
                <w:color w:val="000000"/>
                <w:sz w:val="20"/>
                <w:szCs w:val="20"/>
                <w:lang w:eastAsia="en-AU"/>
              </w:rPr>
            </w:pPr>
            <w:r w:rsidRPr="00226937">
              <w:rPr>
                <w:rFonts w:eastAsia="Times New Roman" w:cs="Calibri"/>
                <w:b/>
                <w:bCs/>
                <w:color w:val="000000"/>
                <w:sz w:val="20"/>
                <w:szCs w:val="20"/>
                <w:lang w:eastAsia="en-AU"/>
              </w:rPr>
              <w:t>7%</w:t>
            </w:r>
          </w:p>
        </w:tc>
      </w:tr>
      <w:tr w:rsidR="006F0DAE" w:rsidRPr="00EA3458" w14:paraId="0AECA1EA" w14:textId="77777777" w:rsidTr="00CE03C3">
        <w:trPr>
          <w:trHeight w:val="294"/>
        </w:trPr>
        <w:tc>
          <w:tcPr>
            <w:tcW w:w="1435" w:type="dxa"/>
            <w:shd w:val="clear" w:color="auto" w:fill="DEEAF6" w:themeFill="accent5" w:themeFillTint="33"/>
            <w:noWrap/>
            <w:vAlign w:val="bottom"/>
            <w:hideMark/>
          </w:tcPr>
          <w:p w14:paraId="700536AC" w14:textId="77777777" w:rsidR="006F0DAE" w:rsidRPr="00226937" w:rsidRDefault="006F0DAE" w:rsidP="00DA0E77">
            <w:pPr>
              <w:spacing w:after="0" w:line="240" w:lineRule="auto"/>
              <w:rPr>
                <w:rFonts w:eastAsia="Times New Roman" w:cs="Calibri"/>
                <w:color w:val="000000"/>
                <w:sz w:val="20"/>
                <w:szCs w:val="20"/>
                <w:lang w:eastAsia="en-AU"/>
              </w:rPr>
            </w:pPr>
            <w:r w:rsidRPr="00226937">
              <w:rPr>
                <w:rFonts w:eastAsia="Times New Roman" w:cs="Calibri"/>
                <w:color w:val="000000"/>
                <w:sz w:val="20"/>
                <w:szCs w:val="20"/>
                <w:lang w:eastAsia="en-AU"/>
              </w:rPr>
              <w:t>Correctional facility</w:t>
            </w:r>
          </w:p>
        </w:tc>
        <w:tc>
          <w:tcPr>
            <w:tcW w:w="1570" w:type="dxa"/>
            <w:shd w:val="clear" w:color="auto" w:fill="auto"/>
            <w:noWrap/>
            <w:vAlign w:val="bottom"/>
            <w:hideMark/>
          </w:tcPr>
          <w:p w14:paraId="130F66DD" w14:textId="77777777" w:rsidR="006F0DAE" w:rsidRPr="00226937" w:rsidRDefault="006F0DAE" w:rsidP="001867AD">
            <w:pPr>
              <w:spacing w:after="0" w:line="240" w:lineRule="auto"/>
              <w:jc w:val="right"/>
              <w:rPr>
                <w:rFonts w:eastAsia="Times New Roman" w:cs="Calibri"/>
                <w:color w:val="000000"/>
                <w:sz w:val="20"/>
                <w:szCs w:val="20"/>
                <w:lang w:eastAsia="en-AU"/>
              </w:rPr>
            </w:pPr>
            <w:r w:rsidRPr="00226937">
              <w:rPr>
                <w:rFonts w:eastAsia="Times New Roman" w:cs="Calibri"/>
                <w:color w:val="000000"/>
                <w:sz w:val="20"/>
                <w:szCs w:val="20"/>
                <w:lang w:eastAsia="en-AU"/>
              </w:rPr>
              <w:t>&gt;1%</w:t>
            </w:r>
          </w:p>
        </w:tc>
        <w:tc>
          <w:tcPr>
            <w:tcW w:w="1243" w:type="dxa"/>
            <w:shd w:val="clear" w:color="auto" w:fill="auto"/>
            <w:noWrap/>
            <w:vAlign w:val="bottom"/>
            <w:hideMark/>
          </w:tcPr>
          <w:p w14:paraId="50E9E1DC" w14:textId="77777777" w:rsidR="006F0DAE" w:rsidRPr="00226937" w:rsidRDefault="006F0DAE" w:rsidP="001867AD">
            <w:pPr>
              <w:spacing w:after="0" w:line="240" w:lineRule="auto"/>
              <w:jc w:val="right"/>
              <w:rPr>
                <w:rFonts w:eastAsia="Times New Roman" w:cs="Calibri"/>
                <w:color w:val="000000"/>
                <w:sz w:val="20"/>
                <w:szCs w:val="20"/>
                <w:lang w:eastAsia="en-AU"/>
              </w:rPr>
            </w:pPr>
            <w:r w:rsidRPr="00226937">
              <w:rPr>
                <w:rFonts w:eastAsia="Times New Roman" w:cs="Calibri"/>
                <w:color w:val="000000"/>
                <w:sz w:val="20"/>
                <w:szCs w:val="20"/>
                <w:lang w:eastAsia="en-AU"/>
              </w:rPr>
              <w:t>4%</w:t>
            </w:r>
          </w:p>
        </w:tc>
        <w:tc>
          <w:tcPr>
            <w:tcW w:w="1559" w:type="dxa"/>
            <w:shd w:val="clear" w:color="auto" w:fill="auto"/>
            <w:noWrap/>
            <w:vAlign w:val="bottom"/>
            <w:hideMark/>
          </w:tcPr>
          <w:p w14:paraId="378A89E4" w14:textId="77777777" w:rsidR="006F0DAE" w:rsidRPr="00226937" w:rsidRDefault="006F0DAE" w:rsidP="001867AD">
            <w:pPr>
              <w:spacing w:after="0" w:line="240" w:lineRule="auto"/>
              <w:jc w:val="right"/>
              <w:rPr>
                <w:rFonts w:eastAsia="Times New Roman" w:cs="Calibri"/>
                <w:color w:val="000000"/>
                <w:sz w:val="20"/>
                <w:szCs w:val="20"/>
                <w:lang w:eastAsia="en-AU"/>
              </w:rPr>
            </w:pPr>
            <w:r w:rsidRPr="00226937">
              <w:rPr>
                <w:rFonts w:eastAsia="Times New Roman" w:cs="Calibri"/>
                <w:color w:val="000000"/>
                <w:sz w:val="20"/>
                <w:szCs w:val="20"/>
                <w:lang w:eastAsia="en-AU"/>
              </w:rPr>
              <w:t>18%</w:t>
            </w:r>
          </w:p>
        </w:tc>
        <w:tc>
          <w:tcPr>
            <w:tcW w:w="1559" w:type="dxa"/>
            <w:shd w:val="clear" w:color="auto" w:fill="auto"/>
            <w:noWrap/>
            <w:vAlign w:val="bottom"/>
            <w:hideMark/>
          </w:tcPr>
          <w:p w14:paraId="58D8C8EB" w14:textId="77777777" w:rsidR="006F0DAE" w:rsidRPr="00226937" w:rsidRDefault="006F0DAE" w:rsidP="001867AD">
            <w:pPr>
              <w:spacing w:after="0" w:line="240" w:lineRule="auto"/>
              <w:jc w:val="right"/>
              <w:rPr>
                <w:rFonts w:eastAsia="Times New Roman" w:cs="Calibri"/>
                <w:color w:val="000000"/>
                <w:sz w:val="20"/>
                <w:szCs w:val="20"/>
                <w:lang w:eastAsia="en-AU"/>
              </w:rPr>
            </w:pPr>
            <w:r w:rsidRPr="00226937">
              <w:rPr>
                <w:rFonts w:eastAsia="Times New Roman" w:cs="Calibri"/>
                <w:color w:val="000000"/>
                <w:sz w:val="20"/>
                <w:szCs w:val="20"/>
                <w:lang w:eastAsia="en-AU"/>
              </w:rPr>
              <w:t>0%</w:t>
            </w:r>
          </w:p>
        </w:tc>
        <w:tc>
          <w:tcPr>
            <w:tcW w:w="1560" w:type="dxa"/>
            <w:shd w:val="clear" w:color="auto" w:fill="FFF2CC" w:themeFill="accent4" w:themeFillTint="33"/>
            <w:vAlign w:val="bottom"/>
          </w:tcPr>
          <w:p w14:paraId="0FA0B817" w14:textId="77777777" w:rsidR="006F0DAE" w:rsidRPr="00226937" w:rsidRDefault="006F0DAE" w:rsidP="001867AD">
            <w:pPr>
              <w:spacing w:after="0" w:line="240" w:lineRule="auto"/>
              <w:jc w:val="right"/>
              <w:rPr>
                <w:rFonts w:eastAsia="Times New Roman" w:cs="Calibri"/>
                <w:b/>
                <w:bCs/>
                <w:color w:val="000000"/>
                <w:sz w:val="20"/>
                <w:szCs w:val="20"/>
                <w:lang w:eastAsia="en-AU"/>
              </w:rPr>
            </w:pPr>
            <w:r w:rsidRPr="00226937">
              <w:rPr>
                <w:rFonts w:eastAsia="Times New Roman" w:cs="Calibri"/>
                <w:b/>
                <w:bCs/>
                <w:color w:val="000000"/>
                <w:sz w:val="20"/>
                <w:szCs w:val="20"/>
                <w:lang w:eastAsia="en-AU"/>
              </w:rPr>
              <w:t>3%</w:t>
            </w:r>
          </w:p>
        </w:tc>
        <w:tc>
          <w:tcPr>
            <w:tcW w:w="1134" w:type="dxa"/>
            <w:shd w:val="clear" w:color="auto" w:fill="FBE4D5" w:themeFill="accent2" w:themeFillTint="33"/>
            <w:noWrap/>
            <w:vAlign w:val="bottom"/>
            <w:hideMark/>
          </w:tcPr>
          <w:p w14:paraId="23C3003B" w14:textId="77777777" w:rsidR="006F0DAE" w:rsidRPr="00226937" w:rsidRDefault="006F0DAE" w:rsidP="001867AD">
            <w:pPr>
              <w:spacing w:after="0" w:line="240" w:lineRule="auto"/>
              <w:jc w:val="right"/>
              <w:rPr>
                <w:rFonts w:eastAsia="Times New Roman" w:cs="Calibri"/>
                <w:b/>
                <w:bCs/>
                <w:color w:val="000000"/>
                <w:sz w:val="20"/>
                <w:szCs w:val="20"/>
                <w:lang w:eastAsia="en-AU"/>
              </w:rPr>
            </w:pPr>
            <w:r w:rsidRPr="00226937">
              <w:rPr>
                <w:rFonts w:eastAsia="Times New Roman" w:cs="Calibri"/>
                <w:b/>
                <w:bCs/>
                <w:color w:val="000000"/>
                <w:sz w:val="20"/>
                <w:szCs w:val="20"/>
                <w:lang w:eastAsia="en-AU"/>
              </w:rPr>
              <w:t>6%</w:t>
            </w:r>
          </w:p>
        </w:tc>
      </w:tr>
      <w:tr w:rsidR="006F0DAE" w:rsidRPr="00EA3458" w14:paraId="220C2444" w14:textId="77777777" w:rsidTr="00CE03C3">
        <w:trPr>
          <w:trHeight w:val="294"/>
        </w:trPr>
        <w:tc>
          <w:tcPr>
            <w:tcW w:w="1435" w:type="dxa"/>
            <w:shd w:val="clear" w:color="auto" w:fill="DEEAF6" w:themeFill="accent5" w:themeFillTint="33"/>
            <w:noWrap/>
            <w:vAlign w:val="bottom"/>
            <w:hideMark/>
          </w:tcPr>
          <w:p w14:paraId="330C569D" w14:textId="77777777" w:rsidR="006F0DAE" w:rsidRPr="00226937" w:rsidRDefault="006F0DAE" w:rsidP="00DA0E77">
            <w:pPr>
              <w:spacing w:after="0" w:line="240" w:lineRule="auto"/>
              <w:rPr>
                <w:rFonts w:eastAsia="Times New Roman" w:cs="Calibri"/>
                <w:color w:val="000000"/>
                <w:sz w:val="20"/>
                <w:szCs w:val="20"/>
                <w:lang w:eastAsia="en-AU"/>
              </w:rPr>
            </w:pPr>
            <w:r w:rsidRPr="00226937">
              <w:rPr>
                <w:rFonts w:eastAsia="Times New Roman" w:cs="Calibri"/>
                <w:color w:val="000000"/>
                <w:sz w:val="20"/>
                <w:szCs w:val="20"/>
                <w:lang w:eastAsia="en-AU"/>
              </w:rPr>
              <w:t>Health service</w:t>
            </w:r>
          </w:p>
        </w:tc>
        <w:tc>
          <w:tcPr>
            <w:tcW w:w="1570" w:type="dxa"/>
            <w:shd w:val="clear" w:color="auto" w:fill="auto"/>
            <w:noWrap/>
            <w:vAlign w:val="bottom"/>
            <w:hideMark/>
          </w:tcPr>
          <w:p w14:paraId="7B639F3F" w14:textId="77777777" w:rsidR="006F0DAE" w:rsidRPr="00226937" w:rsidRDefault="006F0DAE" w:rsidP="001867AD">
            <w:pPr>
              <w:spacing w:after="0" w:line="240" w:lineRule="auto"/>
              <w:jc w:val="right"/>
              <w:rPr>
                <w:rFonts w:eastAsia="Times New Roman" w:cs="Calibri"/>
                <w:color w:val="000000"/>
                <w:sz w:val="20"/>
                <w:szCs w:val="20"/>
                <w:lang w:eastAsia="en-AU"/>
              </w:rPr>
            </w:pPr>
            <w:r w:rsidRPr="00226937">
              <w:rPr>
                <w:rFonts w:eastAsia="Times New Roman" w:cs="Calibri"/>
                <w:color w:val="000000"/>
                <w:sz w:val="20"/>
                <w:szCs w:val="20"/>
                <w:lang w:eastAsia="en-AU"/>
              </w:rPr>
              <w:t>1%</w:t>
            </w:r>
          </w:p>
        </w:tc>
        <w:tc>
          <w:tcPr>
            <w:tcW w:w="1243" w:type="dxa"/>
            <w:shd w:val="clear" w:color="auto" w:fill="auto"/>
            <w:noWrap/>
            <w:vAlign w:val="bottom"/>
            <w:hideMark/>
          </w:tcPr>
          <w:p w14:paraId="37E12867" w14:textId="77777777" w:rsidR="006F0DAE" w:rsidRPr="00226937" w:rsidRDefault="006F0DAE" w:rsidP="001867AD">
            <w:pPr>
              <w:spacing w:after="0" w:line="240" w:lineRule="auto"/>
              <w:jc w:val="right"/>
              <w:rPr>
                <w:rFonts w:eastAsia="Times New Roman" w:cs="Calibri"/>
                <w:color w:val="000000"/>
                <w:sz w:val="20"/>
                <w:szCs w:val="20"/>
                <w:lang w:eastAsia="en-AU"/>
              </w:rPr>
            </w:pPr>
            <w:r w:rsidRPr="00226937">
              <w:rPr>
                <w:rFonts w:eastAsia="Times New Roman" w:cs="Calibri"/>
                <w:color w:val="000000"/>
                <w:sz w:val="20"/>
                <w:szCs w:val="20"/>
                <w:lang w:eastAsia="en-AU"/>
              </w:rPr>
              <w:t>2%</w:t>
            </w:r>
          </w:p>
        </w:tc>
        <w:tc>
          <w:tcPr>
            <w:tcW w:w="1559" w:type="dxa"/>
            <w:shd w:val="clear" w:color="auto" w:fill="auto"/>
            <w:noWrap/>
            <w:vAlign w:val="bottom"/>
            <w:hideMark/>
          </w:tcPr>
          <w:p w14:paraId="53D7BC47" w14:textId="77777777" w:rsidR="006F0DAE" w:rsidRPr="00226937" w:rsidRDefault="006F0DAE" w:rsidP="001867AD">
            <w:pPr>
              <w:spacing w:after="0" w:line="240" w:lineRule="auto"/>
              <w:jc w:val="right"/>
              <w:rPr>
                <w:rFonts w:eastAsia="Times New Roman" w:cs="Calibri"/>
                <w:color w:val="000000"/>
                <w:sz w:val="20"/>
                <w:szCs w:val="20"/>
                <w:lang w:eastAsia="en-AU"/>
              </w:rPr>
            </w:pPr>
            <w:r w:rsidRPr="00226937">
              <w:rPr>
                <w:rFonts w:eastAsia="Times New Roman" w:cs="Calibri"/>
                <w:color w:val="000000"/>
                <w:sz w:val="20"/>
                <w:szCs w:val="20"/>
                <w:lang w:eastAsia="en-AU"/>
              </w:rPr>
              <w:t>18%</w:t>
            </w:r>
          </w:p>
        </w:tc>
        <w:tc>
          <w:tcPr>
            <w:tcW w:w="1559" w:type="dxa"/>
            <w:shd w:val="clear" w:color="auto" w:fill="auto"/>
            <w:noWrap/>
            <w:vAlign w:val="bottom"/>
            <w:hideMark/>
          </w:tcPr>
          <w:p w14:paraId="165EC6DD" w14:textId="77777777" w:rsidR="006F0DAE" w:rsidRPr="00226937" w:rsidRDefault="006F0DAE" w:rsidP="001867AD">
            <w:pPr>
              <w:spacing w:after="0" w:line="240" w:lineRule="auto"/>
              <w:jc w:val="right"/>
              <w:rPr>
                <w:rFonts w:eastAsia="Times New Roman" w:cs="Calibri"/>
                <w:color w:val="000000"/>
                <w:sz w:val="20"/>
                <w:szCs w:val="20"/>
                <w:lang w:eastAsia="en-AU"/>
              </w:rPr>
            </w:pPr>
            <w:r w:rsidRPr="00226937">
              <w:rPr>
                <w:rFonts w:eastAsia="Times New Roman" w:cs="Calibri"/>
                <w:color w:val="000000"/>
                <w:sz w:val="20"/>
                <w:szCs w:val="20"/>
                <w:lang w:eastAsia="en-AU"/>
              </w:rPr>
              <w:t>0%</w:t>
            </w:r>
          </w:p>
        </w:tc>
        <w:tc>
          <w:tcPr>
            <w:tcW w:w="1560" w:type="dxa"/>
            <w:shd w:val="clear" w:color="auto" w:fill="FFF2CC" w:themeFill="accent4" w:themeFillTint="33"/>
            <w:vAlign w:val="bottom"/>
          </w:tcPr>
          <w:p w14:paraId="4CFFC24F" w14:textId="77777777" w:rsidR="006F0DAE" w:rsidRPr="00226937" w:rsidRDefault="006F0DAE" w:rsidP="001867AD">
            <w:pPr>
              <w:spacing w:after="0" w:line="240" w:lineRule="auto"/>
              <w:jc w:val="right"/>
              <w:rPr>
                <w:rFonts w:eastAsia="Times New Roman" w:cs="Calibri"/>
                <w:b/>
                <w:bCs/>
                <w:color w:val="000000"/>
                <w:sz w:val="20"/>
                <w:szCs w:val="20"/>
                <w:lang w:eastAsia="en-AU"/>
              </w:rPr>
            </w:pPr>
            <w:r w:rsidRPr="00226937">
              <w:rPr>
                <w:rFonts w:eastAsia="Times New Roman" w:cs="Calibri"/>
                <w:b/>
                <w:bCs/>
                <w:color w:val="000000"/>
                <w:sz w:val="20"/>
                <w:szCs w:val="20"/>
                <w:lang w:eastAsia="en-AU"/>
              </w:rPr>
              <w:t>1%</w:t>
            </w:r>
          </w:p>
        </w:tc>
        <w:tc>
          <w:tcPr>
            <w:tcW w:w="1134" w:type="dxa"/>
            <w:shd w:val="clear" w:color="auto" w:fill="FBE4D5" w:themeFill="accent2" w:themeFillTint="33"/>
            <w:noWrap/>
            <w:vAlign w:val="bottom"/>
            <w:hideMark/>
          </w:tcPr>
          <w:p w14:paraId="0ACE291E" w14:textId="77777777" w:rsidR="006F0DAE" w:rsidRPr="00226937" w:rsidRDefault="006F0DAE" w:rsidP="001867AD">
            <w:pPr>
              <w:spacing w:after="0" w:line="240" w:lineRule="auto"/>
              <w:jc w:val="right"/>
              <w:rPr>
                <w:rFonts w:eastAsia="Times New Roman" w:cs="Calibri"/>
                <w:b/>
                <w:bCs/>
                <w:color w:val="000000"/>
                <w:sz w:val="20"/>
                <w:szCs w:val="20"/>
                <w:lang w:eastAsia="en-AU"/>
              </w:rPr>
            </w:pPr>
            <w:r w:rsidRPr="00226937">
              <w:rPr>
                <w:rFonts w:eastAsia="Times New Roman" w:cs="Calibri"/>
                <w:b/>
                <w:bCs/>
                <w:color w:val="000000"/>
                <w:sz w:val="20"/>
                <w:szCs w:val="20"/>
                <w:lang w:eastAsia="en-AU"/>
              </w:rPr>
              <w:t>5%</w:t>
            </w:r>
          </w:p>
        </w:tc>
      </w:tr>
      <w:tr w:rsidR="006F0DAE" w:rsidRPr="00EA3458" w14:paraId="2D752D3B" w14:textId="77777777" w:rsidTr="00CE03C3">
        <w:trPr>
          <w:trHeight w:val="294"/>
        </w:trPr>
        <w:tc>
          <w:tcPr>
            <w:tcW w:w="1435" w:type="dxa"/>
            <w:shd w:val="clear" w:color="auto" w:fill="DEEAF6" w:themeFill="accent5" w:themeFillTint="33"/>
            <w:noWrap/>
            <w:vAlign w:val="bottom"/>
            <w:hideMark/>
          </w:tcPr>
          <w:p w14:paraId="46D7F94D" w14:textId="77777777" w:rsidR="006F0DAE" w:rsidRPr="00226937" w:rsidRDefault="006F0DAE" w:rsidP="00DA0E77">
            <w:pPr>
              <w:spacing w:after="0" w:line="240" w:lineRule="auto"/>
              <w:rPr>
                <w:rFonts w:eastAsia="Times New Roman" w:cs="Calibri"/>
                <w:color w:val="000000"/>
                <w:sz w:val="20"/>
                <w:szCs w:val="20"/>
                <w:lang w:eastAsia="en-AU"/>
              </w:rPr>
            </w:pPr>
            <w:r w:rsidRPr="00226937">
              <w:rPr>
                <w:rFonts w:eastAsia="Times New Roman" w:cs="Calibri"/>
                <w:color w:val="000000"/>
                <w:sz w:val="20"/>
                <w:szCs w:val="20"/>
                <w:lang w:eastAsia="en-AU"/>
              </w:rPr>
              <w:t>Medical centre</w:t>
            </w:r>
          </w:p>
        </w:tc>
        <w:tc>
          <w:tcPr>
            <w:tcW w:w="1570" w:type="dxa"/>
            <w:shd w:val="clear" w:color="auto" w:fill="auto"/>
            <w:noWrap/>
            <w:vAlign w:val="bottom"/>
            <w:hideMark/>
          </w:tcPr>
          <w:p w14:paraId="6683EC71" w14:textId="77777777" w:rsidR="006F0DAE" w:rsidRPr="00226937" w:rsidRDefault="006F0DAE" w:rsidP="001867AD">
            <w:pPr>
              <w:spacing w:after="0" w:line="240" w:lineRule="auto"/>
              <w:jc w:val="right"/>
              <w:rPr>
                <w:rFonts w:eastAsia="Times New Roman" w:cs="Calibri"/>
                <w:color w:val="000000"/>
                <w:sz w:val="20"/>
                <w:szCs w:val="20"/>
                <w:lang w:eastAsia="en-AU"/>
              </w:rPr>
            </w:pPr>
            <w:r w:rsidRPr="00226937">
              <w:rPr>
                <w:rFonts w:eastAsia="Times New Roman" w:cs="Calibri"/>
                <w:color w:val="000000"/>
                <w:sz w:val="20"/>
                <w:szCs w:val="20"/>
                <w:lang w:eastAsia="en-AU"/>
              </w:rPr>
              <w:t>1%</w:t>
            </w:r>
          </w:p>
        </w:tc>
        <w:tc>
          <w:tcPr>
            <w:tcW w:w="1243" w:type="dxa"/>
            <w:shd w:val="clear" w:color="auto" w:fill="auto"/>
            <w:noWrap/>
            <w:vAlign w:val="bottom"/>
            <w:hideMark/>
          </w:tcPr>
          <w:p w14:paraId="6E129359" w14:textId="77777777" w:rsidR="006F0DAE" w:rsidRPr="00226937" w:rsidRDefault="006F0DAE" w:rsidP="001867AD">
            <w:pPr>
              <w:spacing w:after="0" w:line="240" w:lineRule="auto"/>
              <w:jc w:val="right"/>
              <w:rPr>
                <w:rFonts w:eastAsia="Times New Roman" w:cs="Calibri"/>
                <w:color w:val="000000"/>
                <w:sz w:val="20"/>
                <w:szCs w:val="20"/>
                <w:lang w:eastAsia="en-AU"/>
              </w:rPr>
            </w:pPr>
            <w:r w:rsidRPr="00226937">
              <w:rPr>
                <w:rFonts w:eastAsia="Times New Roman" w:cs="Calibri"/>
                <w:color w:val="000000"/>
                <w:sz w:val="20"/>
                <w:szCs w:val="20"/>
                <w:lang w:eastAsia="en-AU"/>
              </w:rPr>
              <w:t>1%</w:t>
            </w:r>
          </w:p>
        </w:tc>
        <w:tc>
          <w:tcPr>
            <w:tcW w:w="1559" w:type="dxa"/>
            <w:shd w:val="clear" w:color="auto" w:fill="auto"/>
            <w:noWrap/>
            <w:vAlign w:val="bottom"/>
            <w:hideMark/>
          </w:tcPr>
          <w:p w14:paraId="59ABB78A" w14:textId="77777777" w:rsidR="006F0DAE" w:rsidRPr="00226937" w:rsidRDefault="006F0DAE" w:rsidP="001867AD">
            <w:pPr>
              <w:spacing w:after="0" w:line="240" w:lineRule="auto"/>
              <w:jc w:val="right"/>
              <w:rPr>
                <w:rFonts w:eastAsia="Times New Roman" w:cs="Calibri"/>
                <w:color w:val="000000"/>
                <w:sz w:val="20"/>
                <w:szCs w:val="20"/>
                <w:lang w:eastAsia="en-AU"/>
              </w:rPr>
            </w:pPr>
            <w:r w:rsidRPr="00226937">
              <w:rPr>
                <w:rFonts w:eastAsia="Times New Roman" w:cs="Calibri"/>
                <w:color w:val="000000"/>
                <w:sz w:val="20"/>
                <w:szCs w:val="20"/>
                <w:lang w:eastAsia="en-AU"/>
              </w:rPr>
              <w:t>5%</w:t>
            </w:r>
          </w:p>
        </w:tc>
        <w:tc>
          <w:tcPr>
            <w:tcW w:w="1559" w:type="dxa"/>
            <w:shd w:val="clear" w:color="auto" w:fill="auto"/>
            <w:noWrap/>
            <w:vAlign w:val="bottom"/>
            <w:hideMark/>
          </w:tcPr>
          <w:p w14:paraId="2BAD0CDD" w14:textId="77777777" w:rsidR="006F0DAE" w:rsidRPr="00226937" w:rsidRDefault="006F0DAE" w:rsidP="001867AD">
            <w:pPr>
              <w:spacing w:after="0" w:line="240" w:lineRule="auto"/>
              <w:jc w:val="right"/>
              <w:rPr>
                <w:rFonts w:eastAsia="Times New Roman" w:cs="Calibri"/>
                <w:color w:val="000000"/>
                <w:sz w:val="20"/>
                <w:szCs w:val="20"/>
                <w:lang w:eastAsia="en-AU"/>
              </w:rPr>
            </w:pPr>
            <w:r w:rsidRPr="00226937">
              <w:rPr>
                <w:rFonts w:eastAsia="Times New Roman" w:cs="Calibri"/>
                <w:color w:val="000000"/>
                <w:sz w:val="20"/>
                <w:szCs w:val="20"/>
                <w:lang w:eastAsia="en-AU"/>
              </w:rPr>
              <w:t>5%</w:t>
            </w:r>
          </w:p>
        </w:tc>
        <w:tc>
          <w:tcPr>
            <w:tcW w:w="1560" w:type="dxa"/>
            <w:shd w:val="clear" w:color="auto" w:fill="FFF2CC" w:themeFill="accent4" w:themeFillTint="33"/>
            <w:vAlign w:val="bottom"/>
          </w:tcPr>
          <w:p w14:paraId="28D34B0F" w14:textId="77777777" w:rsidR="006F0DAE" w:rsidRPr="00226937" w:rsidRDefault="006F0DAE" w:rsidP="001867AD">
            <w:pPr>
              <w:spacing w:after="0" w:line="240" w:lineRule="auto"/>
              <w:jc w:val="right"/>
              <w:rPr>
                <w:rFonts w:eastAsia="Times New Roman" w:cs="Calibri"/>
                <w:b/>
                <w:bCs/>
                <w:color w:val="000000"/>
                <w:sz w:val="20"/>
                <w:szCs w:val="20"/>
                <w:lang w:eastAsia="en-AU"/>
              </w:rPr>
            </w:pPr>
            <w:r w:rsidRPr="00226937">
              <w:rPr>
                <w:rFonts w:eastAsia="Times New Roman" w:cs="Calibri"/>
                <w:b/>
                <w:bCs/>
                <w:color w:val="000000"/>
                <w:sz w:val="20"/>
                <w:szCs w:val="20"/>
                <w:lang w:eastAsia="en-AU"/>
              </w:rPr>
              <w:t>1%</w:t>
            </w:r>
          </w:p>
        </w:tc>
        <w:tc>
          <w:tcPr>
            <w:tcW w:w="1134" w:type="dxa"/>
            <w:shd w:val="clear" w:color="auto" w:fill="FBE4D5" w:themeFill="accent2" w:themeFillTint="33"/>
            <w:noWrap/>
            <w:vAlign w:val="bottom"/>
            <w:hideMark/>
          </w:tcPr>
          <w:p w14:paraId="4CF350F2" w14:textId="77777777" w:rsidR="006F0DAE" w:rsidRPr="00226937" w:rsidRDefault="006F0DAE" w:rsidP="001867AD">
            <w:pPr>
              <w:spacing w:after="0" w:line="240" w:lineRule="auto"/>
              <w:jc w:val="right"/>
              <w:rPr>
                <w:rFonts w:eastAsia="Times New Roman" w:cs="Calibri"/>
                <w:b/>
                <w:bCs/>
                <w:color w:val="000000"/>
                <w:sz w:val="20"/>
                <w:szCs w:val="20"/>
                <w:lang w:eastAsia="en-AU"/>
              </w:rPr>
            </w:pPr>
            <w:r w:rsidRPr="00226937">
              <w:rPr>
                <w:rFonts w:eastAsia="Times New Roman" w:cs="Calibri"/>
                <w:b/>
                <w:bCs/>
                <w:color w:val="000000"/>
                <w:sz w:val="20"/>
                <w:szCs w:val="20"/>
                <w:lang w:eastAsia="en-AU"/>
              </w:rPr>
              <w:t>2%</w:t>
            </w:r>
          </w:p>
        </w:tc>
      </w:tr>
      <w:tr w:rsidR="006F0DAE" w:rsidRPr="00EA3458" w14:paraId="7614B0B3" w14:textId="77777777" w:rsidTr="00CE03C3">
        <w:trPr>
          <w:trHeight w:val="294"/>
        </w:trPr>
        <w:tc>
          <w:tcPr>
            <w:tcW w:w="1435" w:type="dxa"/>
            <w:shd w:val="clear" w:color="auto" w:fill="DEEAF6" w:themeFill="accent5" w:themeFillTint="33"/>
            <w:noWrap/>
            <w:vAlign w:val="bottom"/>
            <w:hideMark/>
          </w:tcPr>
          <w:p w14:paraId="0354F7B2" w14:textId="77777777" w:rsidR="006F0DAE" w:rsidRPr="00226937" w:rsidRDefault="006F0DAE" w:rsidP="00DA0E77">
            <w:pPr>
              <w:spacing w:after="0" w:line="240" w:lineRule="auto"/>
              <w:rPr>
                <w:rFonts w:eastAsia="Times New Roman" w:cs="Calibri"/>
                <w:color w:val="000000"/>
                <w:sz w:val="20"/>
                <w:szCs w:val="20"/>
                <w:lang w:eastAsia="en-AU"/>
              </w:rPr>
            </w:pPr>
            <w:r w:rsidRPr="00226937">
              <w:rPr>
                <w:rFonts w:eastAsia="Times New Roman" w:cs="Calibri"/>
                <w:color w:val="000000"/>
                <w:sz w:val="20"/>
                <w:szCs w:val="20"/>
                <w:lang w:eastAsia="en-AU"/>
              </w:rPr>
              <w:t>Community Pharmacy</w:t>
            </w:r>
          </w:p>
        </w:tc>
        <w:tc>
          <w:tcPr>
            <w:tcW w:w="1570" w:type="dxa"/>
            <w:shd w:val="clear" w:color="auto" w:fill="auto"/>
            <w:noWrap/>
            <w:vAlign w:val="bottom"/>
            <w:hideMark/>
          </w:tcPr>
          <w:p w14:paraId="6DAF112C" w14:textId="77777777" w:rsidR="006F0DAE" w:rsidRPr="00226937" w:rsidRDefault="006F0DAE" w:rsidP="001867AD">
            <w:pPr>
              <w:spacing w:after="0" w:line="240" w:lineRule="auto"/>
              <w:jc w:val="right"/>
              <w:rPr>
                <w:rFonts w:eastAsia="Times New Roman" w:cs="Calibri"/>
                <w:color w:val="000000"/>
                <w:sz w:val="20"/>
                <w:szCs w:val="20"/>
                <w:lang w:eastAsia="en-AU"/>
              </w:rPr>
            </w:pPr>
            <w:r w:rsidRPr="00226937">
              <w:rPr>
                <w:rFonts w:eastAsia="Times New Roman" w:cs="Calibri"/>
                <w:color w:val="000000"/>
                <w:sz w:val="20"/>
                <w:szCs w:val="20"/>
                <w:lang w:eastAsia="en-AU"/>
              </w:rPr>
              <w:t>87%</w:t>
            </w:r>
          </w:p>
        </w:tc>
        <w:tc>
          <w:tcPr>
            <w:tcW w:w="1243" w:type="dxa"/>
            <w:shd w:val="clear" w:color="auto" w:fill="auto"/>
            <w:noWrap/>
            <w:vAlign w:val="bottom"/>
            <w:hideMark/>
          </w:tcPr>
          <w:p w14:paraId="7032B6F3" w14:textId="77777777" w:rsidR="006F0DAE" w:rsidRPr="00226937" w:rsidRDefault="006F0DAE" w:rsidP="001867AD">
            <w:pPr>
              <w:spacing w:after="0" w:line="240" w:lineRule="auto"/>
              <w:jc w:val="right"/>
              <w:rPr>
                <w:rFonts w:eastAsia="Times New Roman" w:cs="Calibri"/>
                <w:color w:val="000000"/>
                <w:sz w:val="20"/>
                <w:szCs w:val="20"/>
                <w:lang w:eastAsia="en-AU"/>
              </w:rPr>
            </w:pPr>
            <w:r w:rsidRPr="00226937">
              <w:rPr>
                <w:rFonts w:eastAsia="Times New Roman" w:cs="Calibri"/>
                <w:color w:val="000000"/>
                <w:sz w:val="20"/>
                <w:szCs w:val="20"/>
                <w:lang w:eastAsia="en-AU"/>
              </w:rPr>
              <w:t>77%</w:t>
            </w:r>
          </w:p>
        </w:tc>
        <w:tc>
          <w:tcPr>
            <w:tcW w:w="1559" w:type="dxa"/>
            <w:shd w:val="clear" w:color="auto" w:fill="auto"/>
            <w:noWrap/>
            <w:vAlign w:val="bottom"/>
            <w:hideMark/>
          </w:tcPr>
          <w:p w14:paraId="64A183AF" w14:textId="77777777" w:rsidR="006F0DAE" w:rsidRPr="00226937" w:rsidRDefault="006F0DAE" w:rsidP="001867AD">
            <w:pPr>
              <w:spacing w:after="0" w:line="240" w:lineRule="auto"/>
              <w:jc w:val="right"/>
              <w:rPr>
                <w:rFonts w:eastAsia="Times New Roman" w:cs="Calibri"/>
                <w:color w:val="000000"/>
                <w:sz w:val="20"/>
                <w:szCs w:val="20"/>
                <w:lang w:eastAsia="en-AU"/>
              </w:rPr>
            </w:pPr>
            <w:r w:rsidRPr="00226937">
              <w:rPr>
                <w:rFonts w:eastAsia="Times New Roman" w:cs="Calibri"/>
                <w:color w:val="000000"/>
                <w:sz w:val="20"/>
                <w:szCs w:val="20"/>
                <w:lang w:eastAsia="en-AU"/>
              </w:rPr>
              <w:t>29%</w:t>
            </w:r>
          </w:p>
        </w:tc>
        <w:tc>
          <w:tcPr>
            <w:tcW w:w="1559" w:type="dxa"/>
            <w:shd w:val="clear" w:color="auto" w:fill="auto"/>
            <w:noWrap/>
            <w:vAlign w:val="bottom"/>
            <w:hideMark/>
          </w:tcPr>
          <w:p w14:paraId="2345B0B6" w14:textId="77777777" w:rsidR="006F0DAE" w:rsidRPr="00226937" w:rsidRDefault="006F0DAE" w:rsidP="001867AD">
            <w:pPr>
              <w:spacing w:after="0" w:line="240" w:lineRule="auto"/>
              <w:jc w:val="right"/>
              <w:rPr>
                <w:rFonts w:eastAsia="Times New Roman" w:cs="Calibri"/>
                <w:color w:val="000000"/>
                <w:sz w:val="20"/>
                <w:szCs w:val="20"/>
                <w:lang w:eastAsia="en-AU"/>
              </w:rPr>
            </w:pPr>
            <w:r w:rsidRPr="00226937">
              <w:rPr>
                <w:rFonts w:eastAsia="Times New Roman" w:cs="Calibri"/>
                <w:color w:val="000000"/>
                <w:sz w:val="20"/>
                <w:szCs w:val="20"/>
                <w:lang w:eastAsia="en-AU"/>
              </w:rPr>
              <w:t>78%</w:t>
            </w:r>
          </w:p>
        </w:tc>
        <w:tc>
          <w:tcPr>
            <w:tcW w:w="1560" w:type="dxa"/>
            <w:shd w:val="clear" w:color="auto" w:fill="FFF2CC" w:themeFill="accent4" w:themeFillTint="33"/>
            <w:vAlign w:val="bottom"/>
          </w:tcPr>
          <w:p w14:paraId="4398EB51" w14:textId="77777777" w:rsidR="006F0DAE" w:rsidRPr="00226937" w:rsidRDefault="006F0DAE" w:rsidP="001867AD">
            <w:pPr>
              <w:spacing w:after="0" w:line="240" w:lineRule="auto"/>
              <w:jc w:val="right"/>
              <w:rPr>
                <w:rFonts w:eastAsia="Times New Roman" w:cs="Calibri"/>
                <w:b/>
                <w:bCs/>
                <w:color w:val="000000"/>
                <w:sz w:val="20"/>
                <w:szCs w:val="20"/>
                <w:lang w:eastAsia="en-AU"/>
              </w:rPr>
            </w:pPr>
            <w:r w:rsidRPr="00226937">
              <w:rPr>
                <w:rFonts w:eastAsia="Times New Roman" w:cs="Calibri"/>
                <w:b/>
                <w:bCs/>
                <w:color w:val="000000"/>
                <w:sz w:val="20"/>
                <w:szCs w:val="20"/>
                <w:lang w:eastAsia="en-AU"/>
              </w:rPr>
              <w:t>80%</w:t>
            </w:r>
          </w:p>
        </w:tc>
        <w:tc>
          <w:tcPr>
            <w:tcW w:w="1134" w:type="dxa"/>
            <w:shd w:val="clear" w:color="auto" w:fill="FBE4D5" w:themeFill="accent2" w:themeFillTint="33"/>
            <w:noWrap/>
            <w:vAlign w:val="bottom"/>
            <w:hideMark/>
          </w:tcPr>
          <w:p w14:paraId="5C885AEA" w14:textId="77777777" w:rsidR="006F0DAE" w:rsidRPr="00226937" w:rsidRDefault="006F0DAE" w:rsidP="001867AD">
            <w:pPr>
              <w:spacing w:after="0" w:line="240" w:lineRule="auto"/>
              <w:jc w:val="right"/>
              <w:rPr>
                <w:rFonts w:eastAsia="Times New Roman" w:cs="Calibri"/>
                <w:b/>
                <w:bCs/>
                <w:color w:val="000000"/>
                <w:sz w:val="20"/>
                <w:szCs w:val="20"/>
                <w:lang w:eastAsia="en-AU"/>
              </w:rPr>
            </w:pPr>
            <w:r w:rsidRPr="00226937">
              <w:rPr>
                <w:rFonts w:eastAsia="Times New Roman" w:cs="Calibri"/>
                <w:b/>
                <w:bCs/>
                <w:color w:val="000000"/>
                <w:sz w:val="20"/>
                <w:szCs w:val="20"/>
                <w:lang w:eastAsia="en-AU"/>
              </w:rPr>
              <w:t>69%</w:t>
            </w:r>
          </w:p>
        </w:tc>
      </w:tr>
      <w:tr w:rsidR="006F0DAE" w:rsidRPr="00EA3458" w14:paraId="170B0159" w14:textId="77777777" w:rsidTr="00CE03C3">
        <w:trPr>
          <w:trHeight w:val="294"/>
        </w:trPr>
        <w:tc>
          <w:tcPr>
            <w:tcW w:w="1435" w:type="dxa"/>
            <w:shd w:val="clear" w:color="auto" w:fill="DEEAF6" w:themeFill="accent5" w:themeFillTint="33"/>
            <w:noWrap/>
            <w:vAlign w:val="bottom"/>
            <w:hideMark/>
          </w:tcPr>
          <w:p w14:paraId="12CBC03C" w14:textId="77777777" w:rsidR="006F0DAE" w:rsidRPr="00226937" w:rsidRDefault="006F0DAE" w:rsidP="00DA0E77">
            <w:pPr>
              <w:spacing w:after="0" w:line="240" w:lineRule="auto"/>
              <w:rPr>
                <w:rFonts w:eastAsia="Times New Roman" w:cs="Calibri"/>
                <w:color w:val="000000"/>
                <w:sz w:val="20"/>
                <w:szCs w:val="20"/>
                <w:lang w:eastAsia="en-AU"/>
              </w:rPr>
            </w:pPr>
            <w:r w:rsidRPr="00226937">
              <w:rPr>
                <w:rFonts w:eastAsia="Times New Roman" w:cs="Calibri"/>
                <w:color w:val="000000"/>
                <w:sz w:val="20"/>
                <w:szCs w:val="20"/>
                <w:lang w:eastAsia="en-AU"/>
              </w:rPr>
              <w:t>Private Hospital</w:t>
            </w:r>
          </w:p>
        </w:tc>
        <w:tc>
          <w:tcPr>
            <w:tcW w:w="1570" w:type="dxa"/>
            <w:shd w:val="clear" w:color="auto" w:fill="auto"/>
            <w:noWrap/>
            <w:vAlign w:val="bottom"/>
            <w:hideMark/>
          </w:tcPr>
          <w:p w14:paraId="2D9A855B" w14:textId="77777777" w:rsidR="006F0DAE" w:rsidRPr="00226937" w:rsidRDefault="006F0DAE" w:rsidP="001867AD">
            <w:pPr>
              <w:spacing w:after="0" w:line="240" w:lineRule="auto"/>
              <w:jc w:val="right"/>
              <w:rPr>
                <w:rFonts w:eastAsia="Times New Roman" w:cs="Calibri"/>
                <w:color w:val="000000"/>
                <w:sz w:val="20"/>
                <w:szCs w:val="20"/>
                <w:lang w:eastAsia="en-AU"/>
              </w:rPr>
            </w:pPr>
            <w:r w:rsidRPr="00226937">
              <w:rPr>
                <w:rFonts w:eastAsia="Times New Roman" w:cs="Calibri"/>
                <w:color w:val="000000"/>
                <w:sz w:val="20"/>
                <w:szCs w:val="20"/>
                <w:lang w:eastAsia="en-AU"/>
              </w:rPr>
              <w:t>1%</w:t>
            </w:r>
          </w:p>
        </w:tc>
        <w:tc>
          <w:tcPr>
            <w:tcW w:w="1243" w:type="dxa"/>
            <w:shd w:val="clear" w:color="auto" w:fill="auto"/>
            <w:noWrap/>
            <w:vAlign w:val="bottom"/>
            <w:hideMark/>
          </w:tcPr>
          <w:p w14:paraId="1BFAB972" w14:textId="77777777" w:rsidR="006F0DAE" w:rsidRPr="00226937" w:rsidRDefault="006F0DAE" w:rsidP="001867AD">
            <w:pPr>
              <w:spacing w:after="0" w:line="240" w:lineRule="auto"/>
              <w:jc w:val="right"/>
              <w:rPr>
                <w:rFonts w:eastAsia="Times New Roman" w:cs="Calibri"/>
                <w:color w:val="000000"/>
                <w:sz w:val="20"/>
                <w:szCs w:val="20"/>
                <w:lang w:eastAsia="en-AU"/>
              </w:rPr>
            </w:pPr>
            <w:r w:rsidRPr="00226937">
              <w:rPr>
                <w:rFonts w:eastAsia="Times New Roman" w:cs="Calibri"/>
                <w:color w:val="000000"/>
                <w:sz w:val="20"/>
                <w:szCs w:val="20"/>
                <w:lang w:eastAsia="en-AU"/>
              </w:rPr>
              <w:t>3%</w:t>
            </w:r>
          </w:p>
        </w:tc>
        <w:tc>
          <w:tcPr>
            <w:tcW w:w="1559" w:type="dxa"/>
            <w:shd w:val="clear" w:color="auto" w:fill="auto"/>
            <w:noWrap/>
            <w:vAlign w:val="bottom"/>
            <w:hideMark/>
          </w:tcPr>
          <w:p w14:paraId="7CA90587" w14:textId="77777777" w:rsidR="006F0DAE" w:rsidRPr="00226937" w:rsidRDefault="006F0DAE" w:rsidP="001867AD">
            <w:pPr>
              <w:spacing w:after="0" w:line="240" w:lineRule="auto"/>
              <w:jc w:val="right"/>
              <w:rPr>
                <w:rFonts w:eastAsia="Times New Roman" w:cs="Calibri"/>
                <w:color w:val="000000"/>
                <w:sz w:val="20"/>
                <w:szCs w:val="20"/>
                <w:lang w:eastAsia="en-AU"/>
              </w:rPr>
            </w:pPr>
            <w:r w:rsidRPr="00226937">
              <w:rPr>
                <w:rFonts w:eastAsia="Times New Roman" w:cs="Calibri"/>
                <w:color w:val="000000"/>
                <w:sz w:val="20"/>
                <w:szCs w:val="20"/>
                <w:lang w:eastAsia="en-AU"/>
              </w:rPr>
              <w:t>4%</w:t>
            </w:r>
          </w:p>
        </w:tc>
        <w:tc>
          <w:tcPr>
            <w:tcW w:w="1559" w:type="dxa"/>
            <w:shd w:val="clear" w:color="auto" w:fill="auto"/>
            <w:noWrap/>
            <w:vAlign w:val="bottom"/>
            <w:hideMark/>
          </w:tcPr>
          <w:p w14:paraId="7B46184E" w14:textId="77777777" w:rsidR="006F0DAE" w:rsidRPr="00226937" w:rsidRDefault="006F0DAE" w:rsidP="001867AD">
            <w:pPr>
              <w:spacing w:after="0" w:line="240" w:lineRule="auto"/>
              <w:jc w:val="right"/>
              <w:rPr>
                <w:rFonts w:eastAsia="Times New Roman" w:cs="Calibri"/>
                <w:color w:val="000000"/>
                <w:sz w:val="20"/>
                <w:szCs w:val="20"/>
                <w:lang w:eastAsia="en-AU"/>
              </w:rPr>
            </w:pPr>
            <w:r w:rsidRPr="00226937">
              <w:rPr>
                <w:rFonts w:eastAsia="Times New Roman" w:cs="Calibri"/>
                <w:color w:val="000000"/>
                <w:sz w:val="20"/>
                <w:szCs w:val="20"/>
                <w:lang w:eastAsia="en-AU"/>
              </w:rPr>
              <w:t>&gt;1%</w:t>
            </w:r>
          </w:p>
        </w:tc>
        <w:tc>
          <w:tcPr>
            <w:tcW w:w="1560" w:type="dxa"/>
            <w:shd w:val="clear" w:color="auto" w:fill="FFF2CC" w:themeFill="accent4" w:themeFillTint="33"/>
            <w:vAlign w:val="bottom"/>
          </w:tcPr>
          <w:p w14:paraId="4B1F69BD" w14:textId="77777777" w:rsidR="006F0DAE" w:rsidRPr="00226937" w:rsidRDefault="006F0DAE" w:rsidP="001867AD">
            <w:pPr>
              <w:spacing w:after="0" w:line="240" w:lineRule="auto"/>
              <w:jc w:val="right"/>
              <w:rPr>
                <w:rFonts w:eastAsia="Times New Roman" w:cs="Calibri"/>
                <w:b/>
                <w:bCs/>
                <w:color w:val="000000"/>
                <w:sz w:val="20"/>
                <w:szCs w:val="20"/>
                <w:lang w:eastAsia="en-AU"/>
              </w:rPr>
            </w:pPr>
            <w:r w:rsidRPr="00226937">
              <w:rPr>
                <w:rFonts w:eastAsia="Times New Roman" w:cs="Calibri"/>
                <w:b/>
                <w:bCs/>
                <w:color w:val="000000"/>
                <w:sz w:val="20"/>
                <w:szCs w:val="20"/>
                <w:lang w:eastAsia="en-AU"/>
              </w:rPr>
              <w:t>2%</w:t>
            </w:r>
          </w:p>
        </w:tc>
        <w:tc>
          <w:tcPr>
            <w:tcW w:w="1134" w:type="dxa"/>
            <w:shd w:val="clear" w:color="auto" w:fill="FBE4D5" w:themeFill="accent2" w:themeFillTint="33"/>
            <w:noWrap/>
            <w:vAlign w:val="bottom"/>
            <w:hideMark/>
          </w:tcPr>
          <w:p w14:paraId="0F2845D0" w14:textId="77777777" w:rsidR="006F0DAE" w:rsidRPr="00226937" w:rsidRDefault="006F0DAE" w:rsidP="001867AD">
            <w:pPr>
              <w:spacing w:after="0" w:line="240" w:lineRule="auto"/>
              <w:jc w:val="right"/>
              <w:rPr>
                <w:rFonts w:eastAsia="Times New Roman" w:cs="Calibri"/>
                <w:b/>
                <w:bCs/>
                <w:color w:val="000000"/>
                <w:sz w:val="20"/>
                <w:szCs w:val="20"/>
                <w:lang w:eastAsia="en-AU"/>
              </w:rPr>
            </w:pPr>
            <w:r w:rsidRPr="00226937">
              <w:rPr>
                <w:rFonts w:eastAsia="Times New Roman" w:cs="Calibri"/>
                <w:b/>
                <w:bCs/>
                <w:color w:val="000000"/>
                <w:sz w:val="20"/>
                <w:szCs w:val="20"/>
                <w:lang w:eastAsia="en-AU"/>
              </w:rPr>
              <w:t>3%</w:t>
            </w:r>
          </w:p>
        </w:tc>
      </w:tr>
      <w:tr w:rsidR="006F0DAE" w:rsidRPr="00EA3458" w14:paraId="4BC18603" w14:textId="77777777" w:rsidTr="00CE03C3">
        <w:trPr>
          <w:trHeight w:val="294"/>
        </w:trPr>
        <w:tc>
          <w:tcPr>
            <w:tcW w:w="1435" w:type="dxa"/>
            <w:shd w:val="clear" w:color="auto" w:fill="DEEAF6" w:themeFill="accent5" w:themeFillTint="33"/>
            <w:noWrap/>
            <w:vAlign w:val="bottom"/>
            <w:hideMark/>
          </w:tcPr>
          <w:p w14:paraId="1C3F836F" w14:textId="77777777" w:rsidR="006F0DAE" w:rsidRPr="00226937" w:rsidRDefault="006F0DAE" w:rsidP="00DA0E77">
            <w:pPr>
              <w:spacing w:after="0" w:line="240" w:lineRule="auto"/>
              <w:rPr>
                <w:rFonts w:eastAsia="Times New Roman" w:cs="Calibri"/>
                <w:color w:val="000000"/>
                <w:sz w:val="20"/>
                <w:szCs w:val="20"/>
                <w:lang w:eastAsia="en-AU"/>
              </w:rPr>
            </w:pPr>
            <w:r w:rsidRPr="00226937">
              <w:rPr>
                <w:rFonts w:eastAsia="Times New Roman" w:cs="Calibri"/>
                <w:color w:val="000000"/>
                <w:sz w:val="20"/>
                <w:szCs w:val="20"/>
                <w:lang w:eastAsia="en-AU"/>
              </w:rPr>
              <w:t>Public hospital</w:t>
            </w:r>
          </w:p>
        </w:tc>
        <w:tc>
          <w:tcPr>
            <w:tcW w:w="1570" w:type="dxa"/>
            <w:shd w:val="clear" w:color="auto" w:fill="auto"/>
            <w:noWrap/>
            <w:vAlign w:val="bottom"/>
            <w:hideMark/>
          </w:tcPr>
          <w:p w14:paraId="4BA1F378" w14:textId="77777777" w:rsidR="006F0DAE" w:rsidRPr="00226937" w:rsidRDefault="006F0DAE" w:rsidP="001867AD">
            <w:pPr>
              <w:spacing w:after="0" w:line="240" w:lineRule="auto"/>
              <w:jc w:val="right"/>
              <w:rPr>
                <w:rFonts w:eastAsia="Times New Roman" w:cs="Calibri"/>
                <w:color w:val="000000"/>
                <w:sz w:val="20"/>
                <w:szCs w:val="20"/>
                <w:lang w:eastAsia="en-AU"/>
              </w:rPr>
            </w:pPr>
            <w:r w:rsidRPr="00226937">
              <w:rPr>
                <w:rFonts w:eastAsia="Times New Roman" w:cs="Calibri"/>
                <w:color w:val="000000"/>
                <w:sz w:val="20"/>
                <w:szCs w:val="20"/>
                <w:lang w:eastAsia="en-AU"/>
              </w:rPr>
              <w:t>5%</w:t>
            </w:r>
          </w:p>
        </w:tc>
        <w:tc>
          <w:tcPr>
            <w:tcW w:w="1243" w:type="dxa"/>
            <w:shd w:val="clear" w:color="auto" w:fill="auto"/>
            <w:noWrap/>
            <w:vAlign w:val="bottom"/>
            <w:hideMark/>
          </w:tcPr>
          <w:p w14:paraId="1F061AA3" w14:textId="77777777" w:rsidR="006F0DAE" w:rsidRPr="00226937" w:rsidRDefault="006F0DAE" w:rsidP="001867AD">
            <w:pPr>
              <w:spacing w:after="0" w:line="240" w:lineRule="auto"/>
              <w:jc w:val="right"/>
              <w:rPr>
                <w:rFonts w:eastAsia="Times New Roman" w:cs="Calibri"/>
                <w:color w:val="000000"/>
                <w:sz w:val="20"/>
                <w:szCs w:val="20"/>
                <w:lang w:eastAsia="en-AU"/>
              </w:rPr>
            </w:pPr>
            <w:r w:rsidRPr="00226937">
              <w:rPr>
                <w:rFonts w:eastAsia="Times New Roman" w:cs="Calibri"/>
                <w:color w:val="000000"/>
                <w:sz w:val="20"/>
                <w:szCs w:val="20"/>
                <w:lang w:eastAsia="en-AU"/>
              </w:rPr>
              <w:t>3%</w:t>
            </w:r>
          </w:p>
        </w:tc>
        <w:tc>
          <w:tcPr>
            <w:tcW w:w="1559" w:type="dxa"/>
            <w:shd w:val="clear" w:color="auto" w:fill="auto"/>
            <w:noWrap/>
            <w:vAlign w:val="bottom"/>
            <w:hideMark/>
          </w:tcPr>
          <w:p w14:paraId="4838A31A" w14:textId="77777777" w:rsidR="006F0DAE" w:rsidRPr="00226937" w:rsidRDefault="006F0DAE" w:rsidP="001867AD">
            <w:pPr>
              <w:spacing w:after="0" w:line="240" w:lineRule="auto"/>
              <w:jc w:val="right"/>
              <w:rPr>
                <w:rFonts w:eastAsia="Times New Roman" w:cs="Calibri"/>
                <w:color w:val="000000"/>
                <w:sz w:val="20"/>
                <w:szCs w:val="20"/>
                <w:lang w:eastAsia="en-AU"/>
              </w:rPr>
            </w:pPr>
            <w:r w:rsidRPr="00226937">
              <w:rPr>
                <w:rFonts w:eastAsia="Times New Roman" w:cs="Calibri"/>
                <w:color w:val="000000"/>
                <w:sz w:val="20"/>
                <w:szCs w:val="20"/>
                <w:lang w:eastAsia="en-AU"/>
              </w:rPr>
              <w:t>19%</w:t>
            </w:r>
          </w:p>
        </w:tc>
        <w:tc>
          <w:tcPr>
            <w:tcW w:w="1559" w:type="dxa"/>
            <w:shd w:val="clear" w:color="auto" w:fill="auto"/>
            <w:noWrap/>
            <w:vAlign w:val="bottom"/>
            <w:hideMark/>
          </w:tcPr>
          <w:p w14:paraId="3FD5E5A7" w14:textId="77777777" w:rsidR="006F0DAE" w:rsidRPr="00226937" w:rsidRDefault="006F0DAE" w:rsidP="001867AD">
            <w:pPr>
              <w:spacing w:after="0" w:line="240" w:lineRule="auto"/>
              <w:jc w:val="right"/>
              <w:rPr>
                <w:rFonts w:eastAsia="Times New Roman" w:cs="Calibri"/>
                <w:color w:val="000000"/>
                <w:sz w:val="20"/>
                <w:szCs w:val="20"/>
                <w:lang w:eastAsia="en-AU"/>
              </w:rPr>
            </w:pPr>
            <w:r w:rsidRPr="00226937">
              <w:rPr>
                <w:rFonts w:eastAsia="Times New Roman" w:cs="Calibri"/>
                <w:color w:val="000000"/>
                <w:sz w:val="20"/>
                <w:szCs w:val="20"/>
                <w:lang w:eastAsia="en-AU"/>
              </w:rPr>
              <w:t>5%</w:t>
            </w:r>
          </w:p>
        </w:tc>
        <w:tc>
          <w:tcPr>
            <w:tcW w:w="1560" w:type="dxa"/>
            <w:shd w:val="clear" w:color="auto" w:fill="FFF2CC" w:themeFill="accent4" w:themeFillTint="33"/>
            <w:vAlign w:val="bottom"/>
          </w:tcPr>
          <w:p w14:paraId="0BD7FCE8" w14:textId="77777777" w:rsidR="006F0DAE" w:rsidRPr="00226937" w:rsidRDefault="006F0DAE" w:rsidP="001867AD">
            <w:pPr>
              <w:spacing w:after="0" w:line="240" w:lineRule="auto"/>
              <w:jc w:val="right"/>
              <w:rPr>
                <w:rFonts w:eastAsia="Times New Roman" w:cs="Calibri"/>
                <w:b/>
                <w:bCs/>
                <w:color w:val="000000"/>
                <w:sz w:val="20"/>
                <w:szCs w:val="20"/>
                <w:lang w:eastAsia="en-AU"/>
              </w:rPr>
            </w:pPr>
            <w:r w:rsidRPr="00226937">
              <w:rPr>
                <w:rFonts w:eastAsia="Times New Roman" w:cs="Calibri"/>
                <w:b/>
                <w:bCs/>
                <w:color w:val="000000"/>
                <w:sz w:val="20"/>
                <w:szCs w:val="20"/>
                <w:lang w:eastAsia="en-AU"/>
              </w:rPr>
              <w:t>4%</w:t>
            </w:r>
          </w:p>
        </w:tc>
        <w:tc>
          <w:tcPr>
            <w:tcW w:w="1134" w:type="dxa"/>
            <w:shd w:val="clear" w:color="auto" w:fill="FBE4D5" w:themeFill="accent2" w:themeFillTint="33"/>
            <w:noWrap/>
            <w:vAlign w:val="bottom"/>
            <w:hideMark/>
          </w:tcPr>
          <w:p w14:paraId="780DFD76" w14:textId="77777777" w:rsidR="006F0DAE" w:rsidRPr="00226937" w:rsidRDefault="006F0DAE" w:rsidP="001867AD">
            <w:pPr>
              <w:spacing w:after="0" w:line="240" w:lineRule="auto"/>
              <w:jc w:val="right"/>
              <w:rPr>
                <w:rFonts w:eastAsia="Times New Roman" w:cs="Calibri"/>
                <w:b/>
                <w:bCs/>
                <w:color w:val="000000"/>
                <w:sz w:val="20"/>
                <w:szCs w:val="20"/>
                <w:lang w:eastAsia="en-AU"/>
              </w:rPr>
            </w:pPr>
            <w:r w:rsidRPr="00226937">
              <w:rPr>
                <w:rFonts w:eastAsia="Times New Roman" w:cs="Calibri"/>
                <w:b/>
                <w:bCs/>
                <w:color w:val="000000"/>
                <w:sz w:val="20"/>
                <w:szCs w:val="20"/>
                <w:lang w:eastAsia="en-AU"/>
              </w:rPr>
              <w:t>7%</w:t>
            </w:r>
          </w:p>
        </w:tc>
      </w:tr>
      <w:tr w:rsidR="006F0DAE" w:rsidRPr="00EA3458" w14:paraId="52DCC710" w14:textId="77777777" w:rsidTr="00CE03C3">
        <w:trPr>
          <w:trHeight w:val="294"/>
        </w:trPr>
        <w:tc>
          <w:tcPr>
            <w:tcW w:w="1435" w:type="dxa"/>
            <w:shd w:val="clear" w:color="auto" w:fill="DEEAF6" w:themeFill="accent5" w:themeFillTint="33"/>
            <w:noWrap/>
            <w:vAlign w:val="bottom"/>
            <w:hideMark/>
          </w:tcPr>
          <w:p w14:paraId="5A3EFB87" w14:textId="77777777" w:rsidR="006F0DAE" w:rsidRPr="00226937" w:rsidRDefault="006F0DAE" w:rsidP="00DA0E77">
            <w:pPr>
              <w:spacing w:after="0" w:line="240" w:lineRule="auto"/>
              <w:rPr>
                <w:rFonts w:eastAsia="Times New Roman" w:cs="Calibri"/>
                <w:color w:val="000000"/>
                <w:sz w:val="20"/>
                <w:szCs w:val="20"/>
                <w:lang w:eastAsia="en-AU"/>
              </w:rPr>
            </w:pPr>
            <w:r w:rsidRPr="00226937">
              <w:rPr>
                <w:rFonts w:eastAsia="Times New Roman" w:cs="Calibri"/>
                <w:color w:val="000000"/>
                <w:sz w:val="20"/>
                <w:szCs w:val="20"/>
                <w:lang w:eastAsia="en-AU"/>
              </w:rPr>
              <w:t>Rehabilitation centre</w:t>
            </w:r>
          </w:p>
        </w:tc>
        <w:tc>
          <w:tcPr>
            <w:tcW w:w="1570" w:type="dxa"/>
            <w:shd w:val="clear" w:color="auto" w:fill="auto"/>
            <w:noWrap/>
            <w:vAlign w:val="bottom"/>
            <w:hideMark/>
          </w:tcPr>
          <w:p w14:paraId="3D444D19" w14:textId="77777777" w:rsidR="006F0DAE" w:rsidRPr="00226937" w:rsidRDefault="006F0DAE" w:rsidP="001867AD">
            <w:pPr>
              <w:spacing w:after="0" w:line="240" w:lineRule="auto"/>
              <w:jc w:val="right"/>
              <w:rPr>
                <w:rFonts w:eastAsia="Times New Roman" w:cs="Calibri"/>
                <w:color w:val="000000"/>
                <w:sz w:val="20"/>
                <w:szCs w:val="20"/>
                <w:lang w:eastAsia="en-AU"/>
              </w:rPr>
            </w:pPr>
            <w:r w:rsidRPr="00226937">
              <w:rPr>
                <w:rFonts w:eastAsia="Times New Roman" w:cs="Calibri"/>
                <w:color w:val="000000"/>
                <w:sz w:val="20"/>
                <w:szCs w:val="20"/>
                <w:lang w:eastAsia="en-AU"/>
              </w:rPr>
              <w:t>1%</w:t>
            </w:r>
          </w:p>
        </w:tc>
        <w:tc>
          <w:tcPr>
            <w:tcW w:w="1243" w:type="dxa"/>
            <w:shd w:val="clear" w:color="auto" w:fill="auto"/>
            <w:noWrap/>
            <w:vAlign w:val="bottom"/>
            <w:hideMark/>
          </w:tcPr>
          <w:p w14:paraId="004E96DF" w14:textId="77777777" w:rsidR="006F0DAE" w:rsidRPr="00226937" w:rsidRDefault="006F0DAE" w:rsidP="001867AD">
            <w:pPr>
              <w:spacing w:after="0" w:line="240" w:lineRule="auto"/>
              <w:jc w:val="right"/>
              <w:rPr>
                <w:rFonts w:eastAsia="Times New Roman" w:cs="Calibri"/>
                <w:color w:val="000000"/>
                <w:sz w:val="20"/>
                <w:szCs w:val="20"/>
                <w:lang w:eastAsia="en-AU"/>
              </w:rPr>
            </w:pPr>
            <w:r w:rsidRPr="00226937">
              <w:rPr>
                <w:rFonts w:eastAsia="Times New Roman" w:cs="Calibri"/>
                <w:color w:val="000000"/>
                <w:sz w:val="20"/>
                <w:szCs w:val="20"/>
                <w:lang w:eastAsia="en-AU"/>
              </w:rPr>
              <w:t>&gt;1%</w:t>
            </w:r>
          </w:p>
        </w:tc>
        <w:tc>
          <w:tcPr>
            <w:tcW w:w="1559" w:type="dxa"/>
            <w:shd w:val="clear" w:color="auto" w:fill="auto"/>
            <w:noWrap/>
            <w:vAlign w:val="bottom"/>
            <w:hideMark/>
          </w:tcPr>
          <w:p w14:paraId="61FE93DE" w14:textId="77777777" w:rsidR="006F0DAE" w:rsidRPr="00226937" w:rsidRDefault="006F0DAE" w:rsidP="001867AD">
            <w:pPr>
              <w:spacing w:after="0" w:line="240" w:lineRule="auto"/>
              <w:jc w:val="right"/>
              <w:rPr>
                <w:rFonts w:eastAsia="Times New Roman" w:cs="Calibri"/>
                <w:color w:val="000000"/>
                <w:sz w:val="20"/>
                <w:szCs w:val="20"/>
                <w:lang w:eastAsia="en-AU"/>
              </w:rPr>
            </w:pPr>
            <w:r w:rsidRPr="00226937">
              <w:rPr>
                <w:rFonts w:eastAsia="Times New Roman" w:cs="Calibri"/>
                <w:color w:val="000000"/>
                <w:sz w:val="20"/>
                <w:szCs w:val="20"/>
                <w:lang w:eastAsia="en-AU"/>
              </w:rPr>
              <w:t>&gt;1%</w:t>
            </w:r>
          </w:p>
        </w:tc>
        <w:tc>
          <w:tcPr>
            <w:tcW w:w="1559" w:type="dxa"/>
            <w:shd w:val="clear" w:color="auto" w:fill="auto"/>
            <w:noWrap/>
            <w:vAlign w:val="bottom"/>
            <w:hideMark/>
          </w:tcPr>
          <w:p w14:paraId="7E7BA7F4" w14:textId="77777777" w:rsidR="006F0DAE" w:rsidRPr="00226937" w:rsidRDefault="006F0DAE" w:rsidP="001867AD">
            <w:pPr>
              <w:spacing w:after="0" w:line="240" w:lineRule="auto"/>
              <w:jc w:val="right"/>
              <w:rPr>
                <w:rFonts w:eastAsia="Times New Roman" w:cs="Calibri"/>
                <w:color w:val="000000"/>
                <w:sz w:val="20"/>
                <w:szCs w:val="20"/>
                <w:lang w:eastAsia="en-AU"/>
              </w:rPr>
            </w:pPr>
            <w:r w:rsidRPr="00226937">
              <w:rPr>
                <w:rFonts w:eastAsia="Times New Roman" w:cs="Calibri"/>
                <w:color w:val="000000"/>
                <w:sz w:val="20"/>
                <w:szCs w:val="20"/>
                <w:lang w:eastAsia="en-AU"/>
              </w:rPr>
              <w:t>4%</w:t>
            </w:r>
          </w:p>
        </w:tc>
        <w:tc>
          <w:tcPr>
            <w:tcW w:w="1560" w:type="dxa"/>
            <w:shd w:val="clear" w:color="auto" w:fill="FFF2CC" w:themeFill="accent4" w:themeFillTint="33"/>
            <w:vAlign w:val="bottom"/>
          </w:tcPr>
          <w:p w14:paraId="68E730FA" w14:textId="77777777" w:rsidR="006F0DAE" w:rsidRPr="00226937" w:rsidRDefault="006F0DAE" w:rsidP="001867AD">
            <w:pPr>
              <w:spacing w:after="0" w:line="240" w:lineRule="auto"/>
              <w:jc w:val="right"/>
              <w:rPr>
                <w:rFonts w:eastAsia="Times New Roman" w:cs="Calibri"/>
                <w:b/>
                <w:bCs/>
                <w:color w:val="000000"/>
                <w:sz w:val="20"/>
                <w:szCs w:val="20"/>
                <w:lang w:eastAsia="en-AU"/>
              </w:rPr>
            </w:pPr>
            <w:r w:rsidRPr="00226937">
              <w:rPr>
                <w:rFonts w:eastAsia="Times New Roman" w:cs="Calibri"/>
                <w:b/>
                <w:bCs/>
                <w:color w:val="000000"/>
                <w:sz w:val="20"/>
                <w:szCs w:val="20"/>
                <w:lang w:eastAsia="en-AU"/>
              </w:rPr>
              <w:t>1%</w:t>
            </w:r>
          </w:p>
        </w:tc>
        <w:tc>
          <w:tcPr>
            <w:tcW w:w="1134" w:type="dxa"/>
            <w:shd w:val="clear" w:color="auto" w:fill="FBE4D5" w:themeFill="accent2" w:themeFillTint="33"/>
            <w:noWrap/>
            <w:vAlign w:val="bottom"/>
            <w:hideMark/>
          </w:tcPr>
          <w:p w14:paraId="084ED20C" w14:textId="77777777" w:rsidR="006F0DAE" w:rsidRPr="00226937" w:rsidRDefault="006F0DAE" w:rsidP="001867AD">
            <w:pPr>
              <w:spacing w:after="0" w:line="240" w:lineRule="auto"/>
              <w:jc w:val="right"/>
              <w:rPr>
                <w:rFonts w:eastAsia="Times New Roman" w:cs="Calibri"/>
                <w:b/>
                <w:bCs/>
                <w:color w:val="000000"/>
                <w:sz w:val="20"/>
                <w:szCs w:val="20"/>
                <w:lang w:eastAsia="en-AU"/>
              </w:rPr>
            </w:pPr>
            <w:r w:rsidRPr="00226937">
              <w:rPr>
                <w:rFonts w:eastAsia="Times New Roman" w:cs="Calibri"/>
                <w:b/>
                <w:bCs/>
                <w:color w:val="000000"/>
                <w:sz w:val="20"/>
                <w:szCs w:val="20"/>
                <w:lang w:eastAsia="en-AU"/>
              </w:rPr>
              <w:t>&gt;1%</w:t>
            </w:r>
          </w:p>
        </w:tc>
      </w:tr>
    </w:tbl>
    <w:p w14:paraId="7ACD8D32" w14:textId="12FF6CAA" w:rsidR="006F0DAE" w:rsidRDefault="006F0DAE" w:rsidP="00EA7873">
      <w:pPr>
        <w:spacing w:after="0"/>
        <w:rPr>
          <w:sz w:val="20"/>
        </w:rPr>
      </w:pPr>
      <w:r w:rsidRPr="00EA3458">
        <w:rPr>
          <w:sz w:val="20"/>
        </w:rPr>
        <w:t xml:space="preserve">Note: </w:t>
      </w:r>
      <w:r w:rsidR="000175C7" w:rsidRPr="00EA3458">
        <w:rPr>
          <w:sz w:val="20"/>
        </w:rPr>
        <w:t>Breakdown by dosing point was not available for 2021-22</w:t>
      </w:r>
      <w:r w:rsidR="000175C7">
        <w:rPr>
          <w:sz w:val="20"/>
        </w:rPr>
        <w:t xml:space="preserve">. </w:t>
      </w:r>
      <w:r w:rsidRPr="00EA3458">
        <w:rPr>
          <w:sz w:val="20"/>
        </w:rPr>
        <w:t xml:space="preserve">Fraction for all </w:t>
      </w:r>
      <w:r w:rsidR="00AB43EE">
        <w:rPr>
          <w:sz w:val="20"/>
        </w:rPr>
        <w:t>O</w:t>
      </w:r>
      <w:r w:rsidR="000175C7">
        <w:rPr>
          <w:sz w:val="20"/>
        </w:rPr>
        <w:t>D</w:t>
      </w:r>
      <w:r w:rsidR="00AB43EE">
        <w:rPr>
          <w:sz w:val="20"/>
        </w:rPr>
        <w:t>T</w:t>
      </w:r>
      <w:r w:rsidR="000175C7">
        <w:rPr>
          <w:sz w:val="20"/>
        </w:rPr>
        <w:t>P</w:t>
      </w:r>
      <w:r w:rsidRPr="00EA3458">
        <w:rPr>
          <w:sz w:val="20"/>
        </w:rPr>
        <w:t xml:space="preserve"> medicines in the 2021-22 FY was estimated by applying fractions for individual medicines from the 2020-21 FY to 2021-22 FY expenditure data, to account for changes in fractional market share between medicines. Estimates for total doses across all medicines were made based off an average cost per dose for each form, calculated using the costs per average dose </w:t>
      </w:r>
      <w:r w:rsidRPr="00F01D1F">
        <w:rPr>
          <w:sz w:val="20"/>
        </w:rPr>
        <w:t xml:space="preserve">in </w:t>
      </w:r>
      <w:r w:rsidR="00C371CB" w:rsidRPr="00F01D1F">
        <w:rPr>
          <w:sz w:val="20"/>
        </w:rPr>
        <w:t>T</w:t>
      </w:r>
      <w:r w:rsidRPr="00F01D1F">
        <w:rPr>
          <w:sz w:val="20"/>
        </w:rPr>
        <w:t xml:space="preserve">able </w:t>
      </w:r>
      <w:r w:rsidR="00C371CB" w:rsidRPr="00F01D1F">
        <w:rPr>
          <w:sz w:val="20"/>
        </w:rPr>
        <w:t>1</w:t>
      </w:r>
      <w:r w:rsidR="00420AEF">
        <w:rPr>
          <w:sz w:val="20"/>
        </w:rPr>
        <w:t>8</w:t>
      </w:r>
      <w:r w:rsidRPr="00EA3458">
        <w:rPr>
          <w:sz w:val="20"/>
        </w:rPr>
        <w:t>.</w:t>
      </w:r>
    </w:p>
    <w:p w14:paraId="158346AA" w14:textId="77777777" w:rsidR="001C7C0F" w:rsidRPr="00EA3458" w:rsidRDefault="001C7C0F" w:rsidP="00EA7873">
      <w:pPr>
        <w:spacing w:after="0"/>
        <w:rPr>
          <w:sz w:val="20"/>
        </w:rPr>
      </w:pPr>
    </w:p>
    <w:p w14:paraId="3AAEB5F2" w14:textId="20AF4D07" w:rsidR="006F0DAE" w:rsidRPr="00EA3458" w:rsidRDefault="006F0DAE" w:rsidP="007E3DC8">
      <w:pPr>
        <w:pStyle w:val="Heading3"/>
        <w:numPr>
          <w:ilvl w:val="1"/>
          <w:numId w:val="45"/>
        </w:numPr>
        <w:rPr>
          <w:rFonts w:eastAsia="Calibri"/>
        </w:rPr>
      </w:pPr>
      <w:bookmarkStart w:id="512" w:name="_Toc118719046"/>
      <w:bookmarkStart w:id="513" w:name="_Toc163221179"/>
      <w:r w:rsidRPr="00EA3458">
        <w:rPr>
          <w:rFonts w:eastAsia="Calibri"/>
        </w:rPr>
        <w:t>Review of current PBS restriction eligibility criteria</w:t>
      </w:r>
      <w:bookmarkEnd w:id="512"/>
      <w:bookmarkEnd w:id="513"/>
    </w:p>
    <w:p w14:paraId="5B86C547" w14:textId="71E002D1" w:rsidR="006F0DAE" w:rsidRPr="00EA3458" w:rsidRDefault="006F0DAE" w:rsidP="00F22F00">
      <w:r w:rsidRPr="00EA3458">
        <w:t xml:space="preserve">The literature review examined current jurisdictional-based, national guidelines/policies and existing treatment algorithms </w:t>
      </w:r>
      <w:r w:rsidR="00CD0425" w:rsidRPr="00EA3458">
        <w:t>(</w:t>
      </w:r>
      <w:r w:rsidR="006D1683">
        <w:t>refer S</w:t>
      </w:r>
      <w:r w:rsidR="00CD0425" w:rsidRPr="00EA3458">
        <w:t xml:space="preserve">ection </w:t>
      </w:r>
      <w:r w:rsidR="00EE1F27" w:rsidRPr="00EE1F27">
        <w:t>2</w:t>
      </w:r>
      <w:r w:rsidR="00CD0425" w:rsidRPr="00EE1F27">
        <w:t>.4.</w:t>
      </w:r>
      <w:r w:rsidR="00CB6841" w:rsidRPr="00EE1F27">
        <w:t>1</w:t>
      </w:r>
      <w:r w:rsidR="00CD0425" w:rsidRPr="00EE1F27">
        <w:t>)</w:t>
      </w:r>
      <w:r w:rsidR="00CD0425" w:rsidRPr="00EA3458">
        <w:t xml:space="preserve"> </w:t>
      </w:r>
      <w:r w:rsidRPr="00EA3458">
        <w:t xml:space="preserve">to compare with current PBS restriction eligibility criteria and identify if restrictions are </w:t>
      </w:r>
      <w:r w:rsidR="00181DF4" w:rsidRPr="00EA3458">
        <w:t>up to date</w:t>
      </w:r>
      <w:r w:rsidRPr="00EA3458">
        <w:t xml:space="preserve"> with current clinical advice and practice.</w:t>
      </w:r>
    </w:p>
    <w:p w14:paraId="1FE10D68" w14:textId="16971B22" w:rsidR="006F0DAE" w:rsidRPr="00EA3458" w:rsidRDefault="006F0DAE" w:rsidP="007E3DC8">
      <w:pPr>
        <w:pStyle w:val="Heading4"/>
        <w:numPr>
          <w:ilvl w:val="2"/>
          <w:numId w:val="45"/>
        </w:numPr>
      </w:pPr>
      <w:bookmarkStart w:id="514" w:name="_Toc99135846"/>
      <w:bookmarkStart w:id="515" w:name="_Toc116025881"/>
      <w:r w:rsidRPr="00EA3458">
        <w:t>O</w:t>
      </w:r>
      <w:r w:rsidR="0046431B">
        <w:t>D</w:t>
      </w:r>
      <w:r w:rsidRPr="00EA3458">
        <w:t>T medicine PBS listing</w:t>
      </w:r>
      <w:bookmarkEnd w:id="514"/>
      <w:bookmarkEnd w:id="515"/>
      <w:r w:rsidRPr="00EA3458">
        <w:t xml:space="preserve"> criteria </w:t>
      </w:r>
    </w:p>
    <w:p w14:paraId="17CC2148" w14:textId="58ED6120" w:rsidR="006F0DAE" w:rsidRPr="00EA3458" w:rsidRDefault="006F0DAE" w:rsidP="00F22F00">
      <w:r w:rsidRPr="00EA3458">
        <w:t>The O</w:t>
      </w:r>
      <w:r w:rsidR="0046431B">
        <w:t>D</w:t>
      </w:r>
      <w:r w:rsidRPr="00EA3458">
        <w:t xml:space="preserve">T medicines currently listed on the PBS and their corresponding criteria for availability are shown in Table </w:t>
      </w:r>
      <w:r w:rsidR="00BF0334" w:rsidRPr="00EA3458">
        <w:t>1</w:t>
      </w:r>
      <w:r w:rsidR="00420AEF">
        <w:t>.</w:t>
      </w:r>
      <w:r w:rsidRPr="00EA3458">
        <w:t xml:space="preserve"> The criteria for availability align closely with recommended treatments for agonist maintenance. Most medicines available for symptomatic relief are available on the general PBS schedule. </w:t>
      </w:r>
    </w:p>
    <w:p w14:paraId="0D257A1C" w14:textId="77777777" w:rsidR="006F0DAE" w:rsidRPr="00EA3458" w:rsidRDefault="006F0DAE" w:rsidP="004139FC">
      <w:r w:rsidRPr="00EA3458">
        <w:t>On 1 May 2022 the restriction criteria were updated in line with the PBAC recommendation to remove the requirement for stabilisation on sublingual buprenorphine or sublingual buprenorphine +/- naloxone prior to commencing treatment with weekly prolonged release buprenorphine, consistent with the recent amendment to the TGA indication.</w:t>
      </w:r>
    </w:p>
    <w:p w14:paraId="3CF728D0" w14:textId="1E81C508" w:rsidR="004275E8" w:rsidRPr="00EA3458" w:rsidRDefault="004275E8">
      <w:pPr>
        <w:spacing w:after="160" w:line="259" w:lineRule="auto"/>
        <w:rPr>
          <w:rFonts w:eastAsia="Calibri"/>
        </w:rPr>
      </w:pPr>
      <w:r w:rsidRPr="00EA3458">
        <w:rPr>
          <w:rFonts w:eastAsia="Calibri"/>
        </w:rPr>
        <w:br w:type="page"/>
      </w:r>
    </w:p>
    <w:p w14:paraId="41804425" w14:textId="1D8B9615" w:rsidR="004275E8" w:rsidRPr="00EA3458" w:rsidRDefault="004275E8">
      <w:pPr>
        <w:pStyle w:val="Heading2"/>
      </w:pPr>
      <w:bookmarkStart w:id="516" w:name="_Toc118992540"/>
      <w:bookmarkStart w:id="517" w:name="_Toc163221180"/>
      <w:r w:rsidRPr="00EA3458">
        <w:lastRenderedPageBreak/>
        <w:t xml:space="preserve">Part </w:t>
      </w:r>
      <w:r w:rsidR="00D5640D">
        <w:t>5</w:t>
      </w:r>
      <w:r w:rsidRPr="00EA3458">
        <w:t>: TOR 4: Proposed improvements to service delivery of ODT</w:t>
      </w:r>
      <w:bookmarkEnd w:id="516"/>
      <w:bookmarkEnd w:id="517"/>
      <w:r w:rsidRPr="00EA3458">
        <w:t xml:space="preserve"> </w:t>
      </w:r>
    </w:p>
    <w:p w14:paraId="70C3275D" w14:textId="31023C15" w:rsidR="004275E8" w:rsidRPr="00EA3458" w:rsidRDefault="004275E8" w:rsidP="00216481">
      <w:pPr>
        <w:pBdr>
          <w:top w:val="single" w:sz="4" w:space="1" w:color="auto"/>
          <w:left w:val="single" w:sz="4" w:space="4" w:color="auto"/>
          <w:bottom w:val="single" w:sz="4" w:space="1" w:color="auto"/>
          <w:right w:val="single" w:sz="4" w:space="4" w:color="auto"/>
        </w:pBdr>
      </w:pPr>
      <w:r w:rsidRPr="00EA3458">
        <w:t xml:space="preserve">TOR 4: Propose improved service delivery arrangements for access to ODT medicines, with an aim of identifying an ODTP that is equitable, timely, </w:t>
      </w:r>
      <w:r w:rsidR="00181DF4" w:rsidRPr="00EA3458">
        <w:t>reliable,</w:t>
      </w:r>
      <w:r w:rsidRPr="00EA3458">
        <w:t xml:space="preserve"> and affordable for consumers and stakeholders involved in the supply and delivery of ODT medicines and cost-effective for the Australian Government.</w:t>
      </w:r>
    </w:p>
    <w:p w14:paraId="2FDED6E0" w14:textId="1B5DEA84" w:rsidR="00F50EAC" w:rsidRDefault="000123E2" w:rsidP="003E30A8">
      <w:pPr>
        <w:spacing w:after="0"/>
      </w:pPr>
      <w:bookmarkStart w:id="518" w:name="_Toc119326346"/>
      <w:bookmarkStart w:id="519" w:name="_Toc119340476"/>
      <w:bookmarkStart w:id="520" w:name="_Toc119395345"/>
      <w:bookmarkStart w:id="521" w:name="_Toc119422683"/>
      <w:bookmarkStart w:id="522" w:name="_Toc119422763"/>
      <w:bookmarkStart w:id="523" w:name="_Toc119414004"/>
      <w:bookmarkStart w:id="524" w:name="_Toc119485216"/>
      <w:bookmarkStart w:id="525" w:name="_Toc119485255"/>
      <w:bookmarkStart w:id="526" w:name="_Toc119485296"/>
      <w:bookmarkStart w:id="527" w:name="_Toc119485869"/>
      <w:bookmarkStart w:id="528" w:name="_Toc119486287"/>
      <w:bookmarkStart w:id="529" w:name="_Toc119490363"/>
      <w:bookmarkStart w:id="530" w:name="_Toc119492357"/>
      <w:bookmarkStart w:id="531" w:name="_Toc119499652"/>
      <w:bookmarkStart w:id="532" w:name="_Toc119499697"/>
      <w:bookmarkStart w:id="533" w:name="_Toc119508176"/>
      <w:bookmarkStart w:id="534" w:name="_Toc119508239"/>
      <w:bookmarkStart w:id="535" w:name="_Toc119508285"/>
      <w:bookmarkStart w:id="536" w:name="_Toc119508331"/>
      <w:bookmarkStart w:id="537" w:name="_Toc119508381"/>
      <w:bookmarkStart w:id="538" w:name="_Toc119508442"/>
      <w:bookmarkStart w:id="539" w:name="_Toc119510631"/>
      <w:bookmarkStart w:id="540" w:name="_Toc119517465"/>
      <w:bookmarkStart w:id="541" w:name="_Toc119517516"/>
      <w:bookmarkStart w:id="542" w:name="_Toc119569931"/>
      <w:bookmarkStart w:id="543" w:name="_Toc119574390"/>
      <w:bookmarkStart w:id="544" w:name="_Toc119574450"/>
      <w:bookmarkStart w:id="545" w:name="_Toc119586617"/>
      <w:bookmarkStart w:id="546" w:name="_Toc119592350"/>
      <w:bookmarkStart w:id="547" w:name="_Toc119595335"/>
      <w:bookmarkStart w:id="548" w:name="_Toc119596356"/>
      <w:bookmarkStart w:id="549" w:name="_Toc120025200"/>
      <w:bookmarkStart w:id="550" w:name="_Toc120025286"/>
      <w:bookmarkStart w:id="551" w:name="_Toc120029119"/>
      <w:bookmarkStart w:id="552" w:name="_Toc120029240"/>
      <w:bookmarkStart w:id="553" w:name="_Toc120030345"/>
      <w:bookmarkStart w:id="554" w:name="_Toc120030403"/>
      <w:bookmarkStart w:id="555" w:name="_Toc120033326"/>
      <w:bookmarkStart w:id="556" w:name="_Toc120264971"/>
      <w:bookmarkStart w:id="557" w:name="_Toc120265029"/>
      <w:bookmarkStart w:id="558" w:name="_Toc120272222"/>
      <w:bookmarkStart w:id="559" w:name="_Toc120272282"/>
      <w:bookmarkStart w:id="560" w:name="_Toc120523338"/>
      <w:bookmarkStart w:id="561" w:name="_Toc120524246"/>
      <w:bookmarkStart w:id="562" w:name="_Toc120550259"/>
      <w:bookmarkStart w:id="563" w:name="_Toc120605407"/>
      <w:bookmarkStart w:id="564" w:name="_Toc120713140"/>
      <w:bookmarkStart w:id="565" w:name="_Toc120703693"/>
      <w:bookmarkStart w:id="566" w:name="_Toc120876057"/>
      <w:bookmarkStart w:id="567" w:name="_Toc121311674"/>
      <w:bookmarkStart w:id="568" w:name="_Toc118992541"/>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r w:rsidRPr="00F50EAC">
        <w:t>This</w:t>
      </w:r>
      <w:r>
        <w:t xml:space="preserve"> chapter bring together the evidence and analyses presented in the previous TOR to examine and propose improvements to existing </w:t>
      </w:r>
      <w:r w:rsidR="00831828">
        <w:t xml:space="preserve">jurisdictional </w:t>
      </w:r>
      <w:r>
        <w:t xml:space="preserve">ODT service delivery models </w:t>
      </w:r>
      <w:r w:rsidR="00831828">
        <w:t>(including access to O</w:t>
      </w:r>
      <w:r w:rsidR="00464C4C">
        <w:t>D</w:t>
      </w:r>
      <w:r w:rsidR="00831828">
        <w:t xml:space="preserve">T medicines under the PBS) </w:t>
      </w:r>
      <w:r>
        <w:t>to best support consumers and service providers in a way that is cost-effective for the Australian Government</w:t>
      </w:r>
      <w:r w:rsidR="00F50EAC">
        <w:t xml:space="preserve">.  </w:t>
      </w:r>
    </w:p>
    <w:p w14:paraId="4A1B8224" w14:textId="77777777" w:rsidR="003E30A8" w:rsidRPr="00F50EAC" w:rsidRDefault="003E30A8" w:rsidP="003E30A8">
      <w:pPr>
        <w:spacing w:after="0"/>
      </w:pPr>
    </w:p>
    <w:p w14:paraId="68612683" w14:textId="43DB7361" w:rsidR="004233C1" w:rsidRPr="004233C1" w:rsidRDefault="00604DBC" w:rsidP="007E3DC8">
      <w:pPr>
        <w:pStyle w:val="Heading3"/>
        <w:numPr>
          <w:ilvl w:val="1"/>
          <w:numId w:val="43"/>
        </w:numPr>
      </w:pPr>
      <w:bookmarkStart w:id="569" w:name="_Toc163221181"/>
      <w:r>
        <w:rPr>
          <w:rStyle w:val="Heading3Char"/>
        </w:rPr>
        <w:t xml:space="preserve">TOR 4 </w:t>
      </w:r>
      <w:r w:rsidR="004275E8" w:rsidRPr="00EA3458">
        <w:rPr>
          <w:rStyle w:val="Heading3Char"/>
        </w:rPr>
        <w:t>Key findings</w:t>
      </w:r>
      <w:bookmarkEnd w:id="568"/>
      <w:bookmarkEnd w:id="569"/>
    </w:p>
    <w:p w14:paraId="14BA5999" w14:textId="77777777" w:rsidR="000A53FA" w:rsidRPr="00630E93" w:rsidRDefault="000A53FA" w:rsidP="000A53FA">
      <w:r w:rsidRPr="00630E93">
        <w:t xml:space="preserve">The essential elements of ODT service delivery outlined in </w:t>
      </w:r>
      <w:r>
        <w:t>S</w:t>
      </w:r>
      <w:r w:rsidRPr="00630E93">
        <w:t>ection 2.6 could serve as guiding principles for collaborative efforts by Commonwealth and jurisdictions toward improved ODT service delivery arrangements.</w:t>
      </w:r>
    </w:p>
    <w:p w14:paraId="4C0BFE4D" w14:textId="1AE34753" w:rsidR="000A53FA" w:rsidRPr="00630E93" w:rsidRDefault="000A53FA" w:rsidP="000A53FA">
      <w:r w:rsidRPr="00630E93">
        <w:t xml:space="preserve">Addressing the affordability of </w:t>
      </w:r>
      <w:r>
        <w:t xml:space="preserve">access to </w:t>
      </w:r>
      <w:r w:rsidRPr="00630E93">
        <w:t>O</w:t>
      </w:r>
      <w:r>
        <w:t>D</w:t>
      </w:r>
      <w:r w:rsidRPr="00630E93">
        <w:t>T medicines for consumers</w:t>
      </w:r>
      <w:r>
        <w:t xml:space="preserve"> </w:t>
      </w:r>
      <w:r w:rsidRPr="00F45C25">
        <w:t xml:space="preserve">due to the high cost of private, unregulated fees </w:t>
      </w:r>
      <w:r w:rsidRPr="00630E93">
        <w:t>is a primary issue raised throughout the Review. This issue is closely intertwined with remuneration for pharmacists</w:t>
      </w:r>
      <w:r>
        <w:t xml:space="preserve"> as one cannot be resolved without the other. In addition, solving for affordability of access to ODT medicines may also need to consider </w:t>
      </w:r>
      <w:r w:rsidRPr="00630E93">
        <w:t xml:space="preserve">management and implications of daily dosing requirements, clinical aspects regarding models of </w:t>
      </w:r>
      <w:r>
        <w:t>service delivery</w:t>
      </w:r>
      <w:r w:rsidRPr="00630E93">
        <w:t xml:space="preserve"> and considerations regarding Commonwealth and jurisdictional responsibility</w:t>
      </w:r>
      <w:r>
        <w:t xml:space="preserve"> for ODT programs</w:t>
      </w:r>
      <w:r w:rsidRPr="00630E93">
        <w:t xml:space="preserve">. Close engagement between the Commonwealth and jurisdictions will likely be required to resolve </w:t>
      </w:r>
      <w:r>
        <w:t>ODT service delivery issues raised throughout the Review</w:t>
      </w:r>
      <w:r w:rsidRPr="00630E93">
        <w:t>.</w:t>
      </w:r>
    </w:p>
    <w:p w14:paraId="0327A0E6" w14:textId="013F123E" w:rsidR="000A53FA" w:rsidRDefault="000A53FA" w:rsidP="000A53FA">
      <w:r>
        <w:t>Currently dispensed ODT medicines do not attract PBS co-payments and consequently there is no annual limit of dispensing charges to the consumer. PBS listings of ODT medicines with PBS co-payments from consumers would mean these payments contribute to the Safety Net threshold as well as providing remuneration for PBS approved suppliers like pharmacists, like other medicines for chronic conditions on the PBS.</w:t>
      </w:r>
      <w:r w:rsidRPr="005F2527">
        <w:t xml:space="preserve"> </w:t>
      </w:r>
      <w:r>
        <w:t xml:space="preserve">This means pharmacists would not be able to (and would not need to) charge private fees on top of the PBS co-payment as with other medicines on the PBS. </w:t>
      </w:r>
      <w:bookmarkStart w:id="570" w:name="_Hlk124863932"/>
      <w:r w:rsidRPr="009C4FB7">
        <w:t xml:space="preserve">However, it is important to note that </w:t>
      </w:r>
      <w:r>
        <w:t>PBS</w:t>
      </w:r>
      <w:r w:rsidRPr="009C4FB7">
        <w:t xml:space="preserve"> remuneration </w:t>
      </w:r>
      <w:r>
        <w:t>for pharmacist dispensing activities associated with ODT medicines</w:t>
      </w:r>
      <w:r w:rsidRPr="009C4FB7">
        <w:t xml:space="preserve"> </w:t>
      </w:r>
      <w:r>
        <w:t xml:space="preserve">may need to consider whether </w:t>
      </w:r>
      <w:r w:rsidRPr="009C4FB7">
        <w:t>separate fee</w:t>
      </w:r>
      <w:r>
        <w:t>s are required</w:t>
      </w:r>
      <w:r w:rsidRPr="009C4FB7">
        <w:t xml:space="preserve"> for supervised dosing/dose management</w:t>
      </w:r>
      <w:r>
        <w:t xml:space="preserve">, and if so, consider options for how these could be implemented including whether they could be </w:t>
      </w:r>
      <w:r w:rsidRPr="009C4FB7">
        <w:t>supported within the PBS framework.</w:t>
      </w:r>
      <w:bookmarkEnd w:id="570"/>
    </w:p>
    <w:p w14:paraId="225451A0" w14:textId="6BAB86A6" w:rsidR="000A53FA" w:rsidRPr="00630E93" w:rsidRDefault="000A53FA" w:rsidP="000A53FA">
      <w:r w:rsidRPr="00630E93">
        <w:t>Improved support for delivery of jurisdictional ODT programs through</w:t>
      </w:r>
      <w:r>
        <w:t xml:space="preserve"> </w:t>
      </w:r>
      <w:r w:rsidRPr="00630E93">
        <w:t xml:space="preserve">ACCHOs </w:t>
      </w:r>
      <w:r>
        <w:t>may</w:t>
      </w:r>
      <w:r w:rsidRPr="00630E93">
        <w:t xml:space="preserve"> assist in improving accessibility to culturally safe treatment for First Nations</w:t>
      </w:r>
      <w:r>
        <w:t xml:space="preserve"> for</w:t>
      </w:r>
      <w:r w:rsidRPr="00630E93">
        <w:t xml:space="preserve"> people</w:t>
      </w:r>
      <w:r>
        <w:t xml:space="preserve"> wishing to access ODT medicines through these settings</w:t>
      </w:r>
      <w:r w:rsidRPr="00630E93">
        <w:t>. Under the PBS, the Closing the Gap (CTG) Co</w:t>
      </w:r>
      <w:r w:rsidR="005A7472">
        <w:noBreakHyphen/>
      </w:r>
      <w:r w:rsidRPr="00630E93">
        <w:t>payment measure aims to improve access to affordable PBS medicines for First Nations people living with, or at risk of, chronic disease. Similarly, the eligibility of the CTG program could be extended to O</w:t>
      </w:r>
      <w:r>
        <w:t>D</w:t>
      </w:r>
      <w:r w:rsidRPr="00630E93">
        <w:t>T medicines listed on the PBS</w:t>
      </w:r>
      <w:r>
        <w:t>,</w:t>
      </w:r>
      <w:r w:rsidRPr="000A53FA">
        <w:rPr>
          <w:rStyle w:val="normaltextrun"/>
          <w:rFonts w:cs="Calibri"/>
          <w:color w:val="000000"/>
          <w:shd w:val="clear" w:color="auto" w:fill="FFFFFF"/>
        </w:rPr>
        <w:t xml:space="preserve"> ensuring access to culturally secure treatment from both ACCHOs and mainstream ODT dosing sites</w:t>
      </w:r>
      <w:r w:rsidRPr="00630E93">
        <w:t>.</w:t>
      </w:r>
      <w:r w:rsidR="00FC283D">
        <w:t xml:space="preserve"> </w:t>
      </w:r>
      <w:r w:rsidR="00FC283D" w:rsidRPr="00E86E00">
        <w:t xml:space="preserve">Stakeholders suggest this could occur though specific programs to enhance uptake and provide support for ACCHOs. </w:t>
      </w:r>
      <w:r w:rsidR="00FC283D" w:rsidRPr="00E86E00">
        <w:lastRenderedPageBreak/>
        <w:t>Possible programs could include specific prescriber training (and clinical staff such as Aboriginal Health Practitioner and ACCHO nurse), support for on-site dosing and funding for ODT medicine provision within ACCHOs, and prison in-reach services.</w:t>
      </w:r>
      <w:r w:rsidR="00FC283D">
        <w:t xml:space="preserve"> </w:t>
      </w:r>
    </w:p>
    <w:p w14:paraId="17CC3834" w14:textId="02A3038A" w:rsidR="000A53FA" w:rsidRPr="00630E93" w:rsidRDefault="000A53FA" w:rsidP="000A53FA">
      <w:r w:rsidRPr="00630E93">
        <w:t>To provide guidance towards consistency in jurisdictional policy</w:t>
      </w:r>
      <w:r>
        <w:t xml:space="preserve"> the Review highlighted the</w:t>
      </w:r>
      <w:r w:rsidRPr="00630E93">
        <w:t xml:space="preserve"> </w:t>
      </w:r>
      <w:r>
        <w:t>importance of updating the</w:t>
      </w:r>
      <w:r w:rsidRPr="00630E93">
        <w:t xml:space="preserve"> </w:t>
      </w:r>
      <w:r w:rsidRPr="001725C8">
        <w:rPr>
          <w:i/>
          <w:iCs/>
        </w:rPr>
        <w:t>National Guidelines for Medication-Assisted Treatment of Opioid Dependence 2014</w:t>
      </w:r>
      <w:r>
        <w:t xml:space="preserve"> (National Guidelines) </w:t>
      </w:r>
      <w:r w:rsidRPr="00630E93">
        <w:t>to incorporate and revise clinical evidence regarding treatment pathways since the introduction of LAIB to the O</w:t>
      </w:r>
      <w:r>
        <w:t>D</w:t>
      </w:r>
      <w:r w:rsidRPr="00630E93">
        <w:t xml:space="preserve">T </w:t>
      </w:r>
      <w:r>
        <w:t xml:space="preserve">medicines </w:t>
      </w:r>
      <w:r w:rsidRPr="00630E93">
        <w:t xml:space="preserve">landscape. This could also include considerations regarding </w:t>
      </w:r>
      <w:r>
        <w:t>updated evidence with regard</w:t>
      </w:r>
      <w:r w:rsidR="00DE135B">
        <w:t>s</w:t>
      </w:r>
      <w:r>
        <w:t xml:space="preserve"> to </w:t>
      </w:r>
      <w:r w:rsidRPr="00630E93">
        <w:t>improved flexibility of supervised dosing</w:t>
      </w:r>
      <w:r>
        <w:t xml:space="preserve"> and reviewing prescriber accreditation requirements to encourage and support greater prescriber participation in ODT programs</w:t>
      </w:r>
      <w:r w:rsidRPr="00630E93">
        <w:t xml:space="preserve">. </w:t>
      </w:r>
    </w:p>
    <w:p w14:paraId="1094DB8A" w14:textId="18CBBF7B" w:rsidR="000A53FA" w:rsidRPr="00630E93" w:rsidRDefault="000A53FA" w:rsidP="000A53FA">
      <w:r w:rsidRPr="00630E93">
        <w:t xml:space="preserve">Aspects of the current </w:t>
      </w:r>
      <w:r>
        <w:t>ODT</w:t>
      </w:r>
      <w:r w:rsidRPr="00630E93">
        <w:t xml:space="preserve"> service </w:t>
      </w:r>
      <w:r>
        <w:t xml:space="preserve">delivery </w:t>
      </w:r>
      <w:r w:rsidRPr="00630E93">
        <w:t xml:space="preserve">model can pose significant barriers to ongoing treatment for consumers, especially </w:t>
      </w:r>
      <w:r>
        <w:t xml:space="preserve">some more </w:t>
      </w:r>
      <w:r w:rsidR="00037100">
        <w:t>populations with specific needs</w:t>
      </w:r>
      <w:r w:rsidRPr="00630E93">
        <w:t xml:space="preserve">. For example, in the context of daily dosing, consumers who live in </w:t>
      </w:r>
      <w:r>
        <w:t xml:space="preserve">regional, </w:t>
      </w:r>
      <w:r w:rsidRPr="00630E93">
        <w:t xml:space="preserve">rural and remote areas and consumers with no permanent address face challenges in attending dosing points regularly. </w:t>
      </w:r>
      <w:r>
        <w:t>C</w:t>
      </w:r>
      <w:r w:rsidRPr="00630E93">
        <w:t>hanges to O</w:t>
      </w:r>
      <w:r>
        <w:t>D</w:t>
      </w:r>
      <w:r w:rsidRPr="00630E93">
        <w:t xml:space="preserve">T </w:t>
      </w:r>
      <w:r>
        <w:t>policies</w:t>
      </w:r>
      <w:r w:rsidRPr="00630E93">
        <w:t xml:space="preserve"> </w:t>
      </w:r>
      <w:r>
        <w:t xml:space="preserve">by state and territory governments </w:t>
      </w:r>
      <w:r w:rsidRPr="00630E93">
        <w:t>due to the COVID-19 pandemic demonstrate the adaptability of the service model to support unsupervised dosing, primarily through an increase in takeaway doses</w:t>
      </w:r>
      <w:r w:rsidRPr="006A40D7">
        <w:t xml:space="preserve"> </w:t>
      </w:r>
      <w:r>
        <w:t>(despite these initiatives now being rolled back to pre-pandemic ODT policies in some jurisdictions)</w:t>
      </w:r>
      <w:r w:rsidRPr="00630E93">
        <w:t>.</w:t>
      </w:r>
      <w:r>
        <w:t xml:space="preserve"> </w:t>
      </w:r>
    </w:p>
    <w:p w14:paraId="39B6FCE6" w14:textId="5AC46372" w:rsidR="000A53FA" w:rsidRDefault="000A53FA" w:rsidP="000A53FA">
      <w:bookmarkStart w:id="571" w:name="_Hlk120188299"/>
      <w:r>
        <w:t>Evidence suggests that a small number of prescribers are caring for a high concentration of ODT consumers. Stakeholder input indicated that t</w:t>
      </w:r>
      <w:r w:rsidRPr="00C4469B">
        <w:t>ypically, these prescribers are elderly and nearing retirement age which represents a significant risk to the program. This risk is also present for the Addiction Medicine Specialty where less than 20% of fellows are under the age of 50 years and more than half of them are older than 60 years.</w:t>
      </w:r>
      <w:r>
        <w:t xml:space="preserve"> Many health professionals participate in prescribing ODT medicines under state and territory programs for only short periods. There is a need to identify and respond to the reasons for this. It is critical to put in place strategies to increase retention of prescribers and broaden the base of health professionals involved in the delivery of ODT.  </w:t>
      </w:r>
      <w:bookmarkEnd w:id="571"/>
    </w:p>
    <w:p w14:paraId="3C10CD23" w14:textId="77777777" w:rsidR="000A53FA" w:rsidRPr="00630E93" w:rsidRDefault="000A53FA" w:rsidP="000A53FA">
      <w:r>
        <w:t>While s</w:t>
      </w:r>
      <w:r w:rsidRPr="00630E93">
        <w:t>ystem complexities, multiple stakeholders, and a lack of data availability across domains mean that the consequences of any changes to the current PBS listing of O</w:t>
      </w:r>
      <w:r>
        <w:t>D</w:t>
      </w:r>
      <w:r w:rsidRPr="00630E93">
        <w:t>T medications are difficult to predict</w:t>
      </w:r>
      <w:r>
        <w:t xml:space="preserve">, stakeholders are of a view that a revised PBS listing arrangement for ODT medicines that provided equitable and affordable access would significantly improve patient health and societal outcomes. </w:t>
      </w:r>
      <w:bookmarkStart w:id="572" w:name="_Hlk120531182"/>
      <w:r w:rsidRPr="00630E93">
        <w:t xml:space="preserve">Regular reviews of consumer and provider </w:t>
      </w:r>
      <w:r>
        <w:t>responses</w:t>
      </w:r>
      <w:r w:rsidRPr="00630E93">
        <w:t xml:space="preserve"> should be monitored following any changes to the treatment listing</w:t>
      </w:r>
      <w:bookmarkEnd w:id="572"/>
      <w:r w:rsidRPr="00630E93">
        <w:t>.</w:t>
      </w:r>
    </w:p>
    <w:p w14:paraId="0887A0EE" w14:textId="6B9A796D" w:rsidR="000123E2" w:rsidRPr="000A53FA" w:rsidRDefault="000A53FA" w:rsidP="000A53FA">
      <w:pPr>
        <w:rPr>
          <w:rStyle w:val="normaltextrun"/>
          <w:rFonts w:cs="Calibri"/>
        </w:rPr>
      </w:pPr>
      <w:r w:rsidRPr="00630E93">
        <w:t>The Review identified ongoing access to the breadth of O</w:t>
      </w:r>
      <w:r>
        <w:t>D</w:t>
      </w:r>
      <w:r w:rsidRPr="00630E93">
        <w:t>T medicines is important to support improved patient outcomes</w:t>
      </w:r>
      <w:r w:rsidR="000123E2" w:rsidRPr="000A53FA">
        <w:rPr>
          <w:rStyle w:val="normaltextrun"/>
          <w:rFonts w:cs="Calibri"/>
        </w:rPr>
        <w:t xml:space="preserve">. </w:t>
      </w:r>
    </w:p>
    <w:p w14:paraId="0C164565" w14:textId="77777777" w:rsidR="000A53FA" w:rsidRPr="00BF46F7" w:rsidRDefault="000A53FA" w:rsidP="000A53FA">
      <w:pPr>
        <w:pStyle w:val="Heading5"/>
      </w:pPr>
      <w:r w:rsidRPr="00BF46F7">
        <w:t>Medicines with daily dosing requirements</w:t>
      </w:r>
    </w:p>
    <w:p w14:paraId="4D70E61E" w14:textId="77777777" w:rsidR="000A53FA" w:rsidRDefault="000A53FA" w:rsidP="000A53FA">
      <w:r>
        <w:t>For oral methadone and sublingual buprenorphine, more frequent</w:t>
      </w:r>
      <w:r w:rsidRPr="00630E93">
        <w:t xml:space="preserve"> </w:t>
      </w:r>
      <w:r>
        <w:t>dispensing may be</w:t>
      </w:r>
      <w:r w:rsidRPr="00630E93">
        <w:t xml:space="preserve"> </w:t>
      </w:r>
      <w:r>
        <w:t xml:space="preserve">required related to the often </w:t>
      </w:r>
      <w:r w:rsidRPr="00630E93">
        <w:t xml:space="preserve">daily preparation and supervision of doses. </w:t>
      </w:r>
      <w:r>
        <w:t>R</w:t>
      </w:r>
      <w:r w:rsidRPr="00630E93">
        <w:t xml:space="preserve">emuneration for these activities </w:t>
      </w:r>
      <w:r>
        <w:t>needs to be</w:t>
      </w:r>
      <w:r w:rsidRPr="00630E93">
        <w:t xml:space="preserve"> considered if access to O</w:t>
      </w:r>
      <w:r>
        <w:t>D</w:t>
      </w:r>
      <w:r w:rsidRPr="00630E93">
        <w:t xml:space="preserve">T medicines is to be made affordable for consumers. </w:t>
      </w:r>
      <w:r>
        <w:t>It is also important to note supervised dosing policy for ODT medicines is determined by state and territory governments and is also a decision made by the patient’s prescriber.</w:t>
      </w:r>
    </w:p>
    <w:p w14:paraId="6459A22E" w14:textId="6A22E537" w:rsidR="00F7154B" w:rsidRDefault="000A53FA" w:rsidP="000A53FA">
      <w:pPr>
        <w:rPr>
          <w:rFonts w:asciiTheme="minorHAnsi" w:hAnsiTheme="minorHAnsi" w:cs="Arial"/>
          <w:bCs/>
        </w:rPr>
      </w:pPr>
      <w:r w:rsidRPr="00F7154B">
        <w:rPr>
          <w:rFonts w:asciiTheme="minorHAnsi" w:hAnsiTheme="minorHAnsi" w:cs="Arial"/>
          <w:bCs/>
        </w:rPr>
        <w:lastRenderedPageBreak/>
        <w:t xml:space="preserve">Stakeholders are of a view that one option to address community pharmacy remuneration for dispensing ODT medicines would be to enable </w:t>
      </w:r>
      <w:r w:rsidR="00F7154B" w:rsidRPr="00F7154B">
        <w:rPr>
          <w:rFonts w:asciiTheme="minorHAnsi" w:hAnsiTheme="minorHAnsi" w:cs="Arial"/>
          <w:bCs/>
        </w:rPr>
        <w:t xml:space="preserve">pharmacies to claim the 7CPA staged supply payment for patients accessing OPD medicines </w:t>
      </w:r>
      <w:r w:rsidRPr="00F7154B">
        <w:rPr>
          <w:rFonts w:asciiTheme="minorHAnsi" w:hAnsiTheme="minorHAnsi" w:cs="Arial"/>
          <w:bCs/>
        </w:rPr>
        <w:t>or to use this program as a model for a similar program for ODT medicines.</w:t>
      </w:r>
      <w:r w:rsidR="00F7154B" w:rsidRPr="00F7154B">
        <w:rPr>
          <w:rFonts w:asciiTheme="minorHAnsi" w:hAnsiTheme="minorHAnsi" w:cs="Arial"/>
          <w:bCs/>
        </w:rPr>
        <w:t xml:space="preserve"> As noted in</w:t>
      </w:r>
      <w:r w:rsidR="005A7472">
        <w:rPr>
          <w:rFonts w:asciiTheme="minorHAnsi" w:hAnsiTheme="minorHAnsi" w:cs="Arial"/>
          <w:bCs/>
        </w:rPr>
        <w:t xml:space="preserve"> Section</w:t>
      </w:r>
      <w:r w:rsidR="00034C4E">
        <w:rPr>
          <w:rFonts w:asciiTheme="minorHAnsi" w:hAnsiTheme="minorHAnsi" w:cs="Arial"/>
          <w:bCs/>
        </w:rPr>
        <w:t xml:space="preserve"> </w:t>
      </w:r>
      <w:r w:rsidR="005A7472">
        <w:rPr>
          <w:rFonts w:asciiTheme="minorHAnsi" w:hAnsiTheme="minorHAnsi" w:cs="Arial"/>
          <w:bCs/>
        </w:rPr>
        <w:t>1.7.3</w:t>
      </w:r>
      <w:r w:rsidR="00F7154B" w:rsidRPr="00F7154B">
        <w:rPr>
          <w:rFonts w:asciiTheme="minorHAnsi" w:hAnsiTheme="minorHAnsi" w:cs="Arial"/>
          <w:bCs/>
        </w:rPr>
        <w:t>, t</w:t>
      </w:r>
      <w:r w:rsidR="00F7154B" w:rsidRPr="009407C5">
        <w:rPr>
          <w:rFonts w:asciiTheme="minorHAnsi" w:hAnsiTheme="minorHAnsi" w:cs="Arial"/>
          <w:bCs/>
        </w:rPr>
        <w:t>he</w:t>
      </w:r>
      <w:r w:rsidR="00F7154B">
        <w:rPr>
          <w:rFonts w:asciiTheme="minorHAnsi" w:hAnsiTheme="minorHAnsi" w:cs="Arial"/>
          <w:bCs/>
        </w:rPr>
        <w:t xml:space="preserve"> Staged Supply Program is designed to assist p</w:t>
      </w:r>
      <w:r w:rsidR="00F7154B" w:rsidRPr="009407C5">
        <w:rPr>
          <w:rFonts w:asciiTheme="minorHAnsi" w:hAnsiTheme="minorHAnsi" w:cs="Arial"/>
          <w:bCs/>
        </w:rPr>
        <w:t xml:space="preserve">atients who are </w:t>
      </w:r>
      <w:r w:rsidR="00F7154B" w:rsidRPr="00F7154B">
        <w:rPr>
          <w:rFonts w:asciiTheme="minorHAnsi" w:hAnsiTheme="minorHAnsi" w:cs="Arial"/>
          <w:bCs/>
        </w:rPr>
        <w:t>at risk</w:t>
      </w:r>
      <w:r w:rsidR="00F7154B" w:rsidRPr="009407C5">
        <w:rPr>
          <w:rFonts w:asciiTheme="minorHAnsi" w:hAnsiTheme="minorHAnsi" w:cs="Arial"/>
          <w:bCs/>
        </w:rPr>
        <w:t xml:space="preserve"> of drug dependency or who are otherwise unable to manage their medicines safely</w:t>
      </w:r>
      <w:r w:rsidR="00F7154B">
        <w:rPr>
          <w:rFonts w:asciiTheme="minorHAnsi" w:hAnsiTheme="minorHAnsi" w:cs="Arial"/>
          <w:bCs/>
        </w:rPr>
        <w:t xml:space="preserve"> and the program rules state that pharmacies can </w:t>
      </w:r>
      <w:r w:rsidR="00F7154B" w:rsidRPr="00F7154B">
        <w:rPr>
          <w:rFonts w:asciiTheme="minorHAnsi" w:hAnsiTheme="minorHAnsi" w:cs="Arial"/>
          <w:bCs/>
        </w:rPr>
        <w:t>claim payments for the provision of Staged Supply Services for up to 15 eligible patients</w:t>
      </w:r>
      <w:r w:rsidR="00F7154B">
        <w:rPr>
          <w:rFonts w:asciiTheme="minorHAnsi" w:hAnsiTheme="minorHAnsi" w:cs="Arial"/>
          <w:bCs/>
        </w:rPr>
        <w:t xml:space="preserve">. </w:t>
      </w:r>
    </w:p>
    <w:p w14:paraId="4660022B" w14:textId="77777777" w:rsidR="000A53FA" w:rsidRPr="00BF46F7" w:rsidRDefault="000A53FA" w:rsidP="000A53FA">
      <w:pPr>
        <w:pStyle w:val="Heading5"/>
      </w:pPr>
      <w:r w:rsidRPr="00BF46F7">
        <w:t>Medicines with a prolonged duration</w:t>
      </w:r>
    </w:p>
    <w:p w14:paraId="6C3FF4AC" w14:textId="4FA45D94" w:rsidR="000A53FA" w:rsidRPr="00630E93" w:rsidRDefault="000A53FA" w:rsidP="000A53FA">
      <w:r>
        <w:t>By nature of their longer duration, LAIB align more closely with the usual pattern of use of PBS medicines</w:t>
      </w:r>
      <w:r w:rsidRPr="002A6DF0">
        <w:t xml:space="preserve"> </w:t>
      </w:r>
      <w:r>
        <w:t>where the quantity dispensed is often a month’s supply. A</w:t>
      </w:r>
      <w:r w:rsidRPr="00630E93">
        <w:t xml:space="preserve">lthough LAIB </w:t>
      </w:r>
      <w:r>
        <w:t xml:space="preserve">may be considered as </w:t>
      </w:r>
      <w:r w:rsidRPr="00630E93">
        <w:t>an attractive</w:t>
      </w:r>
      <w:r>
        <w:t>, and potentially</w:t>
      </w:r>
      <w:r w:rsidRPr="00630E93">
        <w:t xml:space="preserve"> cost-saving option for some consumers due to </w:t>
      </w:r>
      <w:r>
        <w:t xml:space="preserve">sometimes </w:t>
      </w:r>
      <w:r w:rsidRPr="00630E93">
        <w:t xml:space="preserve">reduced </w:t>
      </w:r>
      <w:r>
        <w:t xml:space="preserve">private </w:t>
      </w:r>
      <w:r w:rsidRPr="00630E93">
        <w:t xml:space="preserve">dosing fees, some consumers prefer sublingual buprenorphine or </w:t>
      </w:r>
      <w:r>
        <w:t xml:space="preserve">oral </w:t>
      </w:r>
      <w:r w:rsidRPr="00630E93">
        <w:t>methadone</w:t>
      </w:r>
      <w:r w:rsidR="00156C3B">
        <w:t>,</w:t>
      </w:r>
      <w:r>
        <w:t xml:space="preserve"> and the importance of patient choice of medicine has been consistently noted in this review</w:t>
      </w:r>
      <w:r w:rsidRPr="00630E93">
        <w:t xml:space="preserve">; there are no cost-effectiveness data comparing these treatments directly. </w:t>
      </w:r>
      <w:bookmarkStart w:id="573" w:name="_Hlk120531260"/>
      <w:r>
        <w:t>It is suggested f</w:t>
      </w:r>
      <w:r w:rsidRPr="00630E93">
        <w:t>uture research focus on comparing new and existing formulations in relation to essential elements of care, including modes of delivery and costs to both the consumer, treatment provider, and health system.</w:t>
      </w:r>
      <w:bookmarkEnd w:id="573"/>
    </w:p>
    <w:p w14:paraId="311CCD37" w14:textId="6C9A6E81" w:rsidR="001816CC" w:rsidRDefault="000A53FA" w:rsidP="000A53FA">
      <w:r>
        <w:t>Stakeholders are of the view that on-site pharmacist administration of LAIB may develop further in future, noting pilot programs have commenced in some jurisdictional ODT programs. As treatment with LAIB evolves, additional consideration could be given to the option of remuneration for on-site pharmacist administration as this is not covered by current PBS arrangements</w:t>
      </w:r>
      <w:r w:rsidR="001816CC">
        <w:t>.</w:t>
      </w:r>
    </w:p>
    <w:p w14:paraId="2651CC0E" w14:textId="024680B7" w:rsidR="004275E8" w:rsidRPr="00454002" w:rsidRDefault="004275E8" w:rsidP="007E3DC8">
      <w:pPr>
        <w:pStyle w:val="Heading4"/>
        <w:numPr>
          <w:ilvl w:val="2"/>
          <w:numId w:val="43"/>
        </w:numPr>
      </w:pPr>
      <w:bookmarkStart w:id="574" w:name="_Toc120713142"/>
      <w:bookmarkStart w:id="575" w:name="_Toc120703695"/>
      <w:bookmarkStart w:id="576" w:name="_Toc120876059"/>
      <w:bookmarkStart w:id="577" w:name="_Toc121311676"/>
      <w:bookmarkEnd w:id="574"/>
      <w:bookmarkEnd w:id="575"/>
      <w:bookmarkEnd w:id="576"/>
      <w:bookmarkEnd w:id="577"/>
      <w:r w:rsidRPr="00454002">
        <w:t>Stakeholder views</w:t>
      </w:r>
      <w:r w:rsidR="00264AE1">
        <w:t xml:space="preserve"> for TOR 4</w:t>
      </w:r>
    </w:p>
    <w:p w14:paraId="3D1810E2" w14:textId="0183B753" w:rsidR="00357250" w:rsidRDefault="004275E8" w:rsidP="00DA0E77">
      <w:r w:rsidRPr="00EA3458">
        <w:t xml:space="preserve">Stakeholder views received throughout the Review are consistent with the findings of the literature review. </w:t>
      </w:r>
      <w:r w:rsidR="000123E2">
        <w:t>Stakeholder</w:t>
      </w:r>
      <w:r w:rsidR="00C900AD">
        <w:t>s</w:t>
      </w:r>
      <w:r w:rsidR="000123E2">
        <w:t xml:space="preserve"> </w:t>
      </w:r>
      <w:r w:rsidR="00C900AD">
        <w:t xml:space="preserve">suggested </w:t>
      </w:r>
      <w:r w:rsidR="000123E2">
        <w:t xml:space="preserve">improved arrangements for ODT programs strive towards optimising the essential elements of ODT service delivery that were put forward in TOR 1 </w:t>
      </w:r>
      <w:r w:rsidR="00357250">
        <w:t>(</w:t>
      </w:r>
      <w:r w:rsidR="00357250" w:rsidRPr="00316322">
        <w:t xml:space="preserve">Part </w:t>
      </w:r>
      <w:r w:rsidR="00316322">
        <w:t>2</w:t>
      </w:r>
      <w:r w:rsidR="00357250">
        <w:t xml:space="preserve">). </w:t>
      </w:r>
    </w:p>
    <w:p w14:paraId="0E00B858" w14:textId="1FF081D0" w:rsidR="000123E2" w:rsidRDefault="00DA0E77" w:rsidP="000123E2">
      <w:r>
        <w:t>The primary concern</w:t>
      </w:r>
      <w:r w:rsidR="00B44B56">
        <w:t>s</w:t>
      </w:r>
      <w:r>
        <w:t xml:space="preserve"> for stakeholders </w:t>
      </w:r>
      <w:r w:rsidR="00B44B56">
        <w:t>are t</w:t>
      </w:r>
      <w:r w:rsidR="004275E8" w:rsidRPr="00EA3458">
        <w:t>he affordability of O</w:t>
      </w:r>
      <w:r w:rsidR="00F364B3">
        <w:t>D</w:t>
      </w:r>
      <w:r w:rsidR="004275E8" w:rsidRPr="00EA3458">
        <w:t>T medicines for consumers, renumeration for pharmacists and normalising access to O</w:t>
      </w:r>
      <w:r w:rsidR="00F364B3">
        <w:t>D</w:t>
      </w:r>
      <w:r w:rsidR="004275E8" w:rsidRPr="00EA3458">
        <w:t xml:space="preserve">T medicines in line with other chronic conditions. </w:t>
      </w:r>
      <w:r w:rsidR="000123E2" w:rsidRPr="00EA3458">
        <w:t xml:space="preserve">Several stakeholders have put forward </w:t>
      </w:r>
      <w:r w:rsidR="000123E2">
        <w:t>submissions</w:t>
      </w:r>
      <w:r w:rsidR="000123E2" w:rsidRPr="00EA3458">
        <w:t xml:space="preserve"> on how O</w:t>
      </w:r>
      <w:r w:rsidR="00F364B3">
        <w:t>D</w:t>
      </w:r>
      <w:r w:rsidR="000123E2" w:rsidRPr="00EA3458">
        <w:t>T medicines could be listed on the PBS as a mechanism by which the affordability of these medicines might be addressed</w:t>
      </w:r>
      <w:r w:rsidR="000123E2">
        <w:t xml:space="preserve"> which have also been considered as part of the Review. </w:t>
      </w:r>
    </w:p>
    <w:p w14:paraId="2E3C3D9F" w14:textId="08696649" w:rsidR="001C7C0F" w:rsidRDefault="000123E2" w:rsidP="003E30A8">
      <w:pPr>
        <w:spacing w:after="0"/>
      </w:pPr>
      <w:r>
        <w:t>In</w:t>
      </w:r>
      <w:r w:rsidRPr="00EA3458">
        <w:t xml:space="preserve"> addition, stakeholder</w:t>
      </w:r>
      <w:r>
        <w:t>s</w:t>
      </w:r>
      <w:r w:rsidRPr="00EA3458">
        <w:t xml:space="preserve"> supported improved policy consistency across jurisdictional ODT programs and the importance of a broad model of care that provides supporting services beyond access to O</w:t>
      </w:r>
      <w:r w:rsidR="00F364B3">
        <w:t>D</w:t>
      </w:r>
      <w:r w:rsidRPr="00EA3458">
        <w:t>T medicines alone.</w:t>
      </w:r>
      <w:r>
        <w:t xml:space="preserve"> Improved support for populations</w:t>
      </w:r>
      <w:r w:rsidR="00037100">
        <w:t xml:space="preserve"> with specific </w:t>
      </w:r>
      <w:r w:rsidR="00826FE7">
        <w:t>needs and</w:t>
      </w:r>
      <w:r>
        <w:t xml:space="preserve"> for people transitioning between care setting</w:t>
      </w:r>
      <w:r w:rsidR="004740C5">
        <w:t>s</w:t>
      </w:r>
      <w:r>
        <w:t xml:space="preserve"> was also considered an important aspect of improved ODT service delivery</w:t>
      </w:r>
      <w:r w:rsidR="004740C5">
        <w:t xml:space="preserve">, particularly First Nations people and people in </w:t>
      </w:r>
      <w:r w:rsidR="00F362F1">
        <w:t>correctional facilities</w:t>
      </w:r>
      <w:r w:rsidR="004740C5">
        <w:t xml:space="preserve"> (in whom First Nations people are overrepresented). </w:t>
      </w:r>
      <w:r w:rsidRPr="00EA3458">
        <w:t xml:space="preserve">Stakeholders also </w:t>
      </w:r>
      <w:r>
        <w:t xml:space="preserve">supported </w:t>
      </w:r>
      <w:r w:rsidRPr="00EA3458">
        <w:t>improved access to prescribers through innovative models of care particularly for rural and remote communities.</w:t>
      </w:r>
    </w:p>
    <w:p w14:paraId="51AEC3AB" w14:textId="77777777" w:rsidR="003E30A8" w:rsidRPr="0027185D" w:rsidRDefault="003E30A8" w:rsidP="003E30A8">
      <w:pPr>
        <w:spacing w:after="0"/>
        <w:rPr>
          <w:rStyle w:val="Heading3Char"/>
          <w:rFonts w:ascii="Calibri" w:eastAsiaTheme="minorHAnsi" w:hAnsi="Calibri" w:cs="Times New Roman"/>
          <w:color w:val="auto"/>
        </w:rPr>
      </w:pPr>
    </w:p>
    <w:p w14:paraId="1405F00F" w14:textId="610225E8" w:rsidR="004275E8" w:rsidRPr="003F6A10" w:rsidRDefault="004275E8" w:rsidP="007E3DC8">
      <w:pPr>
        <w:pStyle w:val="Heading3"/>
        <w:numPr>
          <w:ilvl w:val="1"/>
          <w:numId w:val="43"/>
        </w:numPr>
        <w:rPr>
          <w:rStyle w:val="normaltextrun"/>
        </w:rPr>
      </w:pPr>
      <w:bookmarkStart w:id="578" w:name="_Toc118992542"/>
      <w:bookmarkStart w:id="579" w:name="_Toc163221182"/>
      <w:r w:rsidRPr="003F6A10">
        <w:rPr>
          <w:rStyle w:val="normaltextrun"/>
        </w:rPr>
        <w:lastRenderedPageBreak/>
        <w:t>Literature Review – Proposed improvements to service delivery of ODT</w:t>
      </w:r>
      <w:bookmarkEnd w:id="578"/>
      <w:bookmarkEnd w:id="579"/>
    </w:p>
    <w:p w14:paraId="42D72A1E" w14:textId="77777777" w:rsidR="004275E8" w:rsidRPr="003F6A10" w:rsidRDefault="004275E8" w:rsidP="007E3DC8">
      <w:pPr>
        <w:pStyle w:val="Heading4"/>
        <w:numPr>
          <w:ilvl w:val="2"/>
          <w:numId w:val="43"/>
        </w:numPr>
        <w:rPr>
          <w:rStyle w:val="normaltextrun"/>
        </w:rPr>
      </w:pPr>
      <w:r w:rsidRPr="003F6A10">
        <w:rPr>
          <w:rStyle w:val="normaltextrun"/>
        </w:rPr>
        <w:t>Commonwealth and jurisdictional responsibility</w:t>
      </w:r>
    </w:p>
    <w:p w14:paraId="5377A35A" w14:textId="57C067EA" w:rsidR="004275E8" w:rsidRPr="00EA3458" w:rsidRDefault="004275E8" w:rsidP="001E3375">
      <w:r w:rsidRPr="00EA3458">
        <w:rPr>
          <w:rStyle w:val="normaltextrun"/>
          <w:rFonts w:asciiTheme="minorHAnsi" w:hAnsiTheme="minorHAnsi" w:cstheme="minorHAnsi"/>
        </w:rPr>
        <w:t xml:space="preserve">The challenge of federal and jurisdictional responsibility is reflected in many countries including the United States of America, Canada, Germany, Spain, among others. There is no gold </w:t>
      </w:r>
      <w:r w:rsidR="00594AF2" w:rsidRPr="00EA3458">
        <w:rPr>
          <w:rStyle w:val="normaltextrun"/>
          <w:rFonts w:asciiTheme="minorHAnsi" w:hAnsiTheme="minorHAnsi" w:cstheme="minorHAnsi"/>
        </w:rPr>
        <w:t>standard,</w:t>
      </w:r>
      <w:r w:rsidRPr="00EA3458">
        <w:rPr>
          <w:rStyle w:val="normaltextrun"/>
          <w:rFonts w:asciiTheme="minorHAnsi" w:hAnsiTheme="minorHAnsi" w:cstheme="minorHAnsi"/>
        </w:rPr>
        <w:t xml:space="preserve"> or </w:t>
      </w:r>
      <w:r w:rsidR="003A65D7">
        <w:rPr>
          <w:rStyle w:val="normaltextrun"/>
          <w:rFonts w:asciiTheme="minorHAnsi" w:hAnsiTheme="minorHAnsi" w:cstheme="minorHAnsi"/>
        </w:rPr>
        <w:t xml:space="preserve">one </w:t>
      </w:r>
      <w:r w:rsidRPr="00EA3458">
        <w:rPr>
          <w:rStyle w:val="normaltextrun"/>
          <w:rFonts w:asciiTheme="minorHAnsi" w:hAnsiTheme="minorHAnsi" w:cstheme="minorHAnsi"/>
        </w:rPr>
        <w:t xml:space="preserve">model of excellence </w:t>
      </w:r>
      <w:r w:rsidR="003A65D7">
        <w:rPr>
          <w:rStyle w:val="normaltextrun"/>
          <w:rFonts w:asciiTheme="minorHAnsi" w:hAnsiTheme="minorHAnsi" w:cstheme="minorHAnsi"/>
        </w:rPr>
        <w:t xml:space="preserve">identified in the literature </w:t>
      </w:r>
      <w:r w:rsidRPr="00EA3458">
        <w:rPr>
          <w:rStyle w:val="normaltextrun"/>
          <w:rFonts w:asciiTheme="minorHAnsi" w:hAnsiTheme="minorHAnsi" w:cstheme="minorHAnsi"/>
        </w:rPr>
        <w:t>for delivery and most models reflect the organisation and systems of funding health care and social care. Also, the approaches to links between health care and criminal justice systems strongly influence the actual delivery and continuity of treatment across the system. </w:t>
      </w:r>
      <w:r w:rsidRPr="00EA3458">
        <w:rPr>
          <w:rStyle w:val="eop"/>
          <w:rFonts w:cstheme="minorHAnsi"/>
        </w:rPr>
        <w:t> </w:t>
      </w:r>
    </w:p>
    <w:p w14:paraId="2FC2A776" w14:textId="5B11B3EC" w:rsidR="004275E8" w:rsidRPr="00EA3458" w:rsidRDefault="004275E8" w:rsidP="00DA0E77">
      <w:r w:rsidRPr="00EA3458">
        <w:rPr>
          <w:rStyle w:val="normaltextrun"/>
          <w:rFonts w:asciiTheme="minorHAnsi" w:hAnsiTheme="minorHAnsi" w:cstheme="minorHAnsi"/>
        </w:rPr>
        <w:t>The complexity of the organisation of ODT in Australia is exemplified by the mix of Commonwealth and jurisdictional input and funding into the program and the considerable variation across jurisdictions. The shared responsibility has resulted in very marked variation in the models of service delivery across different jurisdictions. The variation in expenditure by state has also shaped the variation in models of service delivery. Overarching principles of care, equity and high-quality accessible treatment should guide the future design and delivery of ODT</w:t>
      </w:r>
      <w:r w:rsidR="00EE1F27">
        <w:rPr>
          <w:rStyle w:val="normaltextrun"/>
          <w:rFonts w:asciiTheme="minorHAnsi" w:hAnsiTheme="minorHAnsi" w:cstheme="minorHAnsi"/>
        </w:rPr>
        <w:t xml:space="preserve"> programs</w:t>
      </w:r>
      <w:r w:rsidRPr="00EA3458">
        <w:rPr>
          <w:rStyle w:val="normaltextrun"/>
          <w:rFonts w:asciiTheme="minorHAnsi" w:hAnsiTheme="minorHAnsi" w:cstheme="minorHAnsi"/>
        </w:rPr>
        <w:t>. </w:t>
      </w:r>
      <w:r w:rsidRPr="00EA3458">
        <w:rPr>
          <w:rStyle w:val="eop"/>
          <w:rFonts w:cstheme="minorHAnsi"/>
        </w:rPr>
        <w:t> </w:t>
      </w:r>
    </w:p>
    <w:p w14:paraId="599F25B2" w14:textId="6C39BF4D" w:rsidR="004275E8" w:rsidRPr="00812348" w:rsidRDefault="004275E8" w:rsidP="00812348">
      <w:r w:rsidRPr="00EA3458">
        <w:rPr>
          <w:rStyle w:val="eop"/>
          <w:rFonts w:eastAsia="Calibri"/>
        </w:rPr>
        <w:t>Treatment coverage in Australia is comparably good by international standards</w:t>
      </w:r>
      <w:hyperlink w:anchor="_ENREF_99" w:tooltip="Larney, 2017 #8" w:history="1">
        <w:r w:rsidR="002565E6" w:rsidRPr="00EA3458">
          <w:rPr>
            <w:rStyle w:val="eop"/>
            <w:rFonts w:eastAsia="Calibri"/>
          </w:rPr>
          <w:fldChar w:fldCharType="begin">
            <w:fldData xml:space="preserve">PEVuZE5vdGU+PENpdGU+PEF1dGhvcj5MYXJuZXk8L0F1dGhvcj48WWVhcj4yMDE3PC9ZZWFyPjxS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</w:fldData>
          </w:fldChar>
        </w:r>
        <w:r w:rsidR="002565E6">
          <w:rPr>
            <w:rStyle w:val="eop"/>
            <w:rFonts w:eastAsia="Calibri"/>
          </w:rPr>
          <w:instrText xml:space="preserve"> ADDIN EN.CITE </w:instrText>
        </w:r>
        <w:r w:rsidR="002565E6">
          <w:rPr>
            <w:rStyle w:val="eop"/>
            <w:rFonts w:eastAsia="Calibri"/>
          </w:rPr>
          <w:fldChar w:fldCharType="begin">
            <w:fldData xml:space="preserve">PEVuZE5vdGU+PENpdGU+PEF1dGhvcj5MYXJuZXk8L0F1dGhvcj48WWVhcj4yMDE3PC9ZZWFyPjxS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</w:fldData>
          </w:fldChar>
        </w:r>
        <w:r w:rsidR="002565E6">
          <w:rPr>
            <w:rStyle w:val="eop"/>
            <w:rFonts w:eastAsia="Calibri"/>
          </w:rPr>
          <w:instrText xml:space="preserve"> ADDIN EN.CITE.DATA </w:instrText>
        </w:r>
        <w:r w:rsidR="002565E6">
          <w:rPr>
            <w:rStyle w:val="eop"/>
            <w:rFonts w:eastAsia="Calibri"/>
          </w:rPr>
        </w:r>
        <w:r w:rsidR="002565E6">
          <w:rPr>
            <w:rStyle w:val="eop"/>
            <w:rFonts w:eastAsia="Calibri"/>
          </w:rPr>
          <w:fldChar w:fldCharType="end"/>
        </w:r>
        <w:r w:rsidR="002565E6" w:rsidRPr="00EA3458">
          <w:rPr>
            <w:rStyle w:val="eop"/>
            <w:rFonts w:eastAsia="Calibri"/>
          </w:rPr>
        </w:r>
        <w:r w:rsidR="002565E6" w:rsidRPr="00EA3458">
          <w:rPr>
            <w:rStyle w:val="eop"/>
            <w:rFonts w:eastAsia="Calibri"/>
          </w:rPr>
          <w:fldChar w:fldCharType="separate"/>
        </w:r>
        <w:r w:rsidR="002565E6" w:rsidRPr="002565E6">
          <w:rPr>
            <w:rStyle w:val="eop"/>
            <w:rFonts w:eastAsia="Calibri"/>
            <w:noProof/>
            <w:vertAlign w:val="superscript"/>
          </w:rPr>
          <w:t>99</w:t>
        </w:r>
        <w:r w:rsidR="002565E6" w:rsidRPr="00EA3458">
          <w:rPr>
            <w:rStyle w:val="eop"/>
            <w:rFonts w:eastAsia="Calibri"/>
          </w:rPr>
          <w:fldChar w:fldCharType="end"/>
        </w:r>
      </w:hyperlink>
      <w:r w:rsidRPr="00EA3458">
        <w:rPr>
          <w:rStyle w:val="eop"/>
          <w:rFonts w:eastAsia="Calibri"/>
        </w:rPr>
        <w:t xml:space="preserve"> and the level of provision within the criminal justice system is much higher than many other countries.  However, there are still major gaps in both the provision and the continuity of treatment and </w:t>
      </w:r>
      <w:r w:rsidRPr="00812348">
        <w:t xml:space="preserve">much variation across jurisdictions. Future moves towards provision of </w:t>
      </w:r>
      <w:r w:rsidR="00890963" w:rsidRPr="00812348">
        <w:t xml:space="preserve">LAIB </w:t>
      </w:r>
      <w:r w:rsidRPr="00812348">
        <w:t>in</w:t>
      </w:r>
      <w:r w:rsidR="003A65D7">
        <w:t xml:space="preserve"> state and territory</w:t>
      </w:r>
      <w:r w:rsidRPr="00812348">
        <w:t xml:space="preserve"> justice settings will</w:t>
      </w:r>
      <w:r w:rsidR="00B72B17">
        <w:t xml:space="preserve"> likely</w:t>
      </w:r>
      <w:r w:rsidRPr="00812348">
        <w:t xml:space="preserve"> require more active planning both within prisons and on discharge to communities to ensure full coverage.</w:t>
      </w:r>
    </w:p>
    <w:p w14:paraId="4975F09C" w14:textId="07B5F971" w:rsidR="004275E8" w:rsidRPr="00812348" w:rsidRDefault="0091545F" w:rsidP="007E3DC8">
      <w:pPr>
        <w:pStyle w:val="Heading4"/>
        <w:numPr>
          <w:ilvl w:val="2"/>
          <w:numId w:val="43"/>
        </w:numPr>
      </w:pPr>
      <w:r w:rsidRPr="00812348">
        <w:t>Improving the affordability of O</w:t>
      </w:r>
      <w:r w:rsidR="00F364B3">
        <w:t>D</w:t>
      </w:r>
      <w:r w:rsidRPr="00812348">
        <w:t>T medicines for consumers</w:t>
      </w:r>
    </w:p>
    <w:p w14:paraId="4C9C6D6F" w14:textId="642C7FD4" w:rsidR="004275E8" w:rsidRDefault="004740C5" w:rsidP="00812348">
      <w:pPr>
        <w:rPr>
          <w:rStyle w:val="eop"/>
        </w:rPr>
      </w:pPr>
      <w:r>
        <w:rPr>
          <w:rFonts w:cstheme="minorHAnsi"/>
          <w:bCs/>
          <w:iCs/>
        </w:rPr>
        <w:t>Research</w:t>
      </w:r>
      <w:r w:rsidRPr="00847C02">
        <w:rPr>
          <w:rFonts w:cstheme="minorHAnsi"/>
          <w:bCs/>
          <w:iCs/>
        </w:rPr>
        <w:t xml:space="preserve"> </w:t>
      </w:r>
      <w:r>
        <w:rPr>
          <w:rFonts w:cstheme="minorHAnsi"/>
          <w:bCs/>
          <w:iCs/>
        </w:rPr>
        <w:t>evidence, stakeholder input, consumer consultation and Reference Group members suggests</w:t>
      </w:r>
      <w:r w:rsidRPr="00847C02">
        <w:rPr>
          <w:rFonts w:cstheme="minorHAnsi"/>
          <w:bCs/>
          <w:iCs/>
        </w:rPr>
        <w:t xml:space="preserve"> </w:t>
      </w:r>
      <w:r>
        <w:rPr>
          <w:rFonts w:cstheme="minorHAnsi"/>
          <w:bCs/>
          <w:iCs/>
        </w:rPr>
        <w:t xml:space="preserve">solving for the core issue of affordability is the number one priority area for change that will result in the most positive impact on the lives of people in ODT. </w:t>
      </w:r>
      <w:r w:rsidR="004275E8" w:rsidRPr="00812348">
        <w:t xml:space="preserve">Recognising the challenge for consumers around cost and </w:t>
      </w:r>
      <w:r w:rsidR="004275E8" w:rsidRPr="007A51A4">
        <w:t>affordability</w:t>
      </w:r>
      <w:r w:rsidR="004275E8" w:rsidRPr="007A51A4">
        <w:rPr>
          <w:rStyle w:val="normaltextrun"/>
          <w:rFonts w:asciiTheme="minorHAnsi" w:hAnsiTheme="minorHAnsi" w:cstheme="minorBidi"/>
        </w:rPr>
        <w:t xml:space="preserve"> requires a design</w:t>
      </w:r>
      <w:r w:rsidR="004275E8" w:rsidRPr="00EA3458">
        <w:rPr>
          <w:rStyle w:val="normaltextrun"/>
          <w:rFonts w:asciiTheme="minorHAnsi" w:hAnsiTheme="minorHAnsi" w:cstheme="minorBidi"/>
        </w:rPr>
        <w:t xml:space="preserve"> of broader community services that are funded through both Commonwealth and jurisdictional resources that avoids cost shifting and ensures </w:t>
      </w:r>
      <w:r w:rsidR="00E86E00">
        <w:rPr>
          <w:rStyle w:val="normaltextrun"/>
          <w:rFonts w:asciiTheme="minorHAnsi" w:hAnsiTheme="minorHAnsi" w:cstheme="minorBidi"/>
        </w:rPr>
        <w:t xml:space="preserve">a </w:t>
      </w:r>
      <w:r w:rsidR="00E86E00" w:rsidRPr="00EA3458">
        <w:rPr>
          <w:rStyle w:val="normaltextrun"/>
          <w:rFonts w:asciiTheme="minorHAnsi" w:hAnsiTheme="minorHAnsi" w:cstheme="minorBidi"/>
        </w:rPr>
        <w:t>high-quality</w:t>
      </w:r>
      <w:r w:rsidR="004275E8" w:rsidRPr="00EA3458">
        <w:rPr>
          <w:rStyle w:val="normaltextrun"/>
          <w:rFonts w:asciiTheme="minorHAnsi" w:hAnsiTheme="minorHAnsi" w:cstheme="minorBidi"/>
        </w:rPr>
        <w:t xml:space="preserve"> </w:t>
      </w:r>
      <w:r w:rsidR="00E86E00">
        <w:rPr>
          <w:rStyle w:val="normaltextrun"/>
          <w:rFonts w:asciiTheme="minorHAnsi" w:hAnsiTheme="minorHAnsi" w:cstheme="minorBidi"/>
        </w:rPr>
        <w:t>treatment</w:t>
      </w:r>
      <w:r w:rsidR="004275E8" w:rsidRPr="00EA3458">
        <w:rPr>
          <w:rStyle w:val="normaltextrun"/>
          <w:rFonts w:asciiTheme="minorHAnsi" w:hAnsiTheme="minorHAnsi" w:cstheme="minorBidi"/>
        </w:rPr>
        <w:t xml:space="preserve"> </w:t>
      </w:r>
      <w:r w:rsidR="00E86E00">
        <w:rPr>
          <w:rStyle w:val="normaltextrun"/>
          <w:rFonts w:asciiTheme="minorHAnsi" w:hAnsiTheme="minorHAnsi" w:cstheme="minorBidi"/>
        </w:rPr>
        <w:t xml:space="preserve">service </w:t>
      </w:r>
      <w:r w:rsidR="004275E8" w:rsidRPr="00EA3458">
        <w:rPr>
          <w:rStyle w:val="normaltextrun"/>
          <w:rFonts w:asciiTheme="minorHAnsi" w:hAnsiTheme="minorHAnsi" w:cstheme="minorBidi"/>
        </w:rPr>
        <w:t>where the private sector is relied upon for delivery of treatment.</w:t>
      </w:r>
      <w:r w:rsidR="004275E8" w:rsidRPr="00EA3458">
        <w:rPr>
          <w:rStyle w:val="eop"/>
        </w:rPr>
        <w:t xml:space="preserve"> Examples in England, Wales and Scotland, Ireland, </w:t>
      </w:r>
      <w:r w:rsidR="00594AF2" w:rsidRPr="00EA3458">
        <w:rPr>
          <w:rStyle w:val="eop"/>
        </w:rPr>
        <w:t>Canada,</w:t>
      </w:r>
      <w:r w:rsidR="004275E8" w:rsidRPr="00EA3458">
        <w:rPr>
          <w:rStyle w:val="eop"/>
        </w:rPr>
        <w:t xml:space="preserve"> and France demonstrate that costs to </w:t>
      </w:r>
      <w:r w:rsidR="00E86E00">
        <w:rPr>
          <w:rStyle w:val="eop"/>
        </w:rPr>
        <w:t>people in ODT programs</w:t>
      </w:r>
      <w:r w:rsidR="004275E8" w:rsidRPr="00EA3458">
        <w:rPr>
          <w:rStyle w:val="eop"/>
        </w:rPr>
        <w:t xml:space="preserve"> can be minimised in a manner that reduces barriers to access to care. Up-front costs to service users are critical barriers to care. </w:t>
      </w:r>
    </w:p>
    <w:p w14:paraId="307FE88D" w14:textId="7E5C0DBD" w:rsidR="004740C5" w:rsidRPr="00EA3458" w:rsidRDefault="004740C5" w:rsidP="00812348">
      <w:pPr>
        <w:rPr>
          <w:rStyle w:val="eop"/>
          <w:rFonts w:asciiTheme="majorHAnsi" w:eastAsiaTheme="majorEastAsia" w:hAnsiTheme="majorHAnsi" w:cstheme="majorBidi"/>
          <w:i/>
          <w:iCs/>
          <w:color w:val="2F5496" w:themeColor="accent1" w:themeShade="BF"/>
        </w:rPr>
      </w:pPr>
      <w:r>
        <w:t>PBS listings of ODT medicines with PBS co-payments from consumers would mean these payments contribute to the Safety Net threshold as well as providing remuneration for PBS approved suppliers like pharmacists, like other medicines for chronic conditions on the PBS.</w:t>
      </w:r>
      <w:r w:rsidRPr="005F2527">
        <w:t xml:space="preserve"> </w:t>
      </w:r>
      <w:r>
        <w:t xml:space="preserve">This means pharmacists would not be able to (and would not need to) charge private fees on top of the PBS co-payment as with other medicines on the PBS. </w:t>
      </w:r>
      <w:r w:rsidRPr="009C4FB7">
        <w:t xml:space="preserve">However, it is important to note that </w:t>
      </w:r>
      <w:r>
        <w:t>PBS</w:t>
      </w:r>
      <w:r w:rsidRPr="009C4FB7">
        <w:t xml:space="preserve"> remuneration </w:t>
      </w:r>
      <w:r>
        <w:t>for pharmacist dispensing activities associated with ODT medicines</w:t>
      </w:r>
      <w:r w:rsidRPr="009C4FB7">
        <w:t xml:space="preserve"> </w:t>
      </w:r>
      <w:r>
        <w:t xml:space="preserve">may need to consider whether </w:t>
      </w:r>
      <w:r w:rsidRPr="009C4FB7">
        <w:t>separate fee</w:t>
      </w:r>
      <w:r>
        <w:t>s are required</w:t>
      </w:r>
      <w:r w:rsidRPr="009C4FB7">
        <w:t xml:space="preserve"> for supervised dosing/dose management</w:t>
      </w:r>
      <w:r>
        <w:t>, and if so, options for how these could be implemented</w:t>
      </w:r>
      <w:r w:rsidR="00F362F1">
        <w:t xml:space="preserve">. </w:t>
      </w:r>
    </w:p>
    <w:p w14:paraId="3417097B" w14:textId="573F70F0" w:rsidR="00C95268" w:rsidRDefault="00C95268" w:rsidP="00DA0E77">
      <w:pPr>
        <w:rPr>
          <w:rStyle w:val="eop"/>
          <w:rFonts w:eastAsia="Calibri"/>
        </w:rPr>
      </w:pPr>
      <w:r>
        <w:rPr>
          <w:rStyle w:val="eop"/>
          <w:rFonts w:eastAsia="Calibri"/>
        </w:rPr>
        <w:t xml:space="preserve">While stakeholders suggested the Commonwealth introduce new </w:t>
      </w:r>
      <w:r w:rsidR="004740C5">
        <w:rPr>
          <w:rStyle w:val="eop"/>
          <w:rFonts w:eastAsia="Calibri"/>
        </w:rPr>
        <w:t xml:space="preserve">MBS </w:t>
      </w:r>
      <w:r>
        <w:rPr>
          <w:rStyle w:val="eop"/>
          <w:rFonts w:eastAsia="Calibri"/>
        </w:rPr>
        <w:t>items specifically for ODT service delivery,</w:t>
      </w:r>
      <w:r w:rsidR="004740C5" w:rsidRPr="004740C5">
        <w:rPr>
          <w:rFonts w:cstheme="minorHAnsi"/>
        </w:rPr>
        <w:t xml:space="preserve"> </w:t>
      </w:r>
      <w:r w:rsidR="004740C5">
        <w:rPr>
          <w:rFonts w:cstheme="minorHAnsi"/>
        </w:rPr>
        <w:t>n</w:t>
      </w:r>
      <w:r w:rsidR="004740C5" w:rsidRPr="0040351E">
        <w:rPr>
          <w:rFonts w:cstheme="minorHAnsi"/>
        </w:rPr>
        <w:t xml:space="preserve">oting the Strengthening Medicare Taskforce currently underway, </w:t>
      </w:r>
      <w:r w:rsidR="004740C5" w:rsidRPr="0040351E">
        <w:rPr>
          <w:rFonts w:cstheme="minorHAnsi"/>
        </w:rPr>
        <w:lastRenderedPageBreak/>
        <w:t>consideration</w:t>
      </w:r>
      <w:r w:rsidR="004740C5">
        <w:rPr>
          <w:rFonts w:cstheme="minorHAnsi"/>
        </w:rPr>
        <w:t xml:space="preserve"> of matters raised in relation to the MBS w</w:t>
      </w:r>
      <w:r w:rsidR="005C2FDD">
        <w:rPr>
          <w:rFonts w:cstheme="minorHAnsi"/>
        </w:rPr>
        <w:t>ere</w:t>
      </w:r>
      <w:r w:rsidR="004740C5">
        <w:rPr>
          <w:rFonts w:cstheme="minorHAnsi"/>
        </w:rPr>
        <w:t xml:space="preserve"> not considered in detail as part of the TOR for this review. The </w:t>
      </w:r>
      <w:hyperlink r:id="rId29" w:history="1">
        <w:r w:rsidR="004740C5" w:rsidRPr="004740C5">
          <w:rPr>
            <w:rStyle w:val="Hyperlink"/>
            <w:rFonts w:cstheme="minorHAnsi"/>
          </w:rPr>
          <w:t>Strengthening Medicare Taskforce Report</w:t>
        </w:r>
      </w:hyperlink>
      <w:r w:rsidR="005C2FDD">
        <w:rPr>
          <w:rFonts w:cstheme="minorHAnsi"/>
        </w:rPr>
        <w:t xml:space="preserve"> published in February 2023</w:t>
      </w:r>
      <w:r w:rsidR="004740C5">
        <w:rPr>
          <w:rFonts w:cstheme="minorHAnsi"/>
        </w:rPr>
        <w:t xml:space="preserve"> recommends significant changes to how primary care is funded and delivered to enable high quality, integrated and person-centred care for all Australians</w:t>
      </w:r>
      <w:r w:rsidR="004275E8" w:rsidRPr="00EA3458">
        <w:rPr>
          <w:rStyle w:val="eop"/>
          <w:rFonts w:eastAsia="Calibri"/>
        </w:rPr>
        <w:t xml:space="preserve">. </w:t>
      </w:r>
    </w:p>
    <w:p w14:paraId="6A410D66" w14:textId="4CFB0EE5" w:rsidR="00C95268" w:rsidRDefault="00C95268" w:rsidP="00DA0E77">
      <w:pPr>
        <w:rPr>
          <w:rFonts w:asciiTheme="minorHAnsi" w:hAnsiTheme="minorHAnsi" w:cstheme="minorHAnsi"/>
          <w:lang w:eastAsia="en-AU"/>
        </w:rPr>
      </w:pPr>
      <w:r>
        <w:rPr>
          <w:rStyle w:val="eop"/>
          <w:rFonts w:eastAsia="Calibri"/>
        </w:rPr>
        <w:t>In addition, o</w:t>
      </w:r>
      <w:r w:rsidRPr="00921C35">
        <w:rPr>
          <w:rFonts w:asciiTheme="minorHAnsi" w:hAnsiTheme="minorHAnsi" w:cstheme="minorHAnsi"/>
          <w:lang w:eastAsia="en-AU"/>
        </w:rPr>
        <w:t xml:space="preserve">pioids and non-medical use of pharmaceuticals are included as key areas of focus under Australia’s National Drug Strategy. Through the Strategy, all Australian governments have identified a range of evidence-based approaches to minimise harm associated with these substances. This includes clinical assessment and support provided through primary care and clinical care settings, the provision of specific drug and alcohol treatment and support services, access to naloxone and opioid maintenance pharmacotherapies, as well as </w:t>
      </w:r>
      <w:r w:rsidR="000401C7">
        <w:rPr>
          <w:rFonts w:asciiTheme="minorHAnsi" w:hAnsiTheme="minorHAnsi" w:cstheme="minorHAnsi"/>
          <w:lang w:eastAsia="en-AU"/>
        </w:rPr>
        <w:t>s</w:t>
      </w:r>
      <w:r w:rsidRPr="00921C35">
        <w:rPr>
          <w:rFonts w:asciiTheme="minorHAnsi" w:hAnsiTheme="minorHAnsi" w:cstheme="minorHAnsi"/>
          <w:lang w:eastAsia="en-AU"/>
        </w:rPr>
        <w:t xml:space="preserve">tate and </w:t>
      </w:r>
      <w:r w:rsidR="000401C7">
        <w:rPr>
          <w:rFonts w:asciiTheme="minorHAnsi" w:hAnsiTheme="minorHAnsi" w:cstheme="minorHAnsi"/>
          <w:lang w:eastAsia="en-AU"/>
        </w:rPr>
        <w:t>t</w:t>
      </w:r>
      <w:r w:rsidRPr="00921C35">
        <w:rPr>
          <w:rFonts w:asciiTheme="minorHAnsi" w:hAnsiTheme="minorHAnsi" w:cstheme="minorHAnsi"/>
          <w:lang w:eastAsia="en-AU"/>
        </w:rPr>
        <w:t>erritory-run programs such as medically supervised injection centres.</w:t>
      </w:r>
      <w:r>
        <w:rPr>
          <w:rFonts w:asciiTheme="minorHAnsi" w:hAnsiTheme="minorHAnsi" w:cstheme="minorHAnsi"/>
          <w:lang w:eastAsia="en-AU"/>
        </w:rPr>
        <w:t xml:space="preserve"> </w:t>
      </w:r>
    </w:p>
    <w:p w14:paraId="281F1038" w14:textId="03FE214C" w:rsidR="004275E8" w:rsidRPr="00EA3458" w:rsidRDefault="004275E8" w:rsidP="00DA0E77">
      <w:pPr>
        <w:rPr>
          <w:rStyle w:val="eop"/>
          <w:rFonts w:eastAsia="Calibri"/>
        </w:rPr>
      </w:pPr>
      <w:r w:rsidRPr="00EA3458">
        <w:rPr>
          <w:rStyle w:val="eop"/>
          <w:rFonts w:eastAsia="Calibri"/>
        </w:rPr>
        <w:t xml:space="preserve">The support for </w:t>
      </w:r>
      <w:r w:rsidR="00FE72D3">
        <w:rPr>
          <w:rStyle w:val="eop"/>
          <w:rFonts w:eastAsia="Calibri"/>
        </w:rPr>
        <w:t>a</w:t>
      </w:r>
      <w:r w:rsidRPr="00EA3458">
        <w:rPr>
          <w:rStyle w:val="eop"/>
          <w:rFonts w:eastAsia="Calibri"/>
        </w:rPr>
        <w:t xml:space="preserve">ddiction </w:t>
      </w:r>
      <w:r w:rsidR="00FE72D3">
        <w:rPr>
          <w:rStyle w:val="eop"/>
          <w:rFonts w:eastAsia="Calibri"/>
        </w:rPr>
        <w:t>s</w:t>
      </w:r>
      <w:r w:rsidRPr="00EA3458">
        <w:rPr>
          <w:rStyle w:val="eop"/>
          <w:rFonts w:eastAsia="Calibri"/>
        </w:rPr>
        <w:t xml:space="preserve">pecialists </w:t>
      </w:r>
      <w:r w:rsidR="00F364B3">
        <w:rPr>
          <w:rStyle w:val="eop"/>
          <w:rFonts w:eastAsia="Calibri"/>
        </w:rPr>
        <w:t xml:space="preserve">and practitioners </w:t>
      </w:r>
      <w:r w:rsidRPr="00EA3458">
        <w:rPr>
          <w:rStyle w:val="eop"/>
          <w:rFonts w:eastAsia="Calibri"/>
        </w:rPr>
        <w:t xml:space="preserve">including </w:t>
      </w:r>
      <w:r w:rsidR="00FE72D3">
        <w:rPr>
          <w:rStyle w:val="eop"/>
          <w:rFonts w:eastAsia="Calibri"/>
        </w:rPr>
        <w:t>n</w:t>
      </w:r>
      <w:r w:rsidRPr="00EA3458">
        <w:rPr>
          <w:rStyle w:val="eop"/>
          <w:rFonts w:eastAsia="Calibri"/>
        </w:rPr>
        <w:t xml:space="preserve">urse </w:t>
      </w:r>
      <w:r w:rsidR="00FE72D3">
        <w:rPr>
          <w:rStyle w:val="eop"/>
          <w:rFonts w:eastAsia="Calibri"/>
        </w:rPr>
        <w:t>p</w:t>
      </w:r>
      <w:r w:rsidRPr="00EA3458">
        <w:rPr>
          <w:rStyle w:val="eop"/>
          <w:rFonts w:eastAsia="Calibri"/>
        </w:rPr>
        <w:t xml:space="preserve">ractitioners and </w:t>
      </w:r>
      <w:r w:rsidR="00FE72D3">
        <w:rPr>
          <w:rStyle w:val="eop"/>
          <w:rFonts w:eastAsia="Calibri"/>
        </w:rPr>
        <w:t>GP</w:t>
      </w:r>
      <w:r w:rsidR="00F364B3">
        <w:rPr>
          <w:rStyle w:val="eop"/>
          <w:rFonts w:eastAsia="Calibri"/>
        </w:rPr>
        <w:t>s</w:t>
      </w:r>
      <w:r w:rsidRPr="00EA3458">
        <w:rPr>
          <w:rStyle w:val="eop"/>
          <w:rFonts w:eastAsia="Calibri"/>
        </w:rPr>
        <w:t xml:space="preserve"> is critical to the overall organisational support and development of high coverage and well-organised O</w:t>
      </w:r>
      <w:r w:rsidR="00F364B3">
        <w:rPr>
          <w:rStyle w:val="eop"/>
          <w:rFonts w:eastAsia="Calibri"/>
        </w:rPr>
        <w:t>D</w:t>
      </w:r>
      <w:r w:rsidRPr="00EA3458">
        <w:rPr>
          <w:rStyle w:val="eop"/>
          <w:rFonts w:eastAsia="Calibri"/>
        </w:rPr>
        <w:t xml:space="preserve">T at both a </w:t>
      </w:r>
      <w:r w:rsidR="00C95268">
        <w:rPr>
          <w:rStyle w:val="eop"/>
          <w:rFonts w:eastAsia="Calibri"/>
        </w:rPr>
        <w:t>Commonwealth</w:t>
      </w:r>
      <w:r w:rsidRPr="00EA3458">
        <w:rPr>
          <w:rStyle w:val="eop"/>
          <w:rFonts w:eastAsia="Calibri"/>
        </w:rPr>
        <w:t xml:space="preserve"> and jurisdictional level.</w:t>
      </w:r>
    </w:p>
    <w:p w14:paraId="4ABE0677" w14:textId="65B53A7E" w:rsidR="004275E8" w:rsidRPr="00EA3458" w:rsidRDefault="005C2FDD" w:rsidP="00DA0E77">
      <w:r>
        <w:rPr>
          <w:rStyle w:val="eop"/>
          <w:rFonts w:eastAsia="Calibri" w:cstheme="minorHAnsi"/>
        </w:rPr>
        <w:t>Research regarding barriers and facilitators to ODT for First Nations people will be important to inform future policy and programs.</w:t>
      </w:r>
      <w:r w:rsidR="006C4A78">
        <w:rPr>
          <w:rStyle w:val="eop"/>
          <w:rFonts w:eastAsia="Calibri" w:cstheme="minorHAnsi"/>
        </w:rPr>
        <w:t xml:space="preserve"> </w:t>
      </w:r>
      <w:r w:rsidR="004275E8" w:rsidRPr="00EA3458">
        <w:rPr>
          <w:rStyle w:val="eop"/>
          <w:rFonts w:eastAsia="Calibri" w:cstheme="minorHAnsi"/>
        </w:rPr>
        <w:t xml:space="preserve">In addition, focussed support for </w:t>
      </w:r>
      <w:r w:rsidR="000013E1">
        <w:rPr>
          <w:rStyle w:val="eop"/>
          <w:rFonts w:eastAsia="Calibri" w:cstheme="minorHAnsi"/>
        </w:rPr>
        <w:t>ACCHOs</w:t>
      </w:r>
      <w:r w:rsidR="004275E8" w:rsidRPr="00EA3458">
        <w:rPr>
          <w:rStyle w:val="eop"/>
          <w:rFonts w:eastAsia="Calibri" w:cstheme="minorHAnsi"/>
        </w:rPr>
        <w:t xml:space="preserve"> participating in state and territory O</w:t>
      </w:r>
      <w:r w:rsidR="00F364B3">
        <w:rPr>
          <w:rStyle w:val="eop"/>
          <w:rFonts w:eastAsia="Calibri" w:cstheme="minorHAnsi"/>
        </w:rPr>
        <w:t>D</w:t>
      </w:r>
      <w:r w:rsidR="004275E8" w:rsidRPr="00EA3458">
        <w:rPr>
          <w:rStyle w:val="eop"/>
          <w:rFonts w:eastAsia="Calibri" w:cstheme="minorHAnsi"/>
        </w:rPr>
        <w:t xml:space="preserve">T programs would </w:t>
      </w:r>
      <w:r w:rsidR="006C4A78">
        <w:rPr>
          <w:rStyle w:val="eop"/>
          <w:rFonts w:eastAsia="Calibri" w:cstheme="minorHAnsi"/>
        </w:rPr>
        <w:t>assist in</w:t>
      </w:r>
      <w:r w:rsidR="004275E8" w:rsidRPr="00EA3458">
        <w:rPr>
          <w:rStyle w:val="eop"/>
          <w:rFonts w:eastAsia="Calibri" w:cstheme="minorHAnsi"/>
        </w:rPr>
        <w:t xml:space="preserve"> address</w:t>
      </w:r>
      <w:r w:rsidR="006C4A78">
        <w:rPr>
          <w:rStyle w:val="eop"/>
          <w:rFonts w:eastAsia="Calibri" w:cstheme="minorHAnsi"/>
        </w:rPr>
        <w:t>ing</w:t>
      </w:r>
      <w:r w:rsidR="004275E8" w:rsidRPr="00EA3458">
        <w:rPr>
          <w:rStyle w:val="eop"/>
          <w:rFonts w:eastAsia="Calibri" w:cstheme="minorHAnsi"/>
        </w:rPr>
        <w:t xml:space="preserve"> key health gaps and systemic responses.</w:t>
      </w:r>
      <w:r>
        <w:rPr>
          <w:rStyle w:val="eop"/>
          <w:rFonts w:eastAsia="Calibri" w:cstheme="minorHAnsi"/>
        </w:rPr>
        <w:t xml:space="preserve"> </w:t>
      </w:r>
    </w:p>
    <w:p w14:paraId="770AE010" w14:textId="77777777" w:rsidR="004275E8" w:rsidRPr="00EA3458" w:rsidRDefault="004275E8" w:rsidP="007E3DC8">
      <w:pPr>
        <w:pStyle w:val="Heading4"/>
        <w:numPr>
          <w:ilvl w:val="2"/>
          <w:numId w:val="43"/>
        </w:numPr>
      </w:pPr>
      <w:r w:rsidRPr="00EA3458">
        <w:t>Professional engagement</w:t>
      </w:r>
    </w:p>
    <w:p w14:paraId="7742C809" w14:textId="77777777" w:rsidR="004275E8" w:rsidRPr="00EA3458" w:rsidRDefault="004275E8" w:rsidP="00DA0E77">
      <w:pPr>
        <w:rPr>
          <w:rStyle w:val="normaltextrun"/>
          <w:rFonts w:asciiTheme="minorHAnsi" w:eastAsiaTheme="majorEastAsia" w:hAnsiTheme="minorHAnsi" w:cstheme="minorBidi"/>
          <w:i/>
          <w:iCs/>
          <w:color w:val="2F5496" w:themeColor="accent1" w:themeShade="BF"/>
        </w:rPr>
      </w:pPr>
      <w:r w:rsidRPr="00EA3458">
        <w:rPr>
          <w:rStyle w:val="normaltextrun"/>
          <w:rFonts w:asciiTheme="minorHAnsi" w:hAnsiTheme="minorHAnsi" w:cstheme="minorBidi"/>
        </w:rPr>
        <w:t xml:space="preserve">While much of the data are patchy, there is consistent information that for the full range of professionals involved across all jurisdictions the bulk of work is carried by an ageing population of professionals who have been engaged and committed to this program for decades. Many of these are approaching retirement age. There is a need to recruit a cadre of young professionals to replace those retiring over the next five to ten years. </w:t>
      </w:r>
    </w:p>
    <w:p w14:paraId="5800F5C8" w14:textId="2C880499" w:rsidR="004275E8" w:rsidRPr="00EA3458" w:rsidRDefault="00B72B17" w:rsidP="00DA0E77">
      <w:pPr>
        <w:rPr>
          <w:rStyle w:val="normaltextrun"/>
          <w:rFonts w:asciiTheme="minorHAnsi" w:hAnsiTheme="minorHAnsi" w:cstheme="minorBidi"/>
        </w:rPr>
      </w:pPr>
      <w:r>
        <w:rPr>
          <w:rStyle w:val="normaltextrun"/>
          <w:rFonts w:asciiTheme="minorHAnsi" w:hAnsiTheme="minorHAnsi" w:cstheme="minorBidi"/>
        </w:rPr>
        <w:t>Evidence suggests t</w:t>
      </w:r>
      <w:r w:rsidR="004275E8" w:rsidRPr="00EA3458">
        <w:rPr>
          <w:rStyle w:val="normaltextrun"/>
          <w:rFonts w:asciiTheme="minorHAnsi" w:hAnsiTheme="minorHAnsi" w:cstheme="minorBidi"/>
        </w:rPr>
        <w:t xml:space="preserve">here are critical workforce issues to be addressed if the future workforce is to be properly trained and professional standards of the multidisciplinary teams are part of an ongoing support and development approach. This </w:t>
      </w:r>
      <w:r>
        <w:rPr>
          <w:rStyle w:val="normaltextrun"/>
          <w:rFonts w:asciiTheme="minorHAnsi" w:hAnsiTheme="minorHAnsi" w:cstheme="minorBidi"/>
        </w:rPr>
        <w:t>would likely involve</w:t>
      </w:r>
      <w:r w:rsidR="004275E8" w:rsidRPr="00EA3458">
        <w:rPr>
          <w:rStyle w:val="normaltextrun"/>
          <w:rFonts w:asciiTheme="minorHAnsi" w:hAnsiTheme="minorHAnsi" w:cstheme="minorBidi"/>
        </w:rPr>
        <w:t xml:space="preserve"> broader training and </w:t>
      </w:r>
      <w:r w:rsidR="00804843">
        <w:rPr>
          <w:rStyle w:val="normaltextrun"/>
          <w:rFonts w:asciiTheme="minorHAnsi" w:hAnsiTheme="minorHAnsi" w:cstheme="minorBidi"/>
        </w:rPr>
        <w:t>needs to be adequately remunerated with</w:t>
      </w:r>
      <w:r w:rsidR="004275E8" w:rsidRPr="00EA3458">
        <w:rPr>
          <w:rStyle w:val="normaltextrun"/>
          <w:rFonts w:asciiTheme="minorHAnsi" w:hAnsiTheme="minorHAnsi" w:cstheme="minorBidi"/>
        </w:rPr>
        <w:t xml:space="preserve"> incentives to promote high quality and equitable practice. </w:t>
      </w:r>
      <w:r w:rsidR="00E01FF1" w:rsidRPr="00E01FF1">
        <w:rPr>
          <w:rStyle w:val="normaltextrun"/>
          <w:rFonts w:asciiTheme="minorHAnsi" w:hAnsiTheme="minorHAnsi" w:cstheme="minorBidi"/>
        </w:rPr>
        <w:t>Ideally</w:t>
      </w:r>
      <w:r w:rsidR="00E01FF1">
        <w:rPr>
          <w:rStyle w:val="normaltextrun"/>
          <w:rFonts w:asciiTheme="minorHAnsi" w:hAnsiTheme="minorHAnsi" w:cstheme="minorBidi"/>
        </w:rPr>
        <w:t>,</w:t>
      </w:r>
      <w:r w:rsidR="00E01FF1" w:rsidRPr="00E01FF1">
        <w:rPr>
          <w:rStyle w:val="normaltextrun"/>
          <w:rFonts w:asciiTheme="minorHAnsi" w:hAnsiTheme="minorHAnsi" w:cstheme="minorBidi"/>
        </w:rPr>
        <w:t xml:space="preserve"> there should also be a continuity of approach with respect to the inclusion of values clarification, role obligation and evidence into practice for O</w:t>
      </w:r>
      <w:r w:rsidR="00F364B3">
        <w:rPr>
          <w:rStyle w:val="normaltextrun"/>
          <w:rFonts w:asciiTheme="minorHAnsi" w:hAnsiTheme="minorHAnsi" w:cstheme="minorBidi"/>
        </w:rPr>
        <w:t>D</w:t>
      </w:r>
      <w:r w:rsidR="00E01FF1" w:rsidRPr="00E01FF1">
        <w:rPr>
          <w:rStyle w:val="normaltextrun"/>
          <w:rFonts w:asciiTheme="minorHAnsi" w:hAnsiTheme="minorHAnsi" w:cstheme="minorBidi"/>
        </w:rPr>
        <w:t xml:space="preserve">T that would promote universal access. </w:t>
      </w:r>
      <w:r w:rsidR="00804843">
        <w:rPr>
          <w:rStyle w:val="normaltextrun"/>
          <w:rFonts w:asciiTheme="minorHAnsi" w:hAnsiTheme="minorHAnsi" w:cstheme="minorBidi"/>
        </w:rPr>
        <w:t>Making this</w:t>
      </w:r>
      <w:r w:rsidR="00E01FF1" w:rsidRPr="00E01FF1">
        <w:rPr>
          <w:rStyle w:val="normaltextrun"/>
          <w:rFonts w:asciiTheme="minorHAnsi" w:hAnsiTheme="minorHAnsi" w:cstheme="minorBidi"/>
        </w:rPr>
        <w:t xml:space="preserve"> assessable and </w:t>
      </w:r>
      <w:r w:rsidR="00804843">
        <w:rPr>
          <w:rStyle w:val="normaltextrun"/>
          <w:rFonts w:asciiTheme="minorHAnsi" w:hAnsiTheme="minorHAnsi" w:cstheme="minorBidi"/>
        </w:rPr>
        <w:t xml:space="preserve">part of curriculum for </w:t>
      </w:r>
      <w:r w:rsidR="00E01FF1" w:rsidRPr="00E01FF1">
        <w:rPr>
          <w:rStyle w:val="normaltextrun"/>
          <w:rFonts w:asciiTheme="minorHAnsi" w:hAnsiTheme="minorHAnsi" w:cstheme="minorBidi"/>
        </w:rPr>
        <w:t>undergraduate teaching, postgraduate training (</w:t>
      </w:r>
      <w:r w:rsidR="00141209">
        <w:rPr>
          <w:rStyle w:val="normaltextrun"/>
          <w:rFonts w:asciiTheme="minorHAnsi" w:hAnsiTheme="minorHAnsi" w:cstheme="minorBidi"/>
        </w:rPr>
        <w:t xml:space="preserve">for all health professionals but </w:t>
      </w:r>
      <w:r w:rsidR="00E01FF1" w:rsidRPr="00E01FF1">
        <w:rPr>
          <w:rStyle w:val="normaltextrun"/>
          <w:rFonts w:asciiTheme="minorHAnsi" w:hAnsiTheme="minorHAnsi" w:cstheme="minorBidi"/>
        </w:rPr>
        <w:t>especially General Practice) through to Continuing Professional Development activities</w:t>
      </w:r>
      <w:r w:rsidR="00804843">
        <w:rPr>
          <w:rStyle w:val="normaltextrun"/>
          <w:rFonts w:asciiTheme="minorHAnsi" w:hAnsiTheme="minorHAnsi" w:cstheme="minorBidi"/>
        </w:rPr>
        <w:t xml:space="preserve"> would embed it as part of core practice. The role that stigma and discrimination play in limiting provider and service engagement cannot be underplayed and must be addressed</w:t>
      </w:r>
      <w:r w:rsidR="00E01FF1" w:rsidRPr="00E01FF1">
        <w:rPr>
          <w:rStyle w:val="normaltextrun"/>
          <w:rFonts w:asciiTheme="minorHAnsi" w:hAnsiTheme="minorHAnsi" w:cstheme="minorBidi"/>
        </w:rPr>
        <w:t>.</w:t>
      </w:r>
    </w:p>
    <w:p w14:paraId="37E1E4E1" w14:textId="3364ABE3" w:rsidR="004275E8" w:rsidRPr="00EA3458" w:rsidRDefault="004275E8" w:rsidP="00DA0E77">
      <w:r w:rsidRPr="00EA3458">
        <w:rPr>
          <w:rStyle w:val="normaltextrun"/>
          <w:rFonts w:asciiTheme="minorHAnsi" w:hAnsiTheme="minorHAnsi" w:cstheme="minorBidi"/>
        </w:rPr>
        <w:t xml:space="preserve">The use of new technologies, including telehealth, </w:t>
      </w:r>
      <w:r w:rsidR="00804843">
        <w:rPr>
          <w:rStyle w:val="normaltextrun"/>
          <w:rFonts w:asciiTheme="minorHAnsi" w:hAnsiTheme="minorHAnsi" w:cstheme="minorBidi"/>
        </w:rPr>
        <w:t>are integral</w:t>
      </w:r>
      <w:r w:rsidRPr="00EA3458">
        <w:rPr>
          <w:rStyle w:val="normaltextrun"/>
          <w:rFonts w:asciiTheme="minorHAnsi" w:hAnsiTheme="minorHAnsi" w:cstheme="minorBidi"/>
        </w:rPr>
        <w:t xml:space="preserve"> to improve remote and regional health care. </w:t>
      </w:r>
      <w:r w:rsidR="00804843">
        <w:rPr>
          <w:rStyle w:val="normaltextrun"/>
          <w:rFonts w:asciiTheme="minorHAnsi" w:hAnsiTheme="minorHAnsi" w:cstheme="minorBidi"/>
        </w:rPr>
        <w:t xml:space="preserve">Supported development and training to diversity prescribing options will assist to broaden rural and remote access. Practitioners should be adequately supported to ensure they are not isolated and overwhelmed. </w:t>
      </w:r>
    </w:p>
    <w:p w14:paraId="701662CD" w14:textId="77777777" w:rsidR="004275E8" w:rsidRPr="00EA3458" w:rsidRDefault="004275E8" w:rsidP="007E3DC8">
      <w:pPr>
        <w:pStyle w:val="Heading4"/>
        <w:numPr>
          <w:ilvl w:val="2"/>
          <w:numId w:val="43"/>
        </w:numPr>
      </w:pPr>
      <w:r w:rsidRPr="00EA3458">
        <w:lastRenderedPageBreak/>
        <w:t>Number of participating pharmacies/dosing sites</w:t>
      </w:r>
    </w:p>
    <w:p w14:paraId="25D95539" w14:textId="1FA2A6BE" w:rsidR="004275E8" w:rsidRPr="00EA3458" w:rsidRDefault="004275E8" w:rsidP="00DA0E77">
      <w:pPr>
        <w:rPr>
          <w:rStyle w:val="eop"/>
          <w:rFonts w:asciiTheme="majorHAnsi" w:eastAsiaTheme="majorEastAsia" w:hAnsiTheme="majorHAnsi" w:cstheme="majorBidi"/>
          <w:i/>
          <w:iCs/>
          <w:color w:val="2F5496" w:themeColor="accent1" w:themeShade="BF"/>
        </w:rPr>
      </w:pPr>
      <w:r w:rsidRPr="00EA3458">
        <w:rPr>
          <w:rStyle w:val="normaltextrun"/>
          <w:rFonts w:asciiTheme="minorHAnsi" w:hAnsiTheme="minorHAnsi" w:cstheme="minorBidi"/>
        </w:rPr>
        <w:t>Internationally </w:t>
      </w:r>
      <w:r w:rsidRPr="00EA3458">
        <w:rPr>
          <w:rStyle w:val="eop"/>
        </w:rPr>
        <w:t xml:space="preserve">the challenge of ensuring broad geographic distribution of dosing sites has been met </w:t>
      </w:r>
      <w:r w:rsidR="00594AF2" w:rsidRPr="00EA3458">
        <w:rPr>
          <w:rStyle w:val="eop"/>
        </w:rPr>
        <w:t>using</w:t>
      </w:r>
      <w:r w:rsidRPr="00EA3458">
        <w:rPr>
          <w:rStyle w:val="eop"/>
        </w:rPr>
        <w:t xml:space="preserve"> community pharmacists and this remains the key option to use to increase and maximise O</w:t>
      </w:r>
      <w:r w:rsidR="00F364B3">
        <w:rPr>
          <w:rStyle w:val="eop"/>
        </w:rPr>
        <w:t>D</w:t>
      </w:r>
      <w:r w:rsidRPr="00EA3458">
        <w:rPr>
          <w:rStyle w:val="eop"/>
        </w:rPr>
        <w:t>T</w:t>
      </w:r>
      <w:r w:rsidR="00F364B3">
        <w:rPr>
          <w:rStyle w:val="eop"/>
        </w:rPr>
        <w:t xml:space="preserve"> medication</w:t>
      </w:r>
      <w:r w:rsidRPr="00EA3458">
        <w:rPr>
          <w:rStyle w:val="eop"/>
        </w:rPr>
        <w:t xml:space="preserve"> provision and access. The organisation of approaches to new buprenorphine formulations </w:t>
      </w:r>
      <w:r w:rsidR="00B72B17">
        <w:rPr>
          <w:rStyle w:val="eop"/>
        </w:rPr>
        <w:t>would likely benefit from</w:t>
      </w:r>
      <w:r w:rsidRPr="00EA3458">
        <w:rPr>
          <w:rStyle w:val="eop"/>
        </w:rPr>
        <w:t xml:space="preserve"> a broader and more radical consideration particularly for rural and remote settings where innovative models may address some of the critical challenges of achieving adequate coverage in such settings. Innovation approaches could include </w:t>
      </w:r>
      <w:r w:rsidR="00D36022" w:rsidRPr="00F364B3">
        <w:rPr>
          <w:rStyle w:val="eop"/>
        </w:rPr>
        <w:t>negotiating the inclusion of access to O</w:t>
      </w:r>
      <w:r w:rsidR="00F364B3">
        <w:rPr>
          <w:rStyle w:val="eop"/>
        </w:rPr>
        <w:t>D</w:t>
      </w:r>
      <w:r w:rsidR="00D36022" w:rsidRPr="00F364B3">
        <w:rPr>
          <w:rStyle w:val="eop"/>
        </w:rPr>
        <w:t>T into the next National Community Pharmacy agreement between the Commonwealth Government and the Pharmacy Guild</w:t>
      </w:r>
      <w:r w:rsidR="009F4DC5">
        <w:rPr>
          <w:rStyle w:val="eop"/>
        </w:rPr>
        <w:t xml:space="preserve"> of Australia</w:t>
      </w:r>
      <w:r w:rsidR="00D36022" w:rsidRPr="00F364B3">
        <w:rPr>
          <w:rStyle w:val="eop"/>
        </w:rPr>
        <w:t>,</w:t>
      </w:r>
      <w:r w:rsidR="00D36022">
        <w:rPr>
          <w:rStyle w:val="eop"/>
          <w:rFonts w:eastAsia="Times New Roman"/>
        </w:rPr>
        <w:t xml:space="preserve"> </w:t>
      </w:r>
      <w:r w:rsidRPr="00EA3458">
        <w:rPr>
          <w:rStyle w:val="eop"/>
        </w:rPr>
        <w:t xml:space="preserve">nurse or pharmacy or allied health professional prescription, and delivery or other technology and telehealth forms of mobile remote delivery and monitoring of treatment. New forms of team organisation of treatment using hub and spoke models. </w:t>
      </w:r>
    </w:p>
    <w:p w14:paraId="1DA74433" w14:textId="3DE38F2E" w:rsidR="004275E8" w:rsidRPr="00EA3458" w:rsidRDefault="004275E8" w:rsidP="00DA0E77">
      <w:r w:rsidRPr="00EA3458">
        <w:rPr>
          <w:rStyle w:val="normaltextrun"/>
          <w:rFonts w:asciiTheme="minorHAnsi" w:hAnsiTheme="minorHAnsi" w:cstheme="minorBidi"/>
        </w:rPr>
        <w:t xml:space="preserve">NOPSAD explores </w:t>
      </w:r>
      <w:r w:rsidR="00694A1A">
        <w:rPr>
          <w:rStyle w:val="normaltextrun"/>
          <w:rFonts w:asciiTheme="minorHAnsi" w:hAnsiTheme="minorHAnsi" w:cstheme="minorBidi"/>
        </w:rPr>
        <w:t>ODT medicine</w:t>
      </w:r>
      <w:r w:rsidR="00694A1A" w:rsidRPr="00EA3458">
        <w:rPr>
          <w:rStyle w:val="normaltextrun"/>
          <w:rFonts w:asciiTheme="minorHAnsi" w:hAnsiTheme="minorHAnsi" w:cstheme="minorBidi"/>
        </w:rPr>
        <w:t xml:space="preserve"> </w:t>
      </w:r>
      <w:r w:rsidRPr="00EA3458">
        <w:rPr>
          <w:rStyle w:val="normaltextrun"/>
          <w:rFonts w:asciiTheme="minorHAnsi" w:hAnsiTheme="minorHAnsi" w:cstheme="minorBidi"/>
        </w:rPr>
        <w:t>dosing point sites across Australia by Statistical Areas Level 2 region</w:t>
      </w:r>
      <w:r w:rsidRPr="00AA244B">
        <w:rPr>
          <w:rStyle w:val="normaltextrun"/>
          <w:rFonts w:asciiTheme="minorHAnsi" w:hAnsiTheme="minorHAnsi" w:cstheme="minorBidi"/>
        </w:rPr>
        <w:t>s</w:t>
      </w:r>
      <w:r w:rsidR="00A179ED">
        <w:rPr>
          <w:rStyle w:val="normaltextrun"/>
          <w:rFonts w:asciiTheme="minorHAnsi" w:hAnsiTheme="minorHAnsi" w:cstheme="minorBidi"/>
        </w:rPr>
        <w:t xml:space="preserve"> (SA2).</w:t>
      </w:r>
      <w:hyperlink w:anchor="_ENREF_1" w:tooltip="Australian Institute of Health and Welfare, 2022 #1" w:history="1">
        <w:r w:rsidR="002565E6" w:rsidRPr="00AA244B">
          <w:rPr>
            <w:rFonts w:asciiTheme="minorHAnsi" w:hAnsiTheme="minorHAnsi" w:cstheme="minorHAnsi"/>
          </w:rPr>
          <w:fldChar w:fldCharType="begin"/>
        </w:r>
        <w:r w:rsidR="002565E6">
          <w:rPr>
            <w:rFonts w:asciiTheme="minorHAnsi" w:hAnsiTheme="minorHAnsi" w:cstheme="minorHAnsi"/>
          </w:rPr>
          <w:instrText xml:space="preserve"> ADDIN EN.CITE &lt;EndNote&gt;&lt;Cite&gt;&lt;Author&gt;Australian Institute of Health and Welfare&lt;/Author&gt;&lt;Year&gt;2022&lt;/Year&gt;&lt;RecNum&gt;1&lt;/RecNum&gt;&lt;DisplayText&gt;&lt;style face="superscript"&gt;1&lt;/style&gt;&lt;/DisplayText&gt;&lt;record&gt;&lt;rec-number&gt;1&lt;/rec-number&gt;&lt;foreign-keys&gt;&lt;key app="EN" db-id="xssz590sx9vzw4ewpzdv0s5sret50aexdtd9" timestamp="1668645241"&gt;1&lt;/key&gt;&lt;/foreign-keys&gt;&lt;ref-type name="Report"&gt;27&lt;/ref-type&gt;&lt;contributors&gt;&lt;authors&gt;&lt;author&gt;Australian Institute of Health and Welfare,&lt;/author&gt;&lt;/authors&gt;&lt;/contributors&gt;&lt;titles&gt;&lt;title&gt;National Opioid Pharmacotherapy Statistics Annual Data (NOPSAD) collection. &lt;/title&gt;&lt;/titles&gt;&lt;volume&gt;Cat. no. PHE 266&lt;/volume&gt;&lt;dates&gt;&lt;year&gt;2022&lt;/year&gt;&lt;pub-dates&gt;&lt;date&gt;2022/11/21/&lt;/date&gt;&lt;/pub-dates&gt;&lt;/dates&gt;&lt;pub-location&gt;Canberra&lt;/pub-location&gt;&lt;publisher&gt;AIHW&lt;/publisher&gt;&lt;label&gt;BibEntry2022Feb&lt;/label&gt;&lt;urls&gt;&lt;related-urls&gt;&lt;url&gt;https://www.aihw.gov.au/reports/alcohol-other-drug-treatment-services/national-opioidpharmacotherapy-statistics&lt;/url&gt;&lt;/related-urls&gt;&lt;/urls&gt;&lt;language&gt;English&lt;/language&gt;&lt;/record&gt;&lt;/Cite&gt;&lt;/EndNote&gt;</w:instrText>
        </w:r>
        <w:r w:rsidR="002565E6" w:rsidRPr="00AA244B">
          <w:rPr>
            <w:rFonts w:asciiTheme="minorHAnsi" w:hAnsiTheme="minorHAnsi" w:cstheme="minorHAnsi"/>
          </w:rPr>
          <w:fldChar w:fldCharType="separate"/>
        </w:r>
        <w:r w:rsidR="002565E6" w:rsidRPr="00AA244B">
          <w:rPr>
            <w:rFonts w:asciiTheme="minorHAnsi" w:hAnsiTheme="minorHAnsi" w:cstheme="minorHAnsi"/>
            <w:noProof/>
            <w:vertAlign w:val="superscript"/>
          </w:rPr>
          <w:t>1</w:t>
        </w:r>
        <w:r w:rsidR="002565E6" w:rsidRPr="00AA244B">
          <w:rPr>
            <w:rFonts w:asciiTheme="minorHAnsi" w:hAnsiTheme="minorHAnsi" w:cstheme="minorHAnsi"/>
          </w:rPr>
          <w:fldChar w:fldCharType="end"/>
        </w:r>
      </w:hyperlink>
      <w:r w:rsidR="00AA244B">
        <w:rPr>
          <w:rStyle w:val="normaltextrun"/>
          <w:rFonts w:asciiTheme="minorHAnsi" w:hAnsiTheme="minorHAnsi" w:cstheme="minorBidi"/>
        </w:rPr>
        <w:t xml:space="preserve"> </w:t>
      </w:r>
      <w:r w:rsidRPr="00EA3458">
        <w:rPr>
          <w:rStyle w:val="normaltextrun"/>
          <w:rFonts w:asciiTheme="minorHAnsi" w:hAnsiTheme="minorHAnsi" w:cstheme="minorBidi"/>
        </w:rPr>
        <w:t xml:space="preserve">There is a clear difference in the distribution in the number of dosing point sites per SA2 across the country, with notably fewer sites in the centre and western regions of Australia.  </w:t>
      </w:r>
    </w:p>
    <w:p w14:paraId="34F01FDC" w14:textId="77777777" w:rsidR="004275E8" w:rsidRPr="00EA3458" w:rsidRDefault="004275E8" w:rsidP="007E3DC8">
      <w:pPr>
        <w:pStyle w:val="Heading4"/>
        <w:numPr>
          <w:ilvl w:val="2"/>
          <w:numId w:val="43"/>
        </w:numPr>
      </w:pPr>
      <w:r w:rsidRPr="00EA3458">
        <w:t>The importance of the involvement of people who use drugs</w:t>
      </w:r>
    </w:p>
    <w:p w14:paraId="7B0311C3" w14:textId="1A30DB2F" w:rsidR="004275E8" w:rsidRPr="00EA3458" w:rsidRDefault="004275E8" w:rsidP="00DA0E77">
      <w:pPr>
        <w:rPr>
          <w:rStyle w:val="normaltextrun"/>
          <w:rFonts w:asciiTheme="minorHAnsi" w:eastAsiaTheme="majorEastAsia" w:hAnsiTheme="minorHAnsi" w:cstheme="minorBidi"/>
          <w:i/>
          <w:iCs/>
          <w:color w:val="2F5496" w:themeColor="accent1" w:themeShade="BF"/>
        </w:rPr>
      </w:pPr>
      <w:r w:rsidRPr="00EA3458">
        <w:rPr>
          <w:rStyle w:val="normaltextrun"/>
          <w:rFonts w:asciiTheme="minorHAnsi" w:hAnsiTheme="minorHAnsi" w:cstheme="minorBidi"/>
        </w:rPr>
        <w:t>There is a strong international movement to mobilise a broad range of peer support and networks of people who use drugs. Australia was originally a cutting-edge force in such developments</w:t>
      </w:r>
      <w:r w:rsidR="00CA0C00">
        <w:rPr>
          <w:rStyle w:val="normaltextrun"/>
          <w:rFonts w:asciiTheme="minorHAnsi" w:hAnsiTheme="minorHAnsi" w:cstheme="minorBidi"/>
        </w:rPr>
        <w:t xml:space="preserve"> and there is a long and successful history of partnership between the established peer-led </w:t>
      </w:r>
      <w:r w:rsidR="00CA0C00" w:rsidRPr="00E86E00">
        <w:rPr>
          <w:rStyle w:val="normaltextrun"/>
          <w:rFonts w:asciiTheme="minorHAnsi" w:hAnsiTheme="minorHAnsi" w:cstheme="minorBidi"/>
        </w:rPr>
        <w:t>drug user</w:t>
      </w:r>
      <w:r w:rsidR="00CA0C00">
        <w:rPr>
          <w:rStyle w:val="normaltextrun"/>
          <w:rFonts w:asciiTheme="minorHAnsi" w:hAnsiTheme="minorHAnsi" w:cstheme="minorBidi"/>
        </w:rPr>
        <w:t xml:space="preserve"> organisation</w:t>
      </w:r>
      <w:r w:rsidR="00E86E00">
        <w:rPr>
          <w:rStyle w:val="normaltextrun"/>
          <w:rFonts w:asciiTheme="minorHAnsi" w:hAnsiTheme="minorHAnsi" w:cstheme="minorBidi"/>
        </w:rPr>
        <w:t>s</w:t>
      </w:r>
      <w:r w:rsidR="00CA0C00">
        <w:rPr>
          <w:rStyle w:val="normaltextrun"/>
          <w:rFonts w:asciiTheme="minorHAnsi" w:hAnsiTheme="minorHAnsi" w:cstheme="minorBidi"/>
        </w:rPr>
        <w:t xml:space="preserve"> and governments in Australia</w:t>
      </w:r>
      <w:r w:rsidRPr="00EA3458">
        <w:rPr>
          <w:rStyle w:val="normaltextrun"/>
          <w:rFonts w:asciiTheme="minorHAnsi" w:hAnsiTheme="minorHAnsi" w:cstheme="minorBidi"/>
        </w:rPr>
        <w:t>. There</w:t>
      </w:r>
      <w:r w:rsidR="00CA0C00">
        <w:rPr>
          <w:rStyle w:val="normaltextrun"/>
          <w:rFonts w:asciiTheme="minorHAnsi" w:hAnsiTheme="minorHAnsi" w:cstheme="minorBidi"/>
        </w:rPr>
        <w:t>fore,</w:t>
      </w:r>
      <w:r w:rsidRPr="00EA3458">
        <w:rPr>
          <w:rStyle w:val="normaltextrun"/>
          <w:rFonts w:asciiTheme="minorHAnsi" w:hAnsiTheme="minorHAnsi" w:cstheme="minorBidi"/>
        </w:rPr>
        <w:t xml:space="preserve"> peer</w:t>
      </w:r>
      <w:r w:rsidR="00CA0C00">
        <w:rPr>
          <w:rStyle w:val="normaltextrun"/>
          <w:rFonts w:asciiTheme="minorHAnsi" w:hAnsiTheme="minorHAnsi" w:cstheme="minorBidi"/>
        </w:rPr>
        <w:t>-led</w:t>
      </w:r>
      <w:r w:rsidRPr="00EA3458">
        <w:rPr>
          <w:rStyle w:val="normaltextrun"/>
          <w:rFonts w:asciiTheme="minorHAnsi" w:hAnsiTheme="minorHAnsi" w:cstheme="minorBidi"/>
        </w:rPr>
        <w:t xml:space="preserve"> organisations </w:t>
      </w:r>
      <w:r w:rsidR="00CA0C00">
        <w:rPr>
          <w:rStyle w:val="normaltextrun"/>
          <w:rFonts w:asciiTheme="minorHAnsi" w:hAnsiTheme="minorHAnsi" w:cstheme="minorBidi"/>
        </w:rPr>
        <w:t xml:space="preserve">have a central role to play </w:t>
      </w:r>
      <w:r w:rsidRPr="00EA3458">
        <w:rPr>
          <w:rStyle w:val="normaltextrun"/>
          <w:rFonts w:asciiTheme="minorHAnsi" w:hAnsiTheme="minorHAnsi" w:cstheme="minorBidi"/>
        </w:rPr>
        <w:t xml:space="preserve">in the planning, </w:t>
      </w:r>
      <w:r w:rsidR="00594AF2" w:rsidRPr="00EA3458">
        <w:rPr>
          <w:rStyle w:val="normaltextrun"/>
          <w:rFonts w:asciiTheme="minorHAnsi" w:hAnsiTheme="minorHAnsi" w:cstheme="minorBidi"/>
        </w:rPr>
        <w:t>delivery,</w:t>
      </w:r>
      <w:r w:rsidRPr="00EA3458">
        <w:rPr>
          <w:rStyle w:val="normaltextrun"/>
          <w:rFonts w:asciiTheme="minorHAnsi" w:hAnsiTheme="minorHAnsi" w:cstheme="minorBidi"/>
        </w:rPr>
        <w:t xml:space="preserve"> and quality improvement </w:t>
      </w:r>
      <w:r w:rsidR="00CA0C00">
        <w:rPr>
          <w:rStyle w:val="normaltextrun"/>
          <w:rFonts w:asciiTheme="minorHAnsi" w:hAnsiTheme="minorHAnsi" w:cstheme="minorBidi"/>
        </w:rPr>
        <w:t>of ODT in Australia</w:t>
      </w:r>
      <w:r w:rsidRPr="00EA3458">
        <w:rPr>
          <w:rStyle w:val="normaltextrun"/>
          <w:rFonts w:asciiTheme="minorHAnsi" w:hAnsiTheme="minorHAnsi" w:cstheme="minorBidi"/>
        </w:rPr>
        <w:t>.</w:t>
      </w:r>
    </w:p>
    <w:p w14:paraId="3FCD53AF" w14:textId="2A45E414" w:rsidR="004275E8" w:rsidRPr="00EA3458" w:rsidRDefault="004275E8" w:rsidP="007E3DC8">
      <w:pPr>
        <w:pStyle w:val="Heading4"/>
        <w:numPr>
          <w:ilvl w:val="2"/>
          <w:numId w:val="43"/>
        </w:numPr>
      </w:pPr>
      <w:r w:rsidRPr="00EA3458">
        <w:t>Future monitoring</w:t>
      </w:r>
      <w:r w:rsidR="00727FD1">
        <w:t xml:space="preserve">, </w:t>
      </w:r>
      <w:r w:rsidR="00594AF2" w:rsidRPr="00EA3458">
        <w:t>evaluation,</w:t>
      </w:r>
      <w:r w:rsidR="00727FD1">
        <w:t xml:space="preserve"> and other activity </w:t>
      </w:r>
    </w:p>
    <w:p w14:paraId="43104581" w14:textId="25BB552D" w:rsidR="004275E8" w:rsidRDefault="004275E8" w:rsidP="00DA0E77">
      <w:pPr>
        <w:rPr>
          <w:rStyle w:val="normaltextrun"/>
          <w:rFonts w:asciiTheme="minorHAnsi" w:hAnsiTheme="minorHAnsi" w:cstheme="minorBidi"/>
        </w:rPr>
      </w:pPr>
      <w:r w:rsidRPr="00EA3458">
        <w:rPr>
          <w:rStyle w:val="normaltextrun"/>
          <w:rFonts w:asciiTheme="minorHAnsi" w:hAnsiTheme="minorHAnsi" w:cstheme="minorBidi"/>
        </w:rPr>
        <w:t>Future Electronic Medical Record Systems and Real Time Prescribing Monitoring Services if efficiently designed afford the opportunity to put in place sophisticated Outcome Monitoring Systems</w:t>
      </w:r>
      <w:r w:rsidR="00CA0C00">
        <w:rPr>
          <w:rStyle w:val="normaltextrun"/>
          <w:rFonts w:asciiTheme="minorHAnsi" w:hAnsiTheme="minorHAnsi" w:cstheme="minorBidi"/>
        </w:rPr>
        <w:t xml:space="preserve"> (although stakeholders raise privacy and confidentiality concerns regarding their use)</w:t>
      </w:r>
      <w:r w:rsidRPr="00EA3458">
        <w:rPr>
          <w:rStyle w:val="normaltextrun"/>
          <w:rFonts w:asciiTheme="minorHAnsi" w:hAnsiTheme="minorHAnsi" w:cstheme="minorBidi"/>
        </w:rPr>
        <w:t>. This, along with future Economic Costing and Modelling approaches, could be used to ensure that future high-quality, cost-effective, accessible, and user-friendly services are enabled. The additional challenge given the high levels of social, physical health, and mental health problems among people with opioid dependence requires careful integration of O</w:t>
      </w:r>
      <w:r w:rsidR="00F364B3">
        <w:rPr>
          <w:rStyle w:val="normaltextrun"/>
          <w:rFonts w:asciiTheme="minorHAnsi" w:hAnsiTheme="minorHAnsi" w:cstheme="minorBidi"/>
        </w:rPr>
        <w:t>D</w:t>
      </w:r>
      <w:r w:rsidRPr="00EA3458">
        <w:rPr>
          <w:rStyle w:val="normaltextrun"/>
          <w:rFonts w:asciiTheme="minorHAnsi" w:hAnsiTheme="minorHAnsi" w:cstheme="minorBidi"/>
        </w:rPr>
        <w:t>T</w:t>
      </w:r>
      <w:r w:rsidR="00F364B3">
        <w:rPr>
          <w:rStyle w:val="normaltextrun"/>
          <w:rFonts w:asciiTheme="minorHAnsi" w:hAnsiTheme="minorHAnsi" w:cstheme="minorBidi"/>
        </w:rPr>
        <w:t xml:space="preserve"> service delivery</w:t>
      </w:r>
      <w:r w:rsidRPr="00EA3458">
        <w:rPr>
          <w:rStyle w:val="normaltextrun"/>
          <w:rFonts w:asciiTheme="minorHAnsi" w:hAnsiTheme="minorHAnsi" w:cstheme="minorBidi"/>
        </w:rPr>
        <w:t xml:space="preserve"> with a broader range of health and social services.</w:t>
      </w:r>
    </w:p>
    <w:p w14:paraId="31A873F5" w14:textId="57C443B7" w:rsidR="003A65D7" w:rsidRPr="00EA3458" w:rsidRDefault="003A65D7" w:rsidP="00DA0E77">
      <w:pPr>
        <w:rPr>
          <w:rStyle w:val="normaltextrun"/>
          <w:rFonts w:asciiTheme="minorHAnsi" w:eastAsiaTheme="majorEastAsia" w:hAnsiTheme="minorHAnsi" w:cstheme="minorBidi"/>
          <w:i/>
          <w:iCs/>
          <w:color w:val="2F5496" w:themeColor="accent1" w:themeShade="BF"/>
        </w:rPr>
      </w:pPr>
      <w:r w:rsidRPr="00EA3458">
        <w:t xml:space="preserve">This review highlights that there are major gaps in information and data </w:t>
      </w:r>
      <w:r w:rsidR="0040727F">
        <w:t>for ODT programs</w:t>
      </w:r>
      <w:r w:rsidRPr="00EA3458">
        <w:t xml:space="preserve">. </w:t>
      </w:r>
      <w:r w:rsidR="0040727F">
        <w:t xml:space="preserve">Future </w:t>
      </w:r>
      <w:r w:rsidRPr="00EA3458">
        <w:t xml:space="preserve">consideration </w:t>
      </w:r>
      <w:r w:rsidR="0040727F">
        <w:t>could be given to</w:t>
      </w:r>
      <w:r w:rsidRPr="00EA3458">
        <w:t xml:space="preserve"> large-scale monitoring and costing and modelling of different models of treatment delivery which could provide data to optimise models of program delivery. Uses of economic costing and modelling and the development of National Outcome Monitoring approaches would be a wise future investment. In addition, further revision of the current National Guidelines and the opportunity to ensure that new and emerging technologies are fully harnessed to maximise treatment impact and outcome</w:t>
      </w:r>
      <w:r w:rsidR="0071741E">
        <w:t>s</w:t>
      </w:r>
      <w:r w:rsidRPr="00EA3458">
        <w:t xml:space="preserve"> is </w:t>
      </w:r>
      <w:r w:rsidR="00727FD1">
        <w:t>suggested</w:t>
      </w:r>
      <w:r w:rsidRPr="00EA3458">
        <w:t>.</w:t>
      </w:r>
    </w:p>
    <w:p w14:paraId="6247330A" w14:textId="6C7B4CEA" w:rsidR="004275E8" w:rsidRPr="00EA3458" w:rsidRDefault="004275E8" w:rsidP="007E3DC8">
      <w:pPr>
        <w:pStyle w:val="Heading4"/>
        <w:numPr>
          <w:ilvl w:val="2"/>
          <w:numId w:val="43"/>
        </w:numPr>
      </w:pPr>
      <w:r w:rsidRPr="00EA3458">
        <w:lastRenderedPageBreak/>
        <w:t>Impact of COVID-19 upon accessing O</w:t>
      </w:r>
      <w:r w:rsidR="00D33624">
        <w:t>D</w:t>
      </w:r>
      <w:r w:rsidRPr="00EA3458">
        <w:t>T</w:t>
      </w:r>
      <w:r w:rsidR="00D33624">
        <w:t xml:space="preserve"> medicines</w:t>
      </w:r>
    </w:p>
    <w:p w14:paraId="33B3F53B" w14:textId="366D19E1" w:rsidR="00594AF2" w:rsidRDefault="00594AF2" w:rsidP="00594AF2">
      <w:pPr>
        <w:rPr>
          <w:rStyle w:val="normaltextrun"/>
          <w:rFonts w:asciiTheme="minorHAnsi" w:eastAsiaTheme="majorEastAsia" w:hAnsiTheme="minorHAnsi" w:cstheme="minorBidi"/>
          <w:i/>
          <w:iCs/>
          <w:color w:val="2F5496" w:themeColor="accent1" w:themeShade="BF"/>
        </w:rPr>
      </w:pPr>
      <w:r>
        <w:rPr>
          <w:rStyle w:val="normaltextrun"/>
          <w:rFonts w:cstheme="minorBidi"/>
        </w:rPr>
        <w:t>The experience of COVID also requires reflection and consideration. Both nationally and internationally there were significant changes in approaches to dosing frequency with a shift to greater takeaway doses for both methadone and buprenorphine</w:t>
      </w:r>
      <w:r w:rsidR="00FA15E5">
        <w:rPr>
          <w:rStyle w:val="normaltextrun"/>
          <w:rFonts w:cstheme="minorBidi"/>
        </w:rPr>
        <w:t xml:space="preserve">, although in some jurisdictions </w:t>
      </w:r>
      <w:r w:rsidR="00AA5CF4">
        <w:rPr>
          <w:rStyle w:val="normaltextrun"/>
          <w:rFonts w:cstheme="minorBidi"/>
        </w:rPr>
        <w:t>these measures</w:t>
      </w:r>
      <w:r w:rsidR="00FA15E5">
        <w:rPr>
          <w:rStyle w:val="normaltextrun"/>
          <w:rFonts w:cstheme="minorBidi"/>
        </w:rPr>
        <w:t xml:space="preserve"> have since been rolled back</w:t>
      </w:r>
      <w:r>
        <w:rPr>
          <w:rStyle w:val="normaltextrun"/>
          <w:rFonts w:cstheme="minorBidi"/>
        </w:rPr>
        <w:t xml:space="preserve">. The consumer feedback on such changes was uniformly positive. A shift to a more flexible and less frequent attendance model needs full consideration. </w:t>
      </w:r>
      <w:r w:rsidR="00FA15E5">
        <w:rPr>
          <w:rStyle w:val="normaltextrun"/>
          <w:rFonts w:cstheme="minorBidi"/>
        </w:rPr>
        <w:t xml:space="preserve">Possible negative impacts </w:t>
      </w:r>
      <w:r>
        <w:rPr>
          <w:rStyle w:val="normaltextrun"/>
          <w:rFonts w:cstheme="minorBidi"/>
        </w:rPr>
        <w:t xml:space="preserve">include potential for higher methadone-related deaths, medication diversion and consequent negative community views on treatment programs. </w:t>
      </w:r>
      <w:r w:rsidR="00FA15E5" w:rsidRPr="0040727F">
        <w:rPr>
          <w:rStyle w:val="normaltextrun"/>
          <w:rFonts w:cstheme="minorBidi"/>
        </w:rPr>
        <w:t xml:space="preserve">However, </w:t>
      </w:r>
      <w:r w:rsidR="00AA5CF4" w:rsidRPr="0040727F">
        <w:rPr>
          <w:rStyle w:val="normaltextrun"/>
          <w:rFonts w:cstheme="minorBidi"/>
        </w:rPr>
        <w:t xml:space="preserve">the PMR did not have access </w:t>
      </w:r>
      <w:r w:rsidR="00FA15E5" w:rsidRPr="0040727F">
        <w:rPr>
          <w:rStyle w:val="normaltextrun"/>
          <w:rFonts w:cstheme="minorBidi"/>
        </w:rPr>
        <w:t xml:space="preserve">to published data </w:t>
      </w:r>
      <w:r w:rsidR="00AA5CF4" w:rsidRPr="0040727F">
        <w:rPr>
          <w:rStyle w:val="normaltextrun"/>
          <w:rFonts w:cstheme="minorBidi"/>
        </w:rPr>
        <w:t>about any</w:t>
      </w:r>
      <w:r w:rsidR="00FA15E5" w:rsidRPr="0040727F">
        <w:rPr>
          <w:rStyle w:val="normaltextrun"/>
          <w:rFonts w:cstheme="minorBidi"/>
        </w:rPr>
        <w:t xml:space="preserve"> </w:t>
      </w:r>
      <w:r w:rsidR="00AA5CF4" w:rsidRPr="0040727F">
        <w:rPr>
          <w:rStyle w:val="normaltextrun"/>
          <w:rFonts w:cstheme="minorBidi"/>
        </w:rPr>
        <w:t xml:space="preserve">possible </w:t>
      </w:r>
      <w:r w:rsidR="00FA15E5" w:rsidRPr="0040727F">
        <w:rPr>
          <w:rStyle w:val="normaltextrun"/>
          <w:rFonts w:cstheme="minorBidi"/>
        </w:rPr>
        <w:t>adverse events –</w:t>
      </w:r>
      <w:r w:rsidR="00AA5CF4" w:rsidRPr="0040727F">
        <w:rPr>
          <w:rStyle w:val="normaltextrun"/>
          <w:rFonts w:cstheme="minorBidi"/>
        </w:rPr>
        <w:t xml:space="preserve"> </w:t>
      </w:r>
      <w:r w:rsidR="00FA15E5" w:rsidRPr="0040727F">
        <w:rPr>
          <w:rStyle w:val="normaltextrun"/>
          <w:rFonts w:cstheme="minorBidi"/>
        </w:rPr>
        <w:t>such data may be delayed in being collated and reported.</w:t>
      </w:r>
      <w:r w:rsidR="00FA15E5" w:rsidRPr="00EA3458">
        <w:rPr>
          <w:rStyle w:val="normaltextrun"/>
          <w:rFonts w:asciiTheme="minorHAnsi" w:hAnsiTheme="minorHAnsi" w:cstheme="minorBidi"/>
        </w:rPr>
        <w:t xml:space="preserve"> </w:t>
      </w:r>
    </w:p>
    <w:p w14:paraId="79DC1DC9" w14:textId="2B8EC45B" w:rsidR="001C7C0F" w:rsidRPr="000B7F0F" w:rsidRDefault="004275E8" w:rsidP="00DA0E77">
      <w:pPr>
        <w:rPr>
          <w:rStyle w:val="normaltextrun"/>
          <w:rFonts w:asciiTheme="minorHAnsi" w:hAnsiTheme="minorHAnsi" w:cstheme="minorBidi"/>
          <w:color w:val="000000" w:themeColor="text1"/>
        </w:rPr>
      </w:pPr>
      <w:r w:rsidRPr="00EA3458">
        <w:rPr>
          <w:rStyle w:val="normaltextrun"/>
          <w:rFonts w:asciiTheme="minorHAnsi" w:hAnsiTheme="minorHAnsi" w:cstheme="minorBidi"/>
          <w:color w:val="000000" w:themeColor="text1"/>
        </w:rPr>
        <w:t xml:space="preserve">As described </w:t>
      </w:r>
      <w:r w:rsidR="00A72175">
        <w:rPr>
          <w:rStyle w:val="normaltextrun"/>
          <w:rFonts w:asciiTheme="minorHAnsi" w:hAnsiTheme="minorHAnsi" w:cstheme="minorBidi"/>
          <w:color w:val="000000" w:themeColor="text1"/>
        </w:rPr>
        <w:t>in Section 2.5.2</w:t>
      </w:r>
      <w:r w:rsidRPr="00EA3458">
        <w:rPr>
          <w:rStyle w:val="normaltextrun"/>
          <w:rFonts w:asciiTheme="minorHAnsi" w:hAnsiTheme="minorHAnsi" w:cstheme="minorBidi"/>
          <w:color w:val="000000" w:themeColor="text1"/>
        </w:rPr>
        <w:t xml:space="preserve">, </w:t>
      </w:r>
      <w:r w:rsidR="005B1F19">
        <w:rPr>
          <w:rStyle w:val="normaltextrun"/>
          <w:rFonts w:asciiTheme="minorHAnsi" w:hAnsiTheme="minorHAnsi" w:cstheme="minorBidi"/>
          <w:color w:val="000000" w:themeColor="text1"/>
        </w:rPr>
        <w:t xml:space="preserve">the literature review found </w:t>
      </w:r>
      <w:r w:rsidR="00AA5CF4">
        <w:rPr>
          <w:rStyle w:val="normaltextrun"/>
          <w:rFonts w:asciiTheme="minorHAnsi" w:hAnsiTheme="minorHAnsi" w:cstheme="minorBidi"/>
          <w:color w:val="000000" w:themeColor="text1"/>
        </w:rPr>
        <w:t>an increase in the use</w:t>
      </w:r>
      <w:r w:rsidRPr="00EA3458">
        <w:rPr>
          <w:rStyle w:val="normaltextrun"/>
          <w:rFonts w:asciiTheme="minorHAnsi" w:hAnsiTheme="minorHAnsi" w:cstheme="minorBidi"/>
          <w:color w:val="000000" w:themeColor="text1"/>
        </w:rPr>
        <w:t xml:space="preserve"> of </w:t>
      </w:r>
      <w:r w:rsidR="00890963">
        <w:rPr>
          <w:rStyle w:val="normaltextrun"/>
          <w:rFonts w:asciiTheme="minorHAnsi" w:hAnsiTheme="minorHAnsi" w:cstheme="minorBidi"/>
          <w:color w:val="000000" w:themeColor="text1"/>
        </w:rPr>
        <w:t xml:space="preserve">LAIB </w:t>
      </w:r>
      <w:r w:rsidRPr="00EA3458">
        <w:rPr>
          <w:rStyle w:val="normaltextrun"/>
          <w:rFonts w:asciiTheme="minorHAnsi" w:hAnsiTheme="minorHAnsi" w:cstheme="minorBidi"/>
          <w:color w:val="000000" w:themeColor="text1"/>
        </w:rPr>
        <w:t>appears to have been accelerated</w:t>
      </w:r>
      <w:r w:rsidR="00FA15E5">
        <w:rPr>
          <w:rStyle w:val="normaltextrun"/>
          <w:rFonts w:asciiTheme="minorHAnsi" w:hAnsiTheme="minorHAnsi" w:cstheme="minorBidi"/>
          <w:color w:val="000000" w:themeColor="text1"/>
        </w:rPr>
        <w:t xml:space="preserve"> by state and territory ODT programs</w:t>
      </w:r>
      <w:r w:rsidRPr="00EA3458">
        <w:rPr>
          <w:rStyle w:val="normaltextrun"/>
          <w:rFonts w:asciiTheme="minorHAnsi" w:hAnsiTheme="minorHAnsi" w:cstheme="minorBidi"/>
          <w:color w:val="000000" w:themeColor="text1"/>
        </w:rPr>
        <w:t xml:space="preserve"> as a strategy to decrease interaction with consumers, help adhere with density limits and social distancing rules during the COVID-19 pandemic. </w:t>
      </w:r>
      <w:r w:rsidR="00FA15E5" w:rsidRPr="00EA3458">
        <w:rPr>
          <w:rStyle w:val="normaltextrun"/>
          <w:rFonts w:asciiTheme="minorHAnsi" w:hAnsiTheme="minorHAnsi" w:cstheme="minorHAnsi"/>
        </w:rPr>
        <w:t>O</w:t>
      </w:r>
      <w:r w:rsidR="00FA15E5">
        <w:rPr>
          <w:rStyle w:val="normaltextrun"/>
          <w:rFonts w:asciiTheme="minorHAnsi" w:hAnsiTheme="minorHAnsi" w:cstheme="minorHAnsi"/>
        </w:rPr>
        <w:t>D</w:t>
      </w:r>
      <w:r w:rsidR="00FA15E5" w:rsidRPr="00EA3458">
        <w:rPr>
          <w:rStyle w:val="normaltextrun"/>
          <w:rFonts w:asciiTheme="minorHAnsi" w:hAnsiTheme="minorHAnsi" w:cstheme="minorHAnsi"/>
        </w:rPr>
        <w:t>T consumers receiving LAIB described a multitude of benefits from this O</w:t>
      </w:r>
      <w:r w:rsidR="00FA15E5">
        <w:rPr>
          <w:rStyle w:val="normaltextrun"/>
          <w:rFonts w:asciiTheme="minorHAnsi" w:hAnsiTheme="minorHAnsi" w:cstheme="minorHAnsi"/>
        </w:rPr>
        <w:t>D</w:t>
      </w:r>
      <w:r w:rsidR="00FA15E5" w:rsidRPr="00EA3458">
        <w:rPr>
          <w:rStyle w:val="normaltextrun"/>
          <w:rFonts w:asciiTheme="minorHAnsi" w:hAnsiTheme="minorHAnsi" w:cstheme="minorHAnsi"/>
        </w:rPr>
        <w:t>T</w:t>
      </w:r>
      <w:r w:rsidR="00FA15E5">
        <w:rPr>
          <w:rStyle w:val="normaltextrun"/>
          <w:rFonts w:asciiTheme="minorHAnsi" w:hAnsiTheme="minorHAnsi" w:cstheme="minorHAnsi"/>
        </w:rPr>
        <w:t xml:space="preserve"> medicine</w:t>
      </w:r>
      <w:r w:rsidR="00FA15E5" w:rsidRPr="00EA3458">
        <w:rPr>
          <w:rStyle w:val="normaltextrun"/>
          <w:rFonts w:asciiTheme="minorHAnsi" w:hAnsiTheme="minorHAnsi" w:cstheme="minorHAnsi"/>
        </w:rPr>
        <w:t xml:space="preserve"> formulation</w:t>
      </w:r>
      <w:r w:rsidR="00FA15E5">
        <w:rPr>
          <w:rStyle w:val="normaltextrun"/>
          <w:rFonts w:asciiTheme="minorHAnsi" w:hAnsiTheme="minorHAnsi" w:cstheme="minorHAnsi"/>
        </w:rPr>
        <w:t>, however some concerns were also observed.</w:t>
      </w:r>
    </w:p>
    <w:p w14:paraId="6BE0A3CD" w14:textId="0D799338" w:rsidR="004275E8" w:rsidRPr="00EA3458" w:rsidRDefault="004275E8" w:rsidP="007E3DC8">
      <w:pPr>
        <w:pStyle w:val="Heading3"/>
        <w:numPr>
          <w:ilvl w:val="1"/>
          <w:numId w:val="43"/>
        </w:numPr>
        <w:rPr>
          <w:rFonts w:eastAsia="Calibri"/>
        </w:rPr>
      </w:pPr>
      <w:bookmarkStart w:id="580" w:name="_Toc118992544"/>
      <w:bookmarkStart w:id="581" w:name="_Toc163221183"/>
      <w:r w:rsidRPr="00EA3458">
        <w:rPr>
          <w:rFonts w:eastAsia="Calibri"/>
        </w:rPr>
        <w:t xml:space="preserve">Literature Review – </w:t>
      </w:r>
      <w:bookmarkEnd w:id="580"/>
      <w:r w:rsidR="00721808">
        <w:rPr>
          <w:rFonts w:eastAsia="Calibri"/>
        </w:rPr>
        <w:t>Considerations regarding PBS listings</w:t>
      </w:r>
      <w:bookmarkEnd w:id="581"/>
    </w:p>
    <w:p w14:paraId="47CA54D0" w14:textId="5DF8AE7A" w:rsidR="00721808" w:rsidRDefault="00AC2C84" w:rsidP="00DA0E77">
      <w:r w:rsidRPr="00EA3458">
        <w:t xml:space="preserve">It is critical to understand the </w:t>
      </w:r>
      <w:r>
        <w:t xml:space="preserve">impact (benefits and challenges) </w:t>
      </w:r>
      <w:r w:rsidR="004275E8" w:rsidRPr="00EA3458">
        <w:t xml:space="preserve">when considering how </w:t>
      </w:r>
      <w:r w:rsidR="00721808">
        <w:t>O</w:t>
      </w:r>
      <w:r w:rsidR="00D33624">
        <w:t>D</w:t>
      </w:r>
      <w:r w:rsidR="00721808">
        <w:t>T medicines could be</w:t>
      </w:r>
      <w:r w:rsidR="004275E8" w:rsidRPr="00EA3458">
        <w:t xml:space="preserve"> funded and how the medicines are listed as pharmaceutical benefits. </w:t>
      </w:r>
      <w:r w:rsidR="005B1F19">
        <w:t>While s</w:t>
      </w:r>
      <w:r w:rsidR="005B1F19" w:rsidRPr="00630E93">
        <w:t>ystem complexities, multiple stakeholders, and a lack of data availability across domains mean that the consequences of any changes to the current PBS listing of O</w:t>
      </w:r>
      <w:r w:rsidR="005B1F19">
        <w:t>D</w:t>
      </w:r>
      <w:r w:rsidR="005B1F19" w:rsidRPr="00630E93">
        <w:t>T medications are difficult to predict</w:t>
      </w:r>
      <w:r w:rsidR="005B1F19">
        <w:t>, stakeholders are of a view that a revised PBS listing arrangement for ODT medicines that provide</w:t>
      </w:r>
      <w:r w:rsidR="00BA3CEC">
        <w:t>s</w:t>
      </w:r>
      <w:r w:rsidR="005B1F19">
        <w:t xml:space="preserve"> equitable and affordable access would significantly improve patient health and societal outcomes</w:t>
      </w:r>
      <w:r w:rsidR="004275E8" w:rsidRPr="00EA3458">
        <w:t xml:space="preserve">. </w:t>
      </w:r>
      <w:r w:rsidR="00FF0D5A">
        <w:t xml:space="preserve">In considering the design of possible listing changes it will be important to give due consideration to any </w:t>
      </w:r>
      <w:r w:rsidR="00090B3A">
        <w:t xml:space="preserve">shifts in medicine utilisation trends, issues with supply of medicines to specific settings that have not been accounted for in new listings and guidelines, or </w:t>
      </w:r>
      <w:r w:rsidR="00FF0D5A">
        <w:t xml:space="preserve">any unintended </w:t>
      </w:r>
      <w:r w:rsidR="00090B3A">
        <w:t xml:space="preserve">changes in numbers of prescribers and dosing points. </w:t>
      </w:r>
      <w:r w:rsidR="0062536E">
        <w:t xml:space="preserve">It is also important to keep in mind that </w:t>
      </w:r>
      <w:r w:rsidR="003005C1">
        <w:t xml:space="preserve">regardless of how ODT medicines might be listed on the PBS, </w:t>
      </w:r>
      <w:r w:rsidR="003005C1">
        <w:rPr>
          <w:rFonts w:cstheme="minorHAnsi"/>
          <w:bCs/>
          <w:iCs/>
        </w:rPr>
        <w:t>jurisdictions operate and manage the broader aspects of ODT programs including approvals, eligibility, accreditation and supervised dosing requirements as well as regulation of controlled substances</w:t>
      </w:r>
      <w:r w:rsidR="003005C1" w:rsidRPr="0057518F">
        <w:t xml:space="preserve"> </w:t>
      </w:r>
      <w:r w:rsidR="003005C1">
        <w:t xml:space="preserve">which occur independent of the Commonwealth. </w:t>
      </w:r>
    </w:p>
    <w:p w14:paraId="23F8D839" w14:textId="059546D3" w:rsidR="004275E8" w:rsidRPr="00EA3458" w:rsidRDefault="00AC2C84" w:rsidP="00DA0E77">
      <w:r>
        <w:t>Many stakeholders throughout the Review proposed O</w:t>
      </w:r>
      <w:r w:rsidR="00D33624">
        <w:t>D</w:t>
      </w:r>
      <w:r>
        <w:t xml:space="preserve">T medicines could be either considered for listing on S85 alone or to duplicate the medicine listings across both S100 and S85 as a way of addressing the affordability for consumers and remuneration for pharmacists. </w:t>
      </w:r>
      <w:r w:rsidR="004275E8" w:rsidRPr="00EA3458">
        <w:t xml:space="preserve">Below is an </w:t>
      </w:r>
      <w:r w:rsidR="00727FD1">
        <w:t xml:space="preserve">overarching </w:t>
      </w:r>
      <w:r w:rsidR="004275E8" w:rsidRPr="00EA3458">
        <w:t xml:space="preserve">exploration of these </w:t>
      </w:r>
      <w:r w:rsidR="00FE647E">
        <w:t>options</w:t>
      </w:r>
      <w:r>
        <w:t>.</w:t>
      </w:r>
      <w:r w:rsidR="004275E8" w:rsidRPr="00EA3458">
        <w:t xml:space="preserve"> </w:t>
      </w:r>
    </w:p>
    <w:p w14:paraId="1C8BDA27" w14:textId="77777777" w:rsidR="004275E8" w:rsidRPr="00EA3458" w:rsidRDefault="004275E8" w:rsidP="007E3DC8">
      <w:pPr>
        <w:pStyle w:val="Heading4"/>
        <w:numPr>
          <w:ilvl w:val="2"/>
          <w:numId w:val="43"/>
        </w:numPr>
      </w:pPr>
      <w:bookmarkStart w:id="582" w:name="_Toc101790808"/>
      <w:r w:rsidRPr="00EA3458">
        <w:t>To continue with the status quo</w:t>
      </w:r>
      <w:bookmarkEnd w:id="582"/>
    </w:p>
    <w:p w14:paraId="3C3CBCAC" w14:textId="02F89731" w:rsidR="004275E8" w:rsidRPr="00EA3458" w:rsidRDefault="004275E8" w:rsidP="00B54030">
      <w:pPr>
        <w:spacing w:line="276" w:lineRule="auto"/>
        <w:rPr>
          <w:rFonts w:eastAsiaTheme="minorEastAsia"/>
        </w:rPr>
      </w:pPr>
      <w:r w:rsidRPr="00EA3458">
        <w:rPr>
          <w:rFonts w:eastAsiaTheme="minorEastAsia"/>
        </w:rPr>
        <w:t>The impetus to conduct this review relating to issues identified herein around access</w:t>
      </w:r>
      <w:r w:rsidR="005B1F19">
        <w:rPr>
          <w:rFonts w:eastAsiaTheme="minorEastAsia"/>
        </w:rPr>
        <w:t>, affordability</w:t>
      </w:r>
      <w:r w:rsidRPr="00EA3458">
        <w:rPr>
          <w:rFonts w:eastAsiaTheme="minorEastAsia"/>
        </w:rPr>
        <w:t xml:space="preserve"> and equity </w:t>
      </w:r>
      <w:r w:rsidR="005B1F19">
        <w:rPr>
          <w:rFonts w:eastAsiaTheme="minorEastAsia"/>
        </w:rPr>
        <w:t xml:space="preserve">of access to ODT medicines </w:t>
      </w:r>
      <w:r w:rsidRPr="00EA3458">
        <w:rPr>
          <w:rFonts w:eastAsiaTheme="minorEastAsia"/>
        </w:rPr>
        <w:t>mean that it is important to explore whether any changes to the PB</w:t>
      </w:r>
      <w:r w:rsidR="00AC2C84">
        <w:rPr>
          <w:rFonts w:eastAsiaTheme="minorEastAsia"/>
        </w:rPr>
        <w:t xml:space="preserve">S </w:t>
      </w:r>
      <w:r w:rsidRPr="00EA3458">
        <w:rPr>
          <w:rFonts w:eastAsiaTheme="minorEastAsia"/>
        </w:rPr>
        <w:t>funding of O</w:t>
      </w:r>
      <w:r w:rsidR="00D33624">
        <w:rPr>
          <w:rFonts w:eastAsiaTheme="minorEastAsia"/>
        </w:rPr>
        <w:t>D</w:t>
      </w:r>
      <w:r w:rsidRPr="00EA3458">
        <w:rPr>
          <w:rFonts w:eastAsiaTheme="minorEastAsia"/>
        </w:rPr>
        <w:t>T</w:t>
      </w:r>
      <w:r w:rsidR="00D33624">
        <w:rPr>
          <w:rFonts w:eastAsiaTheme="minorEastAsia"/>
        </w:rPr>
        <w:t xml:space="preserve"> medicines</w:t>
      </w:r>
      <w:r w:rsidRPr="00EA3458">
        <w:rPr>
          <w:rFonts w:eastAsiaTheme="minorEastAsia"/>
        </w:rPr>
        <w:t xml:space="preserve"> could address these issues.</w:t>
      </w:r>
    </w:p>
    <w:p w14:paraId="011ED64C" w14:textId="7A413300" w:rsidR="004275E8" w:rsidRPr="00EA3458" w:rsidRDefault="004275E8" w:rsidP="007E3DC8">
      <w:pPr>
        <w:pStyle w:val="Heading4"/>
        <w:numPr>
          <w:ilvl w:val="2"/>
          <w:numId w:val="43"/>
        </w:numPr>
      </w:pPr>
      <w:bookmarkStart w:id="583" w:name="_Toc101790809"/>
      <w:r w:rsidRPr="00EA3458">
        <w:lastRenderedPageBreak/>
        <w:t xml:space="preserve">To switch </w:t>
      </w:r>
      <w:r w:rsidR="000123E2">
        <w:t>the listing of O</w:t>
      </w:r>
      <w:r w:rsidR="00D33624">
        <w:t>D</w:t>
      </w:r>
      <w:r w:rsidR="000123E2">
        <w:t>T medicines to</w:t>
      </w:r>
      <w:r w:rsidRPr="00EA3458">
        <w:t xml:space="preserve"> S85 </w:t>
      </w:r>
      <w:bookmarkEnd w:id="583"/>
      <w:r w:rsidR="000123E2">
        <w:t>entirely</w:t>
      </w:r>
    </w:p>
    <w:p w14:paraId="7BE8505E" w14:textId="23B3D348" w:rsidR="00594AF2" w:rsidRDefault="00594AF2" w:rsidP="00594AF2">
      <w:r>
        <w:t>In line with the functions and operations of the general PBS schedule, this would involve consumers being dispensed S85 medicines from PBS approved suppliers and paying a PBS co-payment depending on their beneficiary status. This confers both potential financial and societal benefits; consumers would be eligible for PBS Safety Net benefits and O</w:t>
      </w:r>
      <w:r w:rsidR="00D33624">
        <w:t>D</w:t>
      </w:r>
      <w:r>
        <w:t xml:space="preserve">T medicine </w:t>
      </w:r>
      <w:r w:rsidR="005B1F19">
        <w:t>dispensing</w:t>
      </w:r>
      <w:r>
        <w:t xml:space="preserve"> would be aligned with medicines used to treat other health conditions</w:t>
      </w:r>
      <w:r w:rsidR="005B1F19">
        <w:t xml:space="preserve"> under the PBS</w:t>
      </w:r>
      <w:r>
        <w:t xml:space="preserve">. </w:t>
      </w:r>
      <w:r w:rsidR="00C11994">
        <w:t>It</w:t>
      </w:r>
      <w:r w:rsidR="002A07AA">
        <w:t xml:space="preserve"> </w:t>
      </w:r>
      <w:r>
        <w:t xml:space="preserve">also allows medicine use </w:t>
      </w:r>
      <w:r w:rsidR="00C11994">
        <w:t xml:space="preserve">dispensing claims data </w:t>
      </w:r>
      <w:r>
        <w:t xml:space="preserve">to be </w:t>
      </w:r>
      <w:r w:rsidR="00C11994">
        <w:t>monitored</w:t>
      </w:r>
      <w:r>
        <w:t xml:space="preserve"> on an </w:t>
      </w:r>
      <w:r w:rsidR="001E3699">
        <w:t>individual level</w:t>
      </w:r>
      <w:r>
        <w:t xml:space="preserve">, allowing for improved modelling of treatment utilisation and needs at a policy level. </w:t>
      </w:r>
    </w:p>
    <w:p w14:paraId="1A600DED" w14:textId="284A6533" w:rsidR="00594AF2" w:rsidRDefault="00594AF2" w:rsidP="00594AF2">
      <w:r>
        <w:t>However, this option under current policy would exclude many critical dispensing points currently providing O</w:t>
      </w:r>
      <w:r w:rsidR="00D33624">
        <w:t>D</w:t>
      </w:r>
      <w:r>
        <w:t>T</w:t>
      </w:r>
      <w:r w:rsidR="00D33624">
        <w:t xml:space="preserve"> medicines</w:t>
      </w:r>
      <w:r>
        <w:t xml:space="preserve">, such as </w:t>
      </w:r>
      <w:r w:rsidR="00604A6B">
        <w:t xml:space="preserve">both </w:t>
      </w:r>
      <w:r>
        <w:t xml:space="preserve">private </w:t>
      </w:r>
      <w:r w:rsidR="0039756E">
        <w:t xml:space="preserve">and public </w:t>
      </w:r>
      <w:r>
        <w:t>clinics</w:t>
      </w:r>
      <w:r w:rsidR="0039756E">
        <w:t>,</w:t>
      </w:r>
      <w:r>
        <w:t xml:space="preserve"> and correctional facilities. It would also impact O</w:t>
      </w:r>
      <w:r w:rsidR="00D33624">
        <w:t>D</w:t>
      </w:r>
      <w:r>
        <w:t xml:space="preserve">T programs in public hospitals and clinics which currently rely on the S100 arrangements to fund the supply of medicines. The usual supply arrangements for most S85 medicines for chronic conditions represent a month’s treatment. </w:t>
      </w:r>
      <w:r w:rsidR="0040727F">
        <w:t>There may be limitations to applying the</w:t>
      </w:r>
      <w:r w:rsidR="00C11994">
        <w:t xml:space="preserve"> exi</w:t>
      </w:r>
      <w:r w:rsidR="002A07AA">
        <w:t>s</w:t>
      </w:r>
      <w:r w:rsidR="00C11994">
        <w:t xml:space="preserve">ting S85 legislative and administrative claiming </w:t>
      </w:r>
      <w:r>
        <w:t>structure to O</w:t>
      </w:r>
      <w:r w:rsidR="00D33624">
        <w:t>D</w:t>
      </w:r>
      <w:r>
        <w:t xml:space="preserve">T medicines which have individualised dosing schedules </w:t>
      </w:r>
      <w:r w:rsidR="005507B3">
        <w:t>given o</w:t>
      </w:r>
      <w:r w:rsidR="005B1F19">
        <w:t>ral methadone and sublingual buprenorphine</w:t>
      </w:r>
      <w:r>
        <w:t xml:space="preserve"> requir</w:t>
      </w:r>
      <w:r w:rsidR="005507B3">
        <w:t>e</w:t>
      </w:r>
      <w:r>
        <w:t xml:space="preserve"> </w:t>
      </w:r>
      <w:r w:rsidR="005B1F19">
        <w:t>more frequent dispensing</w:t>
      </w:r>
      <w:r>
        <w:t xml:space="preserve"> activities associated with the </w:t>
      </w:r>
      <w:r w:rsidR="005B1F19">
        <w:t>often</w:t>
      </w:r>
      <w:r w:rsidR="00D94DC1">
        <w:t xml:space="preserve"> </w:t>
      </w:r>
      <w:r>
        <w:t>daily preparation and supervision of doses.</w:t>
      </w:r>
      <w:r w:rsidR="00D94DC1">
        <w:t xml:space="preserve"> </w:t>
      </w:r>
      <w:r w:rsidR="004306D2" w:rsidRPr="00847C02">
        <w:rPr>
          <w:rFonts w:cstheme="minorHAnsi"/>
        </w:rPr>
        <w:t xml:space="preserve">S85 PBS arrangements are not well suited to </w:t>
      </w:r>
      <w:r w:rsidR="004306D2">
        <w:rPr>
          <w:rFonts w:cstheme="minorHAnsi"/>
        </w:rPr>
        <w:t>ODT</w:t>
      </w:r>
      <w:r w:rsidR="004306D2" w:rsidRPr="00847C02">
        <w:rPr>
          <w:rFonts w:cstheme="minorHAnsi"/>
        </w:rPr>
        <w:t xml:space="preserve"> medicines (i.e., methadone and sublingual buprenorphine) that require </w:t>
      </w:r>
      <w:r w:rsidR="004306D2" w:rsidRPr="004306D2">
        <w:rPr>
          <w:rFonts w:cstheme="minorHAnsi"/>
        </w:rPr>
        <w:t>daily dosing</w:t>
      </w:r>
      <w:r w:rsidR="002A07AA">
        <w:rPr>
          <w:rFonts w:cstheme="minorHAnsi"/>
        </w:rPr>
        <w:t>.</w:t>
      </w:r>
      <w:r w:rsidR="004306D2">
        <w:rPr>
          <w:rFonts w:cstheme="minorHAnsi"/>
        </w:rPr>
        <w:t xml:space="preserve"> </w:t>
      </w:r>
    </w:p>
    <w:p w14:paraId="45EEE892" w14:textId="6F786A07" w:rsidR="00C11994" w:rsidRDefault="00C11994" w:rsidP="00594AF2">
      <w:r w:rsidRPr="0046271C">
        <w:rPr>
          <w:rFonts w:cstheme="minorHAnsi"/>
        </w:rPr>
        <w:t>As a prescription for LAIB can be dispensed on a per pack basis for a specific patient, these products could be considered for listing on the PBS under</w:t>
      </w:r>
      <w:r>
        <w:rPr>
          <w:rFonts w:cstheme="minorHAnsi"/>
        </w:rPr>
        <w:t xml:space="preserve"> </w:t>
      </w:r>
      <w:r>
        <w:t xml:space="preserve">S85 </w:t>
      </w:r>
      <w:r w:rsidR="00B74B44">
        <w:t xml:space="preserve">supporting access through pharmacies. In this situation a S100 arrangement may still be needed to facilitate access to LAIB for consumers accessing treatment through private and public clinics, and receiving treatment in correctional facilities.  </w:t>
      </w:r>
    </w:p>
    <w:p w14:paraId="2D9AE2CD" w14:textId="59F7B8F2" w:rsidR="00AC2C84" w:rsidRDefault="004275E8" w:rsidP="0091545F">
      <w:r w:rsidRPr="00EA3458">
        <w:t xml:space="preserve">There is also potential for considerable wastage as S85 medicines are dispensed on an individual </w:t>
      </w:r>
      <w:r w:rsidR="00AC2C84">
        <w:t>patient</w:t>
      </w:r>
      <w:r w:rsidRPr="00EA3458">
        <w:t xml:space="preserve"> basis. For methadone, one bottle would be dispensed to a consumer who may not use the entire bottle, in contrast to the current S100 arrangement in which multiple consumers can be dosed from the same bottle. </w:t>
      </w:r>
    </w:p>
    <w:p w14:paraId="0F7F0A5D" w14:textId="798723F1" w:rsidR="00D94DC1" w:rsidRDefault="00D94DC1" w:rsidP="0091545F">
      <w:r>
        <w:t xml:space="preserve">While this option would potentially contribute, in part, to achieving more mainstream PBS arrangements </w:t>
      </w:r>
      <w:r w:rsidR="002E721A">
        <w:t xml:space="preserve">for access to ODT medicines through community pharmacy </w:t>
      </w:r>
      <w:r w:rsidR="00B74B44">
        <w:t xml:space="preserve">dosing </w:t>
      </w:r>
      <w:r w:rsidR="002E721A">
        <w:t>sites it would not address access through broader, non-pharmacy setting</w:t>
      </w:r>
      <w:r w:rsidR="00B74B44">
        <w:t>s</w:t>
      </w:r>
      <w:r w:rsidR="002E721A">
        <w:t xml:space="preserve"> for ODT programs. </w:t>
      </w:r>
    </w:p>
    <w:p w14:paraId="5C8A8916" w14:textId="215189FC" w:rsidR="004275E8" w:rsidRPr="00EA3458" w:rsidRDefault="004275E8" w:rsidP="007E3DC8">
      <w:pPr>
        <w:pStyle w:val="Heading4"/>
        <w:numPr>
          <w:ilvl w:val="2"/>
          <w:numId w:val="43"/>
        </w:numPr>
      </w:pPr>
      <w:bookmarkStart w:id="584" w:name="_Toc101790810"/>
      <w:r w:rsidRPr="00EA3458">
        <w:t xml:space="preserve">To </w:t>
      </w:r>
      <w:bookmarkEnd w:id="584"/>
      <w:r w:rsidR="000123E2">
        <w:t>list O</w:t>
      </w:r>
      <w:r w:rsidR="00D33624">
        <w:t>D</w:t>
      </w:r>
      <w:r w:rsidR="000123E2">
        <w:t>T medicines as duplicates on both S85 and S100 schedules</w:t>
      </w:r>
    </w:p>
    <w:p w14:paraId="437D97BF" w14:textId="41B367FE" w:rsidR="002E721A" w:rsidRDefault="004275E8" w:rsidP="00A74BD9">
      <w:r w:rsidRPr="00EA3458">
        <w:t xml:space="preserve">This </w:t>
      </w:r>
      <w:r w:rsidR="002E721A">
        <w:t xml:space="preserve">option </w:t>
      </w:r>
      <w:r w:rsidRPr="00EA3458">
        <w:t xml:space="preserve">would </w:t>
      </w:r>
      <w:r w:rsidR="002E721A">
        <w:t xml:space="preserve">potentially </w:t>
      </w:r>
      <w:r w:rsidRPr="00EA3458">
        <w:t xml:space="preserve">allow consumers </w:t>
      </w:r>
      <w:r w:rsidR="002E721A">
        <w:t>to</w:t>
      </w:r>
      <w:r w:rsidR="00727FD1">
        <w:t xml:space="preserve"> access their O</w:t>
      </w:r>
      <w:r w:rsidR="00D33624">
        <w:t>D</w:t>
      </w:r>
      <w:r w:rsidR="00727FD1">
        <w:t>T</w:t>
      </w:r>
      <w:r w:rsidR="00D33624">
        <w:t xml:space="preserve"> medicines</w:t>
      </w:r>
      <w:r w:rsidR="00727FD1">
        <w:t xml:space="preserve"> from a community pharmacy</w:t>
      </w:r>
      <w:r w:rsidR="002E721A">
        <w:t xml:space="preserve"> in the same way as they currently access other PBS subsidised medicines for other medicines (e.g. under s85 with the PBS Safety Net entitlement) </w:t>
      </w:r>
      <w:r w:rsidRPr="00EA3458">
        <w:t xml:space="preserve">while </w:t>
      </w:r>
      <w:r w:rsidR="000F4B04">
        <w:t xml:space="preserve">potentially </w:t>
      </w:r>
      <w:r w:rsidR="002E721A">
        <w:t xml:space="preserve">also </w:t>
      </w:r>
      <w:r w:rsidRPr="00EA3458">
        <w:t>allowing other non-</w:t>
      </w:r>
      <w:r w:rsidR="000F4B04">
        <w:t>community pharmacy</w:t>
      </w:r>
      <w:r w:rsidR="000F4B04" w:rsidRPr="00EA3458">
        <w:t xml:space="preserve"> </w:t>
      </w:r>
      <w:r w:rsidRPr="00EA3458">
        <w:t xml:space="preserve">dispensing points to continue to </w:t>
      </w:r>
      <w:r w:rsidR="000F4B04">
        <w:t>have PBS subsidised access to the medicines as occurs now</w:t>
      </w:r>
      <w:r w:rsidR="002E721A">
        <w:t xml:space="preserve"> (under s100)</w:t>
      </w:r>
      <w:r w:rsidRPr="00EA3458">
        <w:t xml:space="preserve">. </w:t>
      </w:r>
    </w:p>
    <w:p w14:paraId="7D7B6609" w14:textId="3F83988C" w:rsidR="002E721A" w:rsidRDefault="000F4B04" w:rsidP="00A74BD9">
      <w:r>
        <w:t>Stakeholders and member</w:t>
      </w:r>
      <w:r w:rsidR="002A07AA">
        <w:t>s</w:t>
      </w:r>
      <w:r>
        <w:t xml:space="preserve"> of the Reference Group have raised there is</w:t>
      </w:r>
      <w:r w:rsidR="004275E8" w:rsidRPr="00EA3458">
        <w:t xml:space="preserve"> </w:t>
      </w:r>
      <w:r w:rsidR="00AC2C84">
        <w:t xml:space="preserve">some </w:t>
      </w:r>
      <w:r w:rsidR="004275E8" w:rsidRPr="00EA3458">
        <w:t xml:space="preserve">precedence for this; hepatitis C medications can be obtained both through S85 and S100 schemes. </w:t>
      </w:r>
      <w:r w:rsidR="00AC2C84">
        <w:t xml:space="preserve">These medicines differ however, in that </w:t>
      </w:r>
      <w:r>
        <w:t xml:space="preserve">under the s100 arrangements there is still an individual patient </w:t>
      </w:r>
      <w:r w:rsidR="00AC2C84">
        <w:t xml:space="preserve">supply </w:t>
      </w:r>
      <w:r>
        <w:t xml:space="preserve">which </w:t>
      </w:r>
      <w:r w:rsidR="00AC2C84">
        <w:t xml:space="preserve">is captured through a PBS claim </w:t>
      </w:r>
      <w:r>
        <w:t xml:space="preserve">made by a PBS approved supplier </w:t>
      </w:r>
      <w:r w:rsidR="00AC2C84">
        <w:t>which does not occur for O</w:t>
      </w:r>
      <w:r w:rsidR="00D33624">
        <w:t>D</w:t>
      </w:r>
      <w:r w:rsidR="00AC2C84">
        <w:t>T medicines</w:t>
      </w:r>
      <w:r>
        <w:t xml:space="preserve"> (where, under s100 payments are made direct to pharmaceutical companies for the drugs without any individual patient claim)</w:t>
      </w:r>
      <w:r w:rsidR="00AC2C84">
        <w:t xml:space="preserve">. </w:t>
      </w:r>
    </w:p>
    <w:p w14:paraId="15A78C36" w14:textId="49191810" w:rsidR="00C11994" w:rsidRPr="003005C1" w:rsidRDefault="004275E8" w:rsidP="00A74BD9">
      <w:r w:rsidRPr="00EA3458">
        <w:lastRenderedPageBreak/>
        <w:t xml:space="preserve">Having </w:t>
      </w:r>
      <w:r w:rsidR="002A07AA">
        <w:t>2</w:t>
      </w:r>
      <w:r w:rsidR="002A07AA" w:rsidRPr="00EA3458">
        <w:t xml:space="preserve"> </w:t>
      </w:r>
      <w:r w:rsidRPr="00EA3458">
        <w:t>separate reimbursement schemes</w:t>
      </w:r>
      <w:r w:rsidR="002E721A">
        <w:t xml:space="preserve"> for ODT medicines through both S85 and S100</w:t>
      </w:r>
      <w:r w:rsidR="00AC2C84">
        <w:t xml:space="preserve">, </w:t>
      </w:r>
      <w:r w:rsidR="002E721A">
        <w:t>is likely to</w:t>
      </w:r>
      <w:r w:rsidRPr="00EA3458">
        <w:t xml:space="preserve"> contribute to increasing complexity within the health system by introducing duplicative processes</w:t>
      </w:r>
      <w:r w:rsidR="002E721A">
        <w:t>. Pharmacy remuneration also needs to be considered in such an option</w:t>
      </w:r>
      <w:r w:rsidR="00C11994">
        <w:t xml:space="preserve"> to ensure </w:t>
      </w:r>
      <w:r w:rsidR="00307C34">
        <w:t xml:space="preserve">fees for daily dosing are commensurate to the activities undertaken and time required to dispense ODT medicines and so </w:t>
      </w:r>
      <w:r w:rsidR="00C11994">
        <w:t xml:space="preserve">patients are not charged ongoing </w:t>
      </w:r>
      <w:r w:rsidRPr="003005C1">
        <w:t xml:space="preserve">out-of-pocket costs </w:t>
      </w:r>
      <w:r w:rsidR="00C11994">
        <w:t>for</w:t>
      </w:r>
      <w:r w:rsidRPr="003005C1">
        <w:t xml:space="preserve"> pharmacy daily dosing fees. </w:t>
      </w:r>
    </w:p>
    <w:p w14:paraId="3117F8CC" w14:textId="5081C718" w:rsidR="00A74BD9" w:rsidRPr="003005C1" w:rsidRDefault="00A74BD9" w:rsidP="007E3DC8">
      <w:pPr>
        <w:pStyle w:val="Heading4"/>
        <w:numPr>
          <w:ilvl w:val="2"/>
          <w:numId w:val="43"/>
        </w:numPr>
      </w:pPr>
      <w:r w:rsidRPr="003005C1">
        <w:t>Revised S100 schedule</w:t>
      </w:r>
    </w:p>
    <w:p w14:paraId="6D369636" w14:textId="04B70F61" w:rsidR="009F57F4" w:rsidRDefault="003005C1" w:rsidP="00156C3B">
      <w:r>
        <w:t xml:space="preserve">The current S100 arrangements for ODT medicines (i.e. the PBS ODTP) could be amended to incorporate elements similar to other PBS medicines in which reimbursement to pharmacists occurs at the time of dispensing on a per-patient basis and </w:t>
      </w:r>
      <w:r w:rsidR="009F57F4">
        <w:t>there is a PBS patient contribution</w:t>
      </w:r>
      <w:r w:rsidR="00291E7F">
        <w:t xml:space="preserve"> </w:t>
      </w:r>
      <w:r w:rsidR="009F57F4">
        <w:t>(instead of private, unregulated pharmacy dosing fees)</w:t>
      </w:r>
      <w:r>
        <w:t>.</w:t>
      </w:r>
      <w:r w:rsidR="00B10E4D">
        <w:t xml:space="preserve"> </w:t>
      </w:r>
      <w:r w:rsidR="009F57F4">
        <w:t xml:space="preserve">A revised S100 arrangement could </w:t>
      </w:r>
      <w:r w:rsidR="00B10E4D">
        <w:t xml:space="preserve">also </w:t>
      </w:r>
      <w:r w:rsidR="009F57F4">
        <w:t xml:space="preserve">provide for </w:t>
      </w:r>
      <w:r w:rsidR="009F57F4" w:rsidRPr="009A1C73">
        <w:t>access to ODT medicines from a range of settings, not just community pharmacy</w:t>
      </w:r>
      <w:r w:rsidR="009F57F4">
        <w:t xml:space="preserve">. </w:t>
      </w:r>
    </w:p>
    <w:p w14:paraId="0A2147BB" w14:textId="710EFA34" w:rsidR="009F57F4" w:rsidRDefault="00FE3958" w:rsidP="00156C3B">
      <w:r>
        <w:t xml:space="preserve">Stakeholder input to the PMR noted that it is not unusual for medicines with specific dosing and dispensing requirements to be listed on the PBS under S100 programs that accommodate alternative supply arrangements such as the HSD, EFC or Growth Hormone Programs.  Possible improvements suggested by stakeholders include retrospective dispensing, flexible dispensing intervals and developing algorithms that consider frequent and variable dosing.   </w:t>
      </w:r>
    </w:p>
    <w:p w14:paraId="04A70DC6" w14:textId="0C8D0157" w:rsidR="009F57F4" w:rsidRDefault="00FE3958" w:rsidP="00156C3B">
      <w:r w:rsidRPr="009A1C73">
        <w:t xml:space="preserve">While existing </w:t>
      </w:r>
      <w:r w:rsidR="009A1C73">
        <w:t xml:space="preserve">S100 </w:t>
      </w:r>
      <w:r w:rsidRPr="009A1C73">
        <w:t>PBS fees for dispensing medicines go some way towards remunerating pharmacies, it is acknowledged these fees may not adequately compensate pharmacies for the time taken to observe the patient taking their doses within their premises and/or to prepare and provide takeaway doses. This is despite the review finding that approximately half of all consumers o</w:t>
      </w:r>
      <w:r w:rsidR="00034C4E">
        <w:t>f</w:t>
      </w:r>
      <w:r w:rsidRPr="009A1C73">
        <w:t xml:space="preserve"> O</w:t>
      </w:r>
      <w:r w:rsidR="002A07AA">
        <w:t>D</w:t>
      </w:r>
      <w:r w:rsidRPr="009A1C73">
        <w:t xml:space="preserve">T </w:t>
      </w:r>
      <w:r w:rsidR="00034C4E">
        <w:t xml:space="preserve">medicines </w:t>
      </w:r>
      <w:r w:rsidRPr="009A1C73">
        <w:t xml:space="preserve">receive some takeaway doses. </w:t>
      </w:r>
      <w:r w:rsidR="00034C4E" w:rsidRPr="009A1C73">
        <w:t>Therefore,</w:t>
      </w:r>
      <w:r w:rsidRPr="009A1C73">
        <w:t xml:space="preserve"> t</w:t>
      </w:r>
      <w:r w:rsidR="00076FD2">
        <w:t xml:space="preserve">his option would require </w:t>
      </w:r>
      <w:r>
        <w:t>consideration of</w:t>
      </w:r>
      <w:r w:rsidR="00076FD2">
        <w:t xml:space="preserve"> </w:t>
      </w:r>
      <w:r w:rsidR="00806701">
        <w:t xml:space="preserve">both a </w:t>
      </w:r>
      <w:r w:rsidR="00DF3419">
        <w:t xml:space="preserve">PBS </w:t>
      </w:r>
      <w:r w:rsidR="00806701">
        <w:t xml:space="preserve">patient contribution and </w:t>
      </w:r>
      <w:r>
        <w:t>a remuneration approach for pharmacies</w:t>
      </w:r>
      <w:r w:rsidR="009A1C73">
        <w:t xml:space="preserve"> to ensure patient affordability is </w:t>
      </w:r>
      <w:r w:rsidR="0040727F">
        <w:t xml:space="preserve">fully </w:t>
      </w:r>
      <w:r w:rsidR="009A1C73">
        <w:t xml:space="preserve">addressed. </w:t>
      </w:r>
    </w:p>
    <w:p w14:paraId="55D70B9E" w14:textId="46F90D45" w:rsidR="001C7C0F" w:rsidRDefault="00E9793C" w:rsidP="001C7C0F">
      <w:pPr>
        <w:spacing w:after="0"/>
      </w:pPr>
      <w:r>
        <w:t xml:space="preserve">This option has the potential to achieve more mainstream arrangements and improved affordability of dispensing and supply of ODT medicines </w:t>
      </w:r>
      <w:r w:rsidR="00DF3419">
        <w:t xml:space="preserve">for consumers </w:t>
      </w:r>
      <w:r>
        <w:t xml:space="preserve">however there remains the need to ensure work is undertaken with state and territory governments on ensuring access to affordable and equitable treatment </w:t>
      </w:r>
      <w:r w:rsidR="00DF3419">
        <w:t xml:space="preserve">options from a range of settings in addition to community pharmacy including from correctional facilities and public treatment choices. </w:t>
      </w:r>
    </w:p>
    <w:p w14:paraId="7AB8CDEE" w14:textId="77777777" w:rsidR="00E9793C" w:rsidRPr="00EA3458" w:rsidRDefault="00E9793C" w:rsidP="001C7C0F">
      <w:pPr>
        <w:spacing w:after="0"/>
      </w:pPr>
    </w:p>
    <w:p w14:paraId="017524BF" w14:textId="2DDB935C" w:rsidR="004275E8" w:rsidRPr="00EA3458" w:rsidRDefault="004275E8" w:rsidP="007E3DC8">
      <w:pPr>
        <w:pStyle w:val="Heading3"/>
        <w:numPr>
          <w:ilvl w:val="1"/>
          <w:numId w:val="43"/>
        </w:numPr>
        <w:spacing w:before="0"/>
      </w:pPr>
      <w:bookmarkStart w:id="585" w:name="_Toc163221184"/>
      <w:r w:rsidRPr="00EA3458">
        <w:t xml:space="preserve">Pathways of </w:t>
      </w:r>
      <w:r w:rsidR="00D33624">
        <w:t xml:space="preserve">service delivery </w:t>
      </w:r>
      <w:r w:rsidR="00E67419">
        <w:t>for O</w:t>
      </w:r>
      <w:r w:rsidR="00D33624">
        <w:t>D</w:t>
      </w:r>
      <w:r w:rsidR="00E67419">
        <w:t>T medicines</w:t>
      </w:r>
      <w:bookmarkEnd w:id="585"/>
    </w:p>
    <w:p w14:paraId="3F58F341" w14:textId="46EDFA94" w:rsidR="000166F8" w:rsidRDefault="004F4E54" w:rsidP="004F4E54">
      <w:r>
        <w:t>As identified in the literature review, a</w:t>
      </w:r>
      <w:r w:rsidRPr="00EA3458">
        <w:t xml:space="preserve">ll ODT medicines (except for the monthly injections) are considered first-line treatment options. </w:t>
      </w:r>
      <w:r>
        <w:t>O</w:t>
      </w:r>
      <w:r w:rsidR="00D33624">
        <w:t>D</w:t>
      </w:r>
      <w:r>
        <w:t xml:space="preserve">T medicines that require </w:t>
      </w:r>
      <w:r w:rsidR="003005C1">
        <w:t>more frequent dispensing</w:t>
      </w:r>
      <w:r>
        <w:t xml:space="preserve"> are short acting and can be subject to variable arrangements around dose, frequency and supervision requirement</w:t>
      </w:r>
      <w:r w:rsidR="00585868">
        <w:t>s</w:t>
      </w:r>
      <w:r w:rsidRPr="00740D6B">
        <w:t xml:space="preserve"> </w:t>
      </w:r>
      <w:r>
        <w:t xml:space="preserve">depending on assessment of the consumer on presentation. </w:t>
      </w:r>
      <w:r w:rsidR="00585868">
        <w:t>More frequent reviews (</w:t>
      </w:r>
      <w:r w:rsidR="00960858">
        <w:t>e.g.,</w:t>
      </w:r>
      <w:r w:rsidR="00585868">
        <w:t xml:space="preserve"> every week) usually occur early in treatment, during periods of instability, or during withdrawal attempts. Patients who are stable in long-term treatment may be </w:t>
      </w:r>
      <w:r w:rsidR="003005C1">
        <w:t xml:space="preserve">reviewed </w:t>
      </w:r>
      <w:r w:rsidR="00585868">
        <w:t>less frequently</w:t>
      </w:r>
      <w:r w:rsidR="003005C1">
        <w:t xml:space="preserve"> (</w:t>
      </w:r>
      <w:r w:rsidR="00E9793C">
        <w:t xml:space="preserve">for example </w:t>
      </w:r>
      <w:r w:rsidR="003005C1">
        <w:t>on a monthly or longer basis)</w:t>
      </w:r>
      <w:r w:rsidR="00585868">
        <w:t xml:space="preserve">. </w:t>
      </w:r>
    </w:p>
    <w:p w14:paraId="11333EB7" w14:textId="39D3F2EC" w:rsidR="004F4E54" w:rsidRDefault="000166F8" w:rsidP="004F4E54">
      <w:r>
        <w:t>Although subject to jurisdictional guidelines, there are broadly three types of takeaway dosing: primar</w:t>
      </w:r>
      <w:r w:rsidR="0072609F">
        <w:t>il</w:t>
      </w:r>
      <w:r>
        <w:t xml:space="preserve">y supervised (except perhaps for single occasion), partially supervised </w:t>
      </w:r>
      <w:r>
        <w:lastRenderedPageBreak/>
        <w:t>(combination of supervised and takeaway doses) and unsupervised (less than weekly supervision) dosing. The</w:t>
      </w:r>
      <w:r w:rsidR="004F4E54">
        <w:t xml:space="preserve"> aspects </w:t>
      </w:r>
      <w:r>
        <w:t xml:space="preserve">discussed above </w:t>
      </w:r>
      <w:r w:rsidR="004F4E54">
        <w:t>make considerations for a more standard PBS listing</w:t>
      </w:r>
      <w:r>
        <w:t xml:space="preserve"> of these daily dosed O</w:t>
      </w:r>
      <w:r w:rsidR="00D33624">
        <w:t>D</w:t>
      </w:r>
      <w:r>
        <w:t>T medicines</w:t>
      </w:r>
      <w:r w:rsidR="004F4E54">
        <w:t xml:space="preserve"> challenging. </w:t>
      </w:r>
    </w:p>
    <w:p w14:paraId="1D1B9546" w14:textId="75F9B3E4" w:rsidR="00E67419" w:rsidRDefault="004F4E54" w:rsidP="004F4E54">
      <w:r>
        <w:t>To be prescribed t</w:t>
      </w:r>
      <w:r w:rsidRPr="00EA3458">
        <w:t xml:space="preserve">he monthly </w:t>
      </w:r>
      <w:r>
        <w:t>LAIB, a consumer is</w:t>
      </w:r>
      <w:r w:rsidRPr="00EA3458">
        <w:t xml:space="preserve"> require</w:t>
      </w:r>
      <w:r>
        <w:t>d to be stabilised on the shorter acting buprenorphine formulations due to the modified release formulation making dose-adjustment more difficult</w:t>
      </w:r>
      <w:r w:rsidRPr="00EA3458">
        <w:t>.</w:t>
      </w:r>
      <w:r w:rsidR="00740D6B">
        <w:t xml:space="preserve"> </w:t>
      </w:r>
    </w:p>
    <w:p w14:paraId="0836B7F1" w14:textId="25AB329C" w:rsidR="000F4B04" w:rsidRDefault="00E67419" w:rsidP="001C7C0F">
      <w:pPr>
        <w:rPr>
          <w:rFonts w:asciiTheme="minorHAnsi" w:eastAsiaTheme="majorEastAsia" w:hAnsiTheme="minorHAnsi" w:cstheme="majorBidi"/>
          <w:color w:val="2F5496" w:themeColor="accent1" w:themeShade="BF"/>
          <w:sz w:val="26"/>
          <w:szCs w:val="26"/>
        </w:rPr>
      </w:pPr>
      <w:r w:rsidRPr="00EA3458">
        <w:t xml:space="preserve">It is the clinical decision of the prescriber (in discussion with the patient) to determine the most suitable </w:t>
      </w:r>
      <w:r w:rsidR="0072609F">
        <w:t xml:space="preserve">approach to </w:t>
      </w:r>
      <w:r>
        <w:t xml:space="preserve">ODT, </w:t>
      </w:r>
      <w:r w:rsidRPr="00EA3458">
        <w:t>including</w:t>
      </w:r>
      <w:r w:rsidR="0072609F">
        <w:t xml:space="preserve"> </w:t>
      </w:r>
      <w:r>
        <w:t>which O</w:t>
      </w:r>
      <w:r w:rsidR="00D33624">
        <w:t>D</w:t>
      </w:r>
      <w:r>
        <w:t xml:space="preserve">T medicine to prescribe </w:t>
      </w:r>
      <w:r w:rsidRPr="00EA3458">
        <w:t>(noting there are pharmacological differences between O</w:t>
      </w:r>
      <w:r w:rsidR="00D33624">
        <w:t>D</w:t>
      </w:r>
      <w:r w:rsidRPr="00EA3458">
        <w:t>T medicines and formulations which result in different clinical responses and therefore may suit patients differently)</w:t>
      </w:r>
      <w:r w:rsidR="0072609F">
        <w:t xml:space="preserve"> and t</w:t>
      </w:r>
      <w:r w:rsidR="0072609F" w:rsidRPr="00EA3458">
        <w:t>he level</w:t>
      </w:r>
      <w:r w:rsidR="0072609F">
        <w:t>, if any,</w:t>
      </w:r>
      <w:r w:rsidR="0072609F" w:rsidRPr="00EA3458">
        <w:t xml:space="preserve"> of supporting services required</w:t>
      </w:r>
      <w:r w:rsidRPr="00EA3458">
        <w:t>.</w:t>
      </w:r>
      <w:r w:rsidR="000D1AA4">
        <w:t xml:space="preserve"> </w:t>
      </w:r>
      <w:r w:rsidR="000F4B04">
        <w:br w:type="page"/>
      </w:r>
    </w:p>
    <w:p w14:paraId="48704D0A" w14:textId="0DEE2245" w:rsidR="00CA09CB" w:rsidRDefault="00D41BD2" w:rsidP="00DE089B">
      <w:pPr>
        <w:pStyle w:val="Heading2"/>
      </w:pPr>
      <w:bookmarkStart w:id="586" w:name="_Toc163221185"/>
      <w:r>
        <w:lastRenderedPageBreak/>
        <w:t xml:space="preserve">Part </w:t>
      </w:r>
      <w:r w:rsidR="00D06AA8">
        <w:t>6</w:t>
      </w:r>
      <w:r>
        <w:t xml:space="preserve">: </w:t>
      </w:r>
      <w:r w:rsidR="005A5291">
        <w:t>Review Outcomes</w:t>
      </w:r>
      <w:bookmarkEnd w:id="586"/>
      <w:r w:rsidR="009474D3">
        <w:t xml:space="preserve"> </w:t>
      </w:r>
    </w:p>
    <w:p w14:paraId="6D84B8AB" w14:textId="736DEBC5" w:rsidR="005A5291" w:rsidRDefault="005A5291" w:rsidP="00034C4E">
      <w:pPr>
        <w:rPr>
          <w:rFonts w:eastAsia="Calibri" w:cs="Calibri"/>
        </w:rPr>
      </w:pPr>
      <w:r w:rsidRPr="005A5291">
        <w:rPr>
          <w:rFonts w:eastAsia="Calibri" w:cs="Calibri"/>
        </w:rPr>
        <w:t>This chapter brings together the stakeholder input and evidence presented in the TOR and puts forward matters for PBAC consideration and response.</w:t>
      </w:r>
    </w:p>
    <w:p w14:paraId="73446D09" w14:textId="710F0805" w:rsidR="005A5291" w:rsidRPr="005A5291" w:rsidRDefault="005A5291" w:rsidP="007E3DC8">
      <w:pPr>
        <w:pStyle w:val="Heading3"/>
        <w:numPr>
          <w:ilvl w:val="1"/>
          <w:numId w:val="44"/>
        </w:numPr>
        <w:rPr>
          <w:rFonts w:eastAsia="Times New Roman"/>
        </w:rPr>
      </w:pPr>
      <w:bookmarkStart w:id="587" w:name="_Toc163221186"/>
      <w:bookmarkStart w:id="588" w:name="_Toc121311777"/>
      <w:r w:rsidRPr="005A5291">
        <w:rPr>
          <w:rFonts w:eastAsia="Times New Roman"/>
        </w:rPr>
        <w:t>Outline of matters arising from the PMR</w:t>
      </w:r>
      <w:bookmarkEnd w:id="587"/>
      <w:r w:rsidRPr="005A5291">
        <w:rPr>
          <w:rFonts w:eastAsia="Times New Roman"/>
        </w:rPr>
        <w:t xml:space="preserve"> </w:t>
      </w:r>
      <w:bookmarkEnd w:id="588"/>
    </w:p>
    <w:p w14:paraId="7DFC4339" w14:textId="58ACF24A" w:rsidR="009F0D4C" w:rsidRDefault="005A5291" w:rsidP="009F0D4C">
      <w:pPr>
        <w:rPr>
          <w:rFonts w:asciiTheme="minorHAnsi" w:hAnsiTheme="minorHAnsi" w:cstheme="minorHAnsi"/>
        </w:rPr>
      </w:pPr>
      <w:r w:rsidRPr="005A5291">
        <w:rPr>
          <w:rFonts w:eastAsia="Calibri" w:cs="Calibri"/>
        </w:rPr>
        <w:t xml:space="preserve">In </w:t>
      </w:r>
      <w:r w:rsidR="009F0D4C" w:rsidRPr="00847C02">
        <w:rPr>
          <w:rFonts w:cstheme="minorHAnsi"/>
        </w:rPr>
        <w:t xml:space="preserve">addressing the </w:t>
      </w:r>
      <w:r w:rsidR="009F0D4C">
        <w:rPr>
          <w:rFonts w:cstheme="minorHAnsi"/>
        </w:rPr>
        <w:t xml:space="preserve">ODTP PMR </w:t>
      </w:r>
      <w:r w:rsidR="009F0D4C" w:rsidRPr="00847C02">
        <w:rPr>
          <w:rFonts w:cstheme="minorHAnsi"/>
        </w:rPr>
        <w:t>T</w:t>
      </w:r>
      <w:r w:rsidR="009F0D4C">
        <w:rPr>
          <w:rFonts w:cstheme="minorHAnsi"/>
        </w:rPr>
        <w:t>O</w:t>
      </w:r>
      <w:r w:rsidR="009F0D4C" w:rsidRPr="00847C02">
        <w:rPr>
          <w:rFonts w:cstheme="minorHAnsi"/>
        </w:rPr>
        <w:t xml:space="preserve">R and proposing improved service delivery arrangements for access to </w:t>
      </w:r>
      <w:r w:rsidR="009F0D4C">
        <w:rPr>
          <w:rFonts w:cstheme="minorHAnsi"/>
        </w:rPr>
        <w:t xml:space="preserve">ODT </w:t>
      </w:r>
      <w:r w:rsidR="009F0D4C" w:rsidRPr="00847C02">
        <w:rPr>
          <w:rFonts w:cstheme="minorHAnsi"/>
        </w:rPr>
        <w:t xml:space="preserve">medicines the PBAC may wish to consider the </w:t>
      </w:r>
      <w:r w:rsidR="009F0D4C" w:rsidRPr="00847C02">
        <w:rPr>
          <w:rFonts w:cstheme="minorHAnsi"/>
          <w:bCs/>
          <w:iCs/>
        </w:rPr>
        <w:t xml:space="preserve">following </w:t>
      </w:r>
      <w:r w:rsidR="0040727F">
        <w:rPr>
          <w:rFonts w:cstheme="minorHAnsi"/>
          <w:bCs/>
          <w:iCs/>
        </w:rPr>
        <w:t xml:space="preserve">summary of key matters arising from the PMR. </w:t>
      </w:r>
    </w:p>
    <w:p w14:paraId="51ABDCBD" w14:textId="77777777" w:rsidR="009F0D4C" w:rsidRDefault="009F0D4C" w:rsidP="009F0D4C">
      <w:pPr>
        <w:rPr>
          <w:rFonts w:cstheme="minorHAnsi"/>
          <w:bCs/>
          <w:iCs/>
        </w:rPr>
      </w:pPr>
      <w:r>
        <w:rPr>
          <w:rFonts w:cstheme="minorHAnsi"/>
          <w:bCs/>
          <w:iCs/>
        </w:rPr>
        <w:t>Research</w:t>
      </w:r>
      <w:r w:rsidRPr="00847C02">
        <w:rPr>
          <w:rFonts w:cstheme="minorHAnsi"/>
          <w:bCs/>
          <w:iCs/>
        </w:rPr>
        <w:t xml:space="preserve"> </w:t>
      </w:r>
      <w:r>
        <w:rPr>
          <w:rFonts w:cstheme="minorHAnsi"/>
          <w:bCs/>
          <w:iCs/>
        </w:rPr>
        <w:t>evidence, stakeholder input, consumer consultation and Reference Group members suggests</w:t>
      </w:r>
      <w:r w:rsidRPr="00847C02">
        <w:rPr>
          <w:rFonts w:cstheme="minorHAnsi"/>
          <w:bCs/>
          <w:iCs/>
        </w:rPr>
        <w:t xml:space="preserve"> </w:t>
      </w:r>
      <w:r>
        <w:rPr>
          <w:rFonts w:cstheme="minorHAnsi"/>
          <w:bCs/>
          <w:iCs/>
        </w:rPr>
        <w:t xml:space="preserve">solving for the core issue of affordability is the number one priority area for change that will result in the most positive impact on the lives of people in ODT. The review found there is a significant opportunity cost that could be improved through universal and equitable access to these medicines facilitated through the implementation of revised PBS listing arrangements for ODT medicines that address the high out of pocket costs currently paid by consumers through a PBS co-payment arrangement and PBS Safety-Net provisions.  </w:t>
      </w:r>
    </w:p>
    <w:p w14:paraId="49402264" w14:textId="3AC00433" w:rsidR="009F0D4C" w:rsidRPr="00630E93" w:rsidRDefault="009F0D4C" w:rsidP="009F0D4C">
      <w:r>
        <w:rPr>
          <w:rFonts w:cstheme="minorHAnsi"/>
          <w:bCs/>
          <w:iCs/>
        </w:rPr>
        <w:t xml:space="preserve">The review also highlighted broader concerns about access for people participating in state and territory ODT programs, particularly the low number of prescribers engaging in ODT, that present a significant challenge and need a collaborative Commonwealth and state and territory government response. The review also highlighted the importance of </w:t>
      </w:r>
      <w:r>
        <w:t>updating the</w:t>
      </w:r>
      <w:r w:rsidRPr="00630E93">
        <w:t xml:space="preserve"> National </w:t>
      </w:r>
      <w:r>
        <w:t>G</w:t>
      </w:r>
      <w:r w:rsidRPr="00630E93">
        <w:t>uidelines</w:t>
      </w:r>
      <w:r>
        <w:t xml:space="preserve"> for Medication-Assisted Treatment of Opioid Dependence </w:t>
      </w:r>
      <w:r w:rsidR="006208B8">
        <w:t xml:space="preserve">2014 </w:t>
      </w:r>
      <w:r>
        <w:t>t</w:t>
      </w:r>
      <w:r w:rsidRPr="00630E93">
        <w:t xml:space="preserve">o </w:t>
      </w:r>
      <w:r>
        <w:t xml:space="preserve">reflect current clinical evidence and practice, </w:t>
      </w:r>
      <w:r w:rsidRPr="00BF769B">
        <w:t>including for</w:t>
      </w:r>
      <w:r>
        <w:t xml:space="preserve"> LAIB which was PBS listed under the ODTP subsequent to the development of these guidelines.</w:t>
      </w:r>
    </w:p>
    <w:p w14:paraId="3C74271A" w14:textId="61F650D7" w:rsidR="009F0D4C" w:rsidRDefault="009F0D4C" w:rsidP="009F0D4C">
      <w:pPr>
        <w:rPr>
          <w:rFonts w:cstheme="minorHAnsi"/>
          <w:bCs/>
          <w:iCs/>
        </w:rPr>
      </w:pPr>
      <w:r w:rsidRPr="00847C02">
        <w:rPr>
          <w:rFonts w:cstheme="minorHAnsi"/>
          <w:bCs/>
          <w:iCs/>
        </w:rPr>
        <w:t xml:space="preserve">In line with the PMR Framework, the PBAC may </w:t>
      </w:r>
      <w:r>
        <w:rPr>
          <w:rFonts w:cstheme="minorHAnsi"/>
          <w:bCs/>
          <w:iCs/>
        </w:rPr>
        <w:t xml:space="preserve">wish to respond to </w:t>
      </w:r>
      <w:r w:rsidRPr="00847C02">
        <w:rPr>
          <w:rFonts w:cstheme="minorHAnsi"/>
          <w:bCs/>
          <w:iCs/>
        </w:rPr>
        <w:t>matters concerning the operation of the PBS</w:t>
      </w:r>
      <w:r>
        <w:rPr>
          <w:rFonts w:cstheme="minorHAnsi"/>
          <w:bCs/>
          <w:iCs/>
        </w:rPr>
        <w:t xml:space="preserve"> and also provide</w:t>
      </w:r>
      <w:r w:rsidRPr="00847C02">
        <w:rPr>
          <w:rFonts w:cstheme="minorHAnsi"/>
          <w:bCs/>
          <w:iCs/>
        </w:rPr>
        <w:t xml:space="preserve"> advice to Government </w:t>
      </w:r>
      <w:r>
        <w:rPr>
          <w:rFonts w:cstheme="minorHAnsi"/>
          <w:bCs/>
          <w:iCs/>
        </w:rPr>
        <w:t xml:space="preserve">on </w:t>
      </w:r>
      <w:r w:rsidR="00222BA9">
        <w:rPr>
          <w:rFonts w:cstheme="minorHAnsi"/>
          <w:bCs/>
          <w:iCs/>
        </w:rPr>
        <w:t>broader</w:t>
      </w:r>
      <w:r>
        <w:rPr>
          <w:rFonts w:cstheme="minorHAnsi"/>
          <w:bCs/>
          <w:iCs/>
        </w:rPr>
        <w:t xml:space="preserve"> matters </w:t>
      </w:r>
      <w:r w:rsidR="00222BA9">
        <w:rPr>
          <w:rFonts w:cstheme="minorHAnsi"/>
          <w:bCs/>
          <w:iCs/>
        </w:rPr>
        <w:t>impacting consumers access to</w:t>
      </w:r>
      <w:r>
        <w:rPr>
          <w:rFonts w:cstheme="minorHAnsi"/>
          <w:bCs/>
          <w:iCs/>
        </w:rPr>
        <w:t xml:space="preserve"> ODT </w:t>
      </w:r>
      <w:r w:rsidR="00222BA9">
        <w:rPr>
          <w:rFonts w:cstheme="minorHAnsi"/>
          <w:bCs/>
          <w:iCs/>
        </w:rPr>
        <w:t>medicines</w:t>
      </w:r>
      <w:r w:rsidRPr="00847C02">
        <w:rPr>
          <w:rFonts w:cstheme="minorHAnsi"/>
          <w:bCs/>
          <w:iCs/>
        </w:rPr>
        <w:t>.</w:t>
      </w:r>
    </w:p>
    <w:p w14:paraId="3BA604CE" w14:textId="38A0E186" w:rsidR="005A5291" w:rsidRPr="005A5291" w:rsidRDefault="009F0D4C" w:rsidP="009F0D4C">
      <w:pPr>
        <w:rPr>
          <w:rFonts w:eastAsia="Calibri" w:cs="Calibri"/>
          <w:bCs/>
          <w:iCs/>
        </w:rPr>
      </w:pPr>
      <w:r w:rsidRPr="003266A2">
        <w:rPr>
          <w:rFonts w:cstheme="minorHAnsi"/>
          <w:bCs/>
          <w:iCs/>
        </w:rPr>
        <w:t>A</w:t>
      </w:r>
      <w:r>
        <w:rPr>
          <w:rFonts w:cstheme="minorHAnsi"/>
          <w:bCs/>
          <w:iCs/>
        </w:rPr>
        <w:t xml:space="preserve">s with any PBS medicines undergoing a change in the PBS listing, </w:t>
      </w:r>
      <w:r w:rsidRPr="003266A2">
        <w:rPr>
          <w:rFonts w:cstheme="minorHAnsi"/>
          <w:bCs/>
          <w:iCs/>
        </w:rPr>
        <w:t xml:space="preserve">alteration to the circumstances under which medicines for opioid dependence are available on the PBS would need to consider </w:t>
      </w:r>
      <w:r>
        <w:rPr>
          <w:rFonts w:cstheme="minorHAnsi"/>
          <w:bCs/>
          <w:iCs/>
        </w:rPr>
        <w:t>the</w:t>
      </w:r>
      <w:r w:rsidRPr="003266A2">
        <w:rPr>
          <w:rFonts w:cstheme="minorHAnsi"/>
          <w:bCs/>
          <w:iCs/>
        </w:rPr>
        <w:t xml:space="preserve"> impact </w:t>
      </w:r>
      <w:r>
        <w:rPr>
          <w:rFonts w:cstheme="minorHAnsi"/>
          <w:bCs/>
          <w:iCs/>
        </w:rPr>
        <w:t>to</w:t>
      </w:r>
      <w:r w:rsidRPr="003266A2">
        <w:rPr>
          <w:rFonts w:cstheme="minorHAnsi"/>
          <w:bCs/>
          <w:iCs/>
        </w:rPr>
        <w:t xml:space="preserve"> </w:t>
      </w:r>
      <w:r>
        <w:rPr>
          <w:rFonts w:cstheme="minorHAnsi"/>
          <w:bCs/>
          <w:iCs/>
        </w:rPr>
        <w:t xml:space="preserve">the </w:t>
      </w:r>
      <w:r w:rsidRPr="003266A2">
        <w:rPr>
          <w:rFonts w:cstheme="minorHAnsi"/>
          <w:bCs/>
          <w:iCs/>
        </w:rPr>
        <w:t>net cost to the PBS</w:t>
      </w:r>
      <w:r w:rsidR="00222BA9">
        <w:rPr>
          <w:rFonts w:cstheme="minorHAnsi"/>
          <w:bCs/>
          <w:iCs/>
        </w:rPr>
        <w:t xml:space="preserve"> and importantly on consumer access</w:t>
      </w:r>
      <w:r w:rsidRPr="003266A2">
        <w:rPr>
          <w:rFonts w:cstheme="minorHAnsi"/>
          <w:bCs/>
          <w:iCs/>
        </w:rPr>
        <w:t xml:space="preserve">. Given state and territory governments </w:t>
      </w:r>
      <w:r>
        <w:rPr>
          <w:rFonts w:cstheme="minorHAnsi"/>
          <w:bCs/>
          <w:iCs/>
        </w:rPr>
        <w:t>manage</w:t>
      </w:r>
      <w:r w:rsidRPr="003266A2">
        <w:rPr>
          <w:rFonts w:cstheme="minorHAnsi"/>
          <w:bCs/>
          <w:iCs/>
        </w:rPr>
        <w:t xml:space="preserve"> </w:t>
      </w:r>
      <w:r>
        <w:rPr>
          <w:rFonts w:cstheme="minorHAnsi"/>
          <w:bCs/>
          <w:iCs/>
        </w:rPr>
        <w:t>ODT</w:t>
      </w:r>
      <w:r w:rsidRPr="003266A2">
        <w:rPr>
          <w:rFonts w:cstheme="minorHAnsi"/>
          <w:bCs/>
          <w:iCs/>
        </w:rPr>
        <w:t xml:space="preserve"> </w:t>
      </w:r>
      <w:r>
        <w:rPr>
          <w:rFonts w:cstheme="minorHAnsi"/>
          <w:bCs/>
          <w:iCs/>
        </w:rPr>
        <w:t>services</w:t>
      </w:r>
      <w:r w:rsidRPr="003266A2">
        <w:rPr>
          <w:rFonts w:cstheme="minorHAnsi"/>
          <w:bCs/>
          <w:iCs/>
        </w:rPr>
        <w:t xml:space="preserve"> in accordance with relevant state and territory </w:t>
      </w:r>
      <w:r>
        <w:rPr>
          <w:rFonts w:cstheme="minorHAnsi"/>
          <w:bCs/>
          <w:iCs/>
        </w:rPr>
        <w:t xml:space="preserve">policy, </w:t>
      </w:r>
      <w:r w:rsidRPr="003266A2">
        <w:rPr>
          <w:rFonts w:cstheme="minorHAnsi"/>
          <w:bCs/>
          <w:iCs/>
        </w:rPr>
        <w:t xml:space="preserve">program guidelines </w:t>
      </w:r>
      <w:r>
        <w:rPr>
          <w:rFonts w:cstheme="minorHAnsi"/>
          <w:bCs/>
          <w:iCs/>
        </w:rPr>
        <w:t xml:space="preserve">and </w:t>
      </w:r>
      <w:r w:rsidRPr="003266A2">
        <w:rPr>
          <w:rFonts w:cstheme="minorHAnsi"/>
          <w:bCs/>
          <w:iCs/>
        </w:rPr>
        <w:t xml:space="preserve">drugs and poisons legislation, any changes to </w:t>
      </w:r>
      <w:r>
        <w:rPr>
          <w:rFonts w:cstheme="minorHAnsi"/>
          <w:bCs/>
          <w:iCs/>
        </w:rPr>
        <w:t xml:space="preserve">PBS </w:t>
      </w:r>
      <w:r w:rsidRPr="003266A2">
        <w:rPr>
          <w:rFonts w:cstheme="minorHAnsi"/>
          <w:bCs/>
          <w:iCs/>
        </w:rPr>
        <w:t>listings</w:t>
      </w:r>
      <w:r>
        <w:rPr>
          <w:rFonts w:cstheme="minorHAnsi"/>
          <w:bCs/>
          <w:iCs/>
        </w:rPr>
        <w:t xml:space="preserve"> or </w:t>
      </w:r>
      <w:r w:rsidRPr="003266A2">
        <w:rPr>
          <w:rFonts w:cstheme="minorHAnsi"/>
          <w:bCs/>
          <w:iCs/>
        </w:rPr>
        <w:t xml:space="preserve">remuneration </w:t>
      </w:r>
      <w:r>
        <w:rPr>
          <w:rFonts w:cstheme="minorHAnsi"/>
          <w:bCs/>
          <w:iCs/>
        </w:rPr>
        <w:t xml:space="preserve">arrangements </w:t>
      </w:r>
      <w:r w:rsidRPr="003266A2">
        <w:rPr>
          <w:rFonts w:cstheme="minorHAnsi"/>
          <w:bCs/>
          <w:iCs/>
        </w:rPr>
        <w:t xml:space="preserve">will need to consider </w:t>
      </w:r>
      <w:r>
        <w:rPr>
          <w:rFonts w:cstheme="minorHAnsi"/>
          <w:bCs/>
          <w:iCs/>
        </w:rPr>
        <w:t xml:space="preserve">ongoing consultation with state and territories to ensure there are no </w:t>
      </w:r>
      <w:r w:rsidRPr="003266A2">
        <w:rPr>
          <w:rFonts w:cstheme="minorHAnsi"/>
          <w:bCs/>
          <w:iCs/>
        </w:rPr>
        <w:t xml:space="preserve">unintended consequences that may affect patient choice of treatment, the number of patients able to access treatment </w:t>
      </w:r>
      <w:r w:rsidR="00222BA9">
        <w:rPr>
          <w:rFonts w:cstheme="minorHAnsi"/>
          <w:bCs/>
          <w:iCs/>
        </w:rPr>
        <w:t>or</w:t>
      </w:r>
      <w:r w:rsidRPr="003266A2">
        <w:rPr>
          <w:rFonts w:cstheme="minorHAnsi"/>
          <w:bCs/>
          <w:iCs/>
        </w:rPr>
        <w:t xml:space="preserve"> potential impacts to the number of participating prescribers and pharmacies</w:t>
      </w:r>
      <w:r w:rsidR="005A5291" w:rsidRPr="005A5291">
        <w:rPr>
          <w:rFonts w:eastAsia="Calibri" w:cs="Calibri"/>
          <w:bCs/>
          <w:iCs/>
        </w:rPr>
        <w:t>.</w:t>
      </w:r>
    </w:p>
    <w:p w14:paraId="6B131F7C" w14:textId="77777777" w:rsidR="005A5291" w:rsidRPr="005A5291" w:rsidRDefault="005A5291" w:rsidP="007E3DC8">
      <w:pPr>
        <w:pStyle w:val="Heading4"/>
        <w:numPr>
          <w:ilvl w:val="2"/>
          <w:numId w:val="44"/>
        </w:numPr>
        <w:rPr>
          <w:rFonts w:eastAsia="Times New Roman"/>
        </w:rPr>
      </w:pPr>
      <w:r w:rsidRPr="005A5291">
        <w:rPr>
          <w:rFonts w:eastAsia="Times New Roman"/>
        </w:rPr>
        <w:t>Affordability</w:t>
      </w:r>
    </w:p>
    <w:p w14:paraId="2A7F55EF" w14:textId="5B05A478" w:rsidR="009F0D4C" w:rsidRDefault="005A5291" w:rsidP="009F0D4C">
      <w:pPr>
        <w:rPr>
          <w:rFonts w:cstheme="minorHAnsi"/>
          <w:bCs/>
          <w:iCs/>
        </w:rPr>
      </w:pPr>
      <w:r w:rsidRPr="005A5291">
        <w:rPr>
          <w:rFonts w:eastAsia="Calibri" w:cs="Calibri"/>
          <w:bCs/>
          <w:iCs/>
        </w:rPr>
        <w:t xml:space="preserve">Affordability </w:t>
      </w:r>
      <w:r w:rsidR="009F0D4C" w:rsidRPr="0053777D">
        <w:rPr>
          <w:rFonts w:cstheme="minorHAnsi"/>
          <w:bCs/>
          <w:iCs/>
        </w:rPr>
        <w:t xml:space="preserve">is the primary concern </w:t>
      </w:r>
      <w:r w:rsidR="009F0D4C">
        <w:rPr>
          <w:rFonts w:cstheme="minorHAnsi"/>
          <w:bCs/>
          <w:iCs/>
        </w:rPr>
        <w:t>raised</w:t>
      </w:r>
      <w:r w:rsidR="009F0D4C" w:rsidRPr="0053777D">
        <w:rPr>
          <w:rFonts w:cstheme="minorHAnsi"/>
          <w:bCs/>
          <w:iCs/>
        </w:rPr>
        <w:t xml:space="preserve"> throughout the review.</w:t>
      </w:r>
      <w:r w:rsidR="009F0D4C">
        <w:rPr>
          <w:rFonts w:cstheme="minorHAnsi"/>
          <w:bCs/>
          <w:iCs/>
        </w:rPr>
        <w:t xml:space="preserve"> Most consumers (80%) access their </w:t>
      </w:r>
      <w:r w:rsidR="00CD707E">
        <w:rPr>
          <w:rFonts w:cstheme="minorHAnsi"/>
          <w:bCs/>
          <w:iCs/>
        </w:rPr>
        <w:t xml:space="preserve">PBS listed </w:t>
      </w:r>
      <w:r w:rsidR="009F0D4C">
        <w:rPr>
          <w:rFonts w:cstheme="minorHAnsi"/>
          <w:bCs/>
          <w:iCs/>
        </w:rPr>
        <w:t>oral or sublingual ODT medicines through community pharmacies where c</w:t>
      </w:r>
      <w:r w:rsidR="009F0D4C" w:rsidRPr="0053777D">
        <w:rPr>
          <w:rFonts w:cstheme="minorHAnsi"/>
        </w:rPr>
        <w:t xml:space="preserve">osts to </w:t>
      </w:r>
      <w:r w:rsidR="009F0D4C">
        <w:rPr>
          <w:rFonts w:cstheme="minorHAnsi"/>
        </w:rPr>
        <w:t xml:space="preserve">consumers through private, unregulated fees </w:t>
      </w:r>
      <w:r w:rsidR="009F0D4C" w:rsidRPr="0053777D">
        <w:rPr>
          <w:rFonts w:cstheme="minorHAnsi"/>
        </w:rPr>
        <w:t>typically range from $5-8 per day</w:t>
      </w:r>
      <w:r w:rsidR="009F0D4C">
        <w:rPr>
          <w:rFonts w:cstheme="minorHAnsi"/>
        </w:rPr>
        <w:t xml:space="preserve"> (and can be higher). Conservatively, this</w:t>
      </w:r>
      <w:r w:rsidR="009F0D4C" w:rsidRPr="0053777D">
        <w:rPr>
          <w:rFonts w:cstheme="minorHAnsi"/>
        </w:rPr>
        <w:t xml:space="preserve"> means </w:t>
      </w:r>
      <w:r w:rsidR="009F0D4C">
        <w:rPr>
          <w:rFonts w:cstheme="minorHAnsi"/>
        </w:rPr>
        <w:t>consumers</w:t>
      </w:r>
      <w:r w:rsidR="009F0D4C" w:rsidRPr="0053777D">
        <w:rPr>
          <w:rFonts w:cstheme="minorHAnsi"/>
        </w:rPr>
        <w:t xml:space="preserve"> may pay an estimated $120</w:t>
      </w:r>
      <w:r w:rsidR="009F0D4C">
        <w:rPr>
          <w:rFonts w:cstheme="minorHAnsi"/>
        </w:rPr>
        <w:t xml:space="preserve"> </w:t>
      </w:r>
      <w:r w:rsidR="009F0D4C" w:rsidRPr="0053777D">
        <w:rPr>
          <w:rFonts w:cstheme="minorHAnsi"/>
        </w:rPr>
        <w:t xml:space="preserve">million per year </w:t>
      </w:r>
      <w:r w:rsidR="009F0D4C" w:rsidRPr="0053777D">
        <w:rPr>
          <w:rFonts w:cstheme="minorHAnsi"/>
          <w:bCs/>
          <w:iCs/>
        </w:rPr>
        <w:t xml:space="preserve">in out-of-pocket costs for medicines to treat their opioid dependence. </w:t>
      </w:r>
      <w:r w:rsidR="009F0D4C">
        <w:t xml:space="preserve">The consumer consultation report at Appendix 3 presents a powerful </w:t>
      </w:r>
      <w:r w:rsidR="009F0D4C" w:rsidRPr="005E4697">
        <w:t xml:space="preserve">insight into the lives of people </w:t>
      </w:r>
      <w:r w:rsidR="009F0D4C">
        <w:t>accessing</w:t>
      </w:r>
      <w:r w:rsidR="009F0D4C" w:rsidRPr="005E4697">
        <w:t xml:space="preserve"> O</w:t>
      </w:r>
      <w:r w:rsidR="009F0D4C">
        <w:t>DT medicines</w:t>
      </w:r>
      <w:r w:rsidR="009F0D4C" w:rsidRPr="005E4697">
        <w:t xml:space="preserve"> and </w:t>
      </w:r>
      <w:r w:rsidR="009F0D4C" w:rsidRPr="005E4697">
        <w:rPr>
          <w:rFonts w:cstheme="minorHAnsi"/>
          <w:bCs/>
          <w:iCs/>
        </w:rPr>
        <w:t xml:space="preserve">the significant impact of </w:t>
      </w:r>
      <w:r w:rsidR="009F0D4C">
        <w:rPr>
          <w:rFonts w:cstheme="minorHAnsi"/>
          <w:bCs/>
          <w:iCs/>
        </w:rPr>
        <w:t xml:space="preserve">the </w:t>
      </w:r>
      <w:r w:rsidR="009F0D4C" w:rsidRPr="005E4697">
        <w:rPr>
          <w:rFonts w:cstheme="minorHAnsi"/>
          <w:bCs/>
          <w:iCs/>
        </w:rPr>
        <w:t>out of pocket costs.</w:t>
      </w:r>
    </w:p>
    <w:p w14:paraId="72106A3E" w14:textId="77777777" w:rsidR="009F0D4C" w:rsidRPr="00852C17" w:rsidRDefault="009F0D4C" w:rsidP="009F0D4C">
      <w:pPr>
        <w:rPr>
          <w:rFonts w:cstheme="minorHAnsi"/>
        </w:rPr>
      </w:pPr>
      <w:r>
        <w:rPr>
          <w:rFonts w:cstheme="minorHAnsi"/>
        </w:rPr>
        <w:lastRenderedPageBreak/>
        <w:t>The review found that m</w:t>
      </w:r>
      <w:r w:rsidRPr="0053777D">
        <w:rPr>
          <w:rFonts w:cstheme="minorHAnsi"/>
        </w:rPr>
        <w:t xml:space="preserve">echanisms for access to </w:t>
      </w:r>
      <w:r>
        <w:rPr>
          <w:rFonts w:cstheme="minorHAnsi"/>
        </w:rPr>
        <w:t>ODT medicines</w:t>
      </w:r>
      <w:r w:rsidRPr="0053777D">
        <w:rPr>
          <w:rFonts w:cstheme="minorHAnsi"/>
        </w:rPr>
        <w:t xml:space="preserve"> that</w:t>
      </w:r>
      <w:r>
        <w:rPr>
          <w:rFonts w:cstheme="minorHAnsi"/>
        </w:rPr>
        <w:t xml:space="preserve"> directly</w:t>
      </w:r>
      <w:r w:rsidRPr="0053777D">
        <w:rPr>
          <w:rFonts w:cstheme="minorHAnsi"/>
        </w:rPr>
        <w:t xml:space="preserve"> address </w:t>
      </w:r>
      <w:r w:rsidRPr="0053777D">
        <w:rPr>
          <w:rFonts w:cstheme="minorHAnsi"/>
          <w:bCs/>
          <w:iCs/>
        </w:rPr>
        <w:t>the issue of private</w:t>
      </w:r>
      <w:r>
        <w:rPr>
          <w:rFonts w:cstheme="minorHAnsi"/>
          <w:bCs/>
          <w:iCs/>
        </w:rPr>
        <w:t>, unregulated</w:t>
      </w:r>
      <w:r w:rsidRPr="0053777D">
        <w:rPr>
          <w:rFonts w:cstheme="minorHAnsi"/>
          <w:bCs/>
          <w:iCs/>
        </w:rPr>
        <w:t xml:space="preserve"> patient fees </w:t>
      </w:r>
      <w:r w:rsidRPr="0053777D">
        <w:rPr>
          <w:rFonts w:cstheme="minorHAnsi"/>
        </w:rPr>
        <w:t xml:space="preserve">is </w:t>
      </w:r>
      <w:r>
        <w:rPr>
          <w:rFonts w:cstheme="minorHAnsi"/>
        </w:rPr>
        <w:t>the primary</w:t>
      </w:r>
      <w:r w:rsidRPr="0053777D">
        <w:rPr>
          <w:rFonts w:cstheme="minorHAnsi"/>
        </w:rPr>
        <w:t xml:space="preserve"> priority</w:t>
      </w:r>
      <w:r>
        <w:rPr>
          <w:rFonts w:cstheme="minorHAnsi"/>
        </w:rPr>
        <w:t xml:space="preserve"> for the sector. Improving affordability and ensuring equitable access to ODT medicines has broader societal benefits</w:t>
      </w:r>
      <w:r>
        <w:rPr>
          <w:rFonts w:cstheme="minorHAnsi"/>
          <w:bCs/>
          <w:iCs/>
        </w:rPr>
        <w:t>.</w:t>
      </w:r>
      <w:r>
        <w:rPr>
          <w:rFonts w:cstheme="minorHAnsi"/>
        </w:rPr>
        <w:t xml:space="preserve"> Research evidence demonstrates that participating in ODT programs</w:t>
      </w:r>
      <w:r w:rsidRPr="00852C17">
        <w:rPr>
          <w:rFonts w:cstheme="minorHAnsi"/>
        </w:rPr>
        <w:t xml:space="preserve"> increases quality of life including mental and physical health</w:t>
      </w:r>
      <w:r>
        <w:rPr>
          <w:rFonts w:cstheme="minorHAnsi"/>
        </w:rPr>
        <w:t xml:space="preserve">, and </w:t>
      </w:r>
      <w:r w:rsidRPr="00852C17">
        <w:rPr>
          <w:rFonts w:cstheme="minorHAnsi"/>
        </w:rPr>
        <w:t xml:space="preserve">reduces injecting risk behaviour, the risk of HIV/Hepatitis C virus acquisition, criminal activity, and overdose deaths. In terms of societal costs, ODT is also highly cost-effective, and actually cost-saving when costs of crime are included. </w:t>
      </w:r>
    </w:p>
    <w:p w14:paraId="7AC8C41B" w14:textId="4CC28507" w:rsidR="009F0D4C" w:rsidRDefault="009F0D4C" w:rsidP="009F0D4C">
      <w:pPr>
        <w:rPr>
          <w:rFonts w:cstheme="minorHAnsi"/>
          <w:bCs/>
          <w:iCs/>
        </w:rPr>
      </w:pPr>
      <w:r w:rsidRPr="00852C17">
        <w:rPr>
          <w:rFonts w:cstheme="minorHAnsi"/>
        </w:rPr>
        <w:t xml:space="preserve">Addressing cost barriers to treatment entry and retention (through the PBS and with state and </w:t>
      </w:r>
      <w:r>
        <w:rPr>
          <w:rFonts w:cstheme="minorHAnsi"/>
        </w:rPr>
        <w:t>territory governments</w:t>
      </w:r>
      <w:r w:rsidRPr="00852C17">
        <w:rPr>
          <w:rFonts w:cstheme="minorHAnsi"/>
        </w:rPr>
        <w:t>) has the potential to</w:t>
      </w:r>
      <w:r w:rsidR="00CD707E">
        <w:rPr>
          <w:rFonts w:cstheme="minorHAnsi"/>
        </w:rPr>
        <w:t xml:space="preserve"> </w:t>
      </w:r>
      <w:r w:rsidR="00C472A6">
        <w:rPr>
          <w:rFonts w:cstheme="minorHAnsi"/>
        </w:rPr>
        <w:t xml:space="preserve">significantly </w:t>
      </w:r>
      <w:r w:rsidR="00C472A6" w:rsidRPr="00852C17">
        <w:rPr>
          <w:rFonts w:cstheme="minorHAnsi"/>
        </w:rPr>
        <w:t>improve</w:t>
      </w:r>
      <w:r w:rsidRPr="00852C17">
        <w:rPr>
          <w:rFonts w:cstheme="minorHAnsi"/>
        </w:rPr>
        <w:t xml:space="preserve"> a wide range of health and other outcomes for people with opioid dependence</w:t>
      </w:r>
      <w:r>
        <w:rPr>
          <w:rFonts w:cstheme="minorHAnsi"/>
        </w:rPr>
        <w:t xml:space="preserve">. </w:t>
      </w:r>
      <w:r>
        <w:rPr>
          <w:rFonts w:cstheme="minorHAnsi"/>
          <w:bCs/>
          <w:iCs/>
        </w:rPr>
        <w:t xml:space="preserve">Throughout the review stakeholders, including consumers participating in ODT programs and Reference Group members strongly considered that the high financial cost of private fees was the most important barrier to treatment initiation, adherence and retention. </w:t>
      </w:r>
    </w:p>
    <w:p w14:paraId="340E25ED" w14:textId="6504D873" w:rsidR="005A5291" w:rsidRPr="005A5291" w:rsidRDefault="009F0D4C" w:rsidP="009F0D4C">
      <w:pPr>
        <w:rPr>
          <w:rFonts w:eastAsia="Calibri" w:cs="Calibri"/>
          <w:bCs/>
          <w:iCs/>
          <w:highlight w:val="yellow"/>
        </w:rPr>
      </w:pPr>
      <w:r>
        <w:rPr>
          <w:rFonts w:cstheme="minorHAnsi"/>
          <w:bCs/>
          <w:iCs/>
        </w:rPr>
        <w:t xml:space="preserve">The review found, strongly supported by stakeholders and Reference Group members, that a response to address </w:t>
      </w:r>
      <w:r w:rsidRPr="00F47057">
        <w:rPr>
          <w:rFonts w:cstheme="minorHAnsi"/>
          <w:bCs/>
          <w:iCs/>
        </w:rPr>
        <w:t>affordability</w:t>
      </w:r>
      <w:r>
        <w:rPr>
          <w:rFonts w:cstheme="minorHAnsi"/>
          <w:bCs/>
          <w:iCs/>
        </w:rPr>
        <w:t xml:space="preserve"> and </w:t>
      </w:r>
      <w:r w:rsidRPr="00F47057">
        <w:rPr>
          <w:rFonts w:cstheme="minorHAnsi"/>
          <w:bCs/>
          <w:iCs/>
        </w:rPr>
        <w:t xml:space="preserve">equity of access </w:t>
      </w:r>
      <w:r>
        <w:rPr>
          <w:rFonts w:cstheme="minorHAnsi"/>
          <w:bCs/>
          <w:iCs/>
        </w:rPr>
        <w:t xml:space="preserve">issues could be addressed </w:t>
      </w:r>
      <w:r w:rsidRPr="00F47057">
        <w:rPr>
          <w:rFonts w:cstheme="minorHAnsi"/>
          <w:bCs/>
          <w:iCs/>
        </w:rPr>
        <w:t xml:space="preserve">through a revised </w:t>
      </w:r>
      <w:r w:rsidR="006208B8">
        <w:rPr>
          <w:rFonts w:cstheme="minorHAnsi"/>
          <w:bCs/>
          <w:iCs/>
        </w:rPr>
        <w:t>S</w:t>
      </w:r>
      <w:r w:rsidRPr="00F47057">
        <w:rPr>
          <w:rFonts w:cstheme="minorHAnsi"/>
          <w:bCs/>
          <w:iCs/>
        </w:rPr>
        <w:t xml:space="preserve">100 ODTP program that introduces </w:t>
      </w:r>
      <w:r>
        <w:rPr>
          <w:rFonts w:cstheme="minorHAnsi"/>
          <w:bCs/>
          <w:iCs/>
        </w:rPr>
        <w:t xml:space="preserve">a PBS </w:t>
      </w:r>
      <w:r w:rsidRPr="00F47057">
        <w:rPr>
          <w:rFonts w:cstheme="minorHAnsi"/>
          <w:bCs/>
          <w:iCs/>
        </w:rPr>
        <w:t>co-payment and S</w:t>
      </w:r>
      <w:r>
        <w:rPr>
          <w:rFonts w:cstheme="minorHAnsi"/>
          <w:bCs/>
          <w:iCs/>
        </w:rPr>
        <w:t>afety Net</w:t>
      </w:r>
      <w:r w:rsidRPr="00F47057">
        <w:rPr>
          <w:rFonts w:cstheme="minorHAnsi"/>
          <w:bCs/>
          <w:iCs/>
        </w:rPr>
        <w:t xml:space="preserve"> provisions</w:t>
      </w:r>
      <w:r>
        <w:rPr>
          <w:rFonts w:cstheme="minorHAnsi"/>
          <w:bCs/>
          <w:iCs/>
        </w:rPr>
        <w:t xml:space="preserve"> for consumer</w:t>
      </w:r>
      <w:r w:rsidR="006208B8">
        <w:rPr>
          <w:rFonts w:cstheme="minorHAnsi"/>
          <w:bCs/>
          <w:iCs/>
        </w:rPr>
        <w:t>s</w:t>
      </w:r>
      <w:r>
        <w:rPr>
          <w:rFonts w:cstheme="minorHAnsi"/>
          <w:bCs/>
          <w:iCs/>
        </w:rPr>
        <w:t xml:space="preserve"> thereby </w:t>
      </w:r>
      <w:r w:rsidRPr="00F47057">
        <w:rPr>
          <w:rFonts w:cstheme="minorHAnsi"/>
          <w:bCs/>
          <w:iCs/>
        </w:rPr>
        <w:t xml:space="preserve">ensuring that some of the most vulnerable </w:t>
      </w:r>
      <w:r>
        <w:rPr>
          <w:rFonts w:cstheme="minorHAnsi"/>
          <w:bCs/>
          <w:iCs/>
        </w:rPr>
        <w:t>people</w:t>
      </w:r>
      <w:r w:rsidRPr="00F47057">
        <w:rPr>
          <w:rFonts w:cstheme="minorHAnsi"/>
          <w:bCs/>
          <w:iCs/>
        </w:rPr>
        <w:t xml:space="preserve"> in the Australian community are </w:t>
      </w:r>
      <w:r>
        <w:rPr>
          <w:rFonts w:cstheme="minorHAnsi"/>
          <w:bCs/>
          <w:iCs/>
        </w:rPr>
        <w:t>receiving</w:t>
      </w:r>
      <w:r w:rsidRPr="00F47057">
        <w:rPr>
          <w:rFonts w:cstheme="minorHAnsi"/>
          <w:bCs/>
          <w:iCs/>
        </w:rPr>
        <w:t xml:space="preserve"> equitable</w:t>
      </w:r>
      <w:r>
        <w:rPr>
          <w:rFonts w:cstheme="minorHAnsi"/>
          <w:bCs/>
          <w:iCs/>
        </w:rPr>
        <w:t xml:space="preserve"> and</w:t>
      </w:r>
      <w:r w:rsidRPr="00F47057">
        <w:rPr>
          <w:rFonts w:cstheme="minorHAnsi"/>
          <w:bCs/>
          <w:iCs/>
        </w:rPr>
        <w:t xml:space="preserve"> affordable access to medications that can save their lives</w:t>
      </w:r>
      <w:r w:rsidR="005A5291" w:rsidRPr="005A5291">
        <w:rPr>
          <w:rFonts w:eastAsia="Calibri" w:cs="Calibri"/>
          <w:bCs/>
          <w:iCs/>
        </w:rPr>
        <w:t>.</w:t>
      </w:r>
    </w:p>
    <w:p w14:paraId="1DD1BDC8" w14:textId="77777777" w:rsidR="005A5291" w:rsidRPr="005A5291" w:rsidRDefault="005A5291" w:rsidP="007E3DC8">
      <w:pPr>
        <w:pStyle w:val="Heading4"/>
        <w:numPr>
          <w:ilvl w:val="2"/>
          <w:numId w:val="44"/>
        </w:numPr>
        <w:rPr>
          <w:rFonts w:eastAsia="Times New Roman"/>
        </w:rPr>
      </w:pPr>
      <w:r w:rsidRPr="005A5291">
        <w:rPr>
          <w:rFonts w:eastAsia="Times New Roman"/>
        </w:rPr>
        <w:t>Summary of other matters arising from the PMR</w:t>
      </w:r>
    </w:p>
    <w:p w14:paraId="2BA4EEA7" w14:textId="3577FEAB" w:rsidR="00A1797E" w:rsidRDefault="005A5291" w:rsidP="00A1797E">
      <w:pPr>
        <w:rPr>
          <w:rFonts w:cstheme="minorHAnsi"/>
          <w:bCs/>
          <w:iCs/>
        </w:rPr>
      </w:pPr>
      <w:r w:rsidRPr="005A5291">
        <w:rPr>
          <w:rFonts w:eastAsia="Calibri" w:cs="Calibri"/>
          <w:bCs/>
          <w:iCs/>
        </w:rPr>
        <w:t xml:space="preserve">In </w:t>
      </w:r>
      <w:r w:rsidR="00A1797E" w:rsidRPr="00847C02">
        <w:rPr>
          <w:rFonts w:cstheme="minorHAnsi"/>
          <w:bCs/>
          <w:iCs/>
        </w:rPr>
        <w:t>conducting the PMR</w:t>
      </w:r>
      <w:r w:rsidR="00A1797E">
        <w:rPr>
          <w:rFonts w:cstheme="minorHAnsi"/>
          <w:bCs/>
          <w:iCs/>
        </w:rPr>
        <w:t xml:space="preserve">, the Department heard a broad range of concerns </w:t>
      </w:r>
      <w:r w:rsidR="00A1797E" w:rsidRPr="00847C02">
        <w:rPr>
          <w:rFonts w:cstheme="minorHAnsi"/>
          <w:bCs/>
          <w:iCs/>
        </w:rPr>
        <w:t xml:space="preserve">that are </w:t>
      </w:r>
      <w:r w:rsidR="00A1797E">
        <w:rPr>
          <w:rFonts w:cstheme="minorHAnsi"/>
          <w:bCs/>
          <w:iCs/>
        </w:rPr>
        <w:t>likely</w:t>
      </w:r>
      <w:r w:rsidR="00A1797E" w:rsidRPr="00847C02">
        <w:rPr>
          <w:rFonts w:cstheme="minorHAnsi"/>
          <w:bCs/>
          <w:iCs/>
        </w:rPr>
        <w:t xml:space="preserve"> beyond the PBS </w:t>
      </w:r>
      <w:r w:rsidR="00A1797E">
        <w:rPr>
          <w:rFonts w:cstheme="minorHAnsi"/>
          <w:bCs/>
          <w:iCs/>
        </w:rPr>
        <w:t xml:space="preserve">alone </w:t>
      </w:r>
      <w:r w:rsidR="00A1797E" w:rsidRPr="00847C02">
        <w:rPr>
          <w:rFonts w:cstheme="minorHAnsi"/>
          <w:bCs/>
          <w:iCs/>
        </w:rPr>
        <w:t>to address</w:t>
      </w:r>
      <w:r w:rsidR="00A1797E">
        <w:rPr>
          <w:rFonts w:cstheme="minorHAnsi"/>
          <w:bCs/>
          <w:iCs/>
        </w:rPr>
        <w:t xml:space="preserve"> (refer </w:t>
      </w:r>
      <w:r w:rsidR="006208B8">
        <w:rPr>
          <w:rFonts w:cstheme="minorHAnsi"/>
          <w:bCs/>
          <w:iCs/>
        </w:rPr>
        <w:t>S</w:t>
      </w:r>
      <w:r w:rsidR="00A1797E">
        <w:rPr>
          <w:rFonts w:cstheme="minorHAnsi"/>
          <w:bCs/>
          <w:iCs/>
        </w:rPr>
        <w:t>ection 2.6)</w:t>
      </w:r>
      <w:r w:rsidR="00A1797E" w:rsidRPr="00847C02">
        <w:rPr>
          <w:rFonts w:cstheme="minorHAnsi"/>
          <w:bCs/>
          <w:iCs/>
        </w:rPr>
        <w:t xml:space="preserve">. These </w:t>
      </w:r>
      <w:r w:rsidR="00A1797E">
        <w:rPr>
          <w:rFonts w:cstheme="minorHAnsi"/>
          <w:bCs/>
          <w:iCs/>
        </w:rPr>
        <w:t xml:space="preserve">often </w:t>
      </w:r>
      <w:r w:rsidR="00A1797E" w:rsidRPr="00847C02">
        <w:rPr>
          <w:rFonts w:cstheme="minorHAnsi"/>
          <w:bCs/>
          <w:iCs/>
        </w:rPr>
        <w:t xml:space="preserve">relate </w:t>
      </w:r>
      <w:r w:rsidR="00A1797E">
        <w:rPr>
          <w:rFonts w:cstheme="minorHAnsi"/>
          <w:bCs/>
          <w:iCs/>
        </w:rPr>
        <w:t xml:space="preserve">to policies and </w:t>
      </w:r>
      <w:r w:rsidR="00A1797E" w:rsidRPr="007768D4">
        <w:rPr>
          <w:rFonts w:cstheme="minorHAnsi"/>
          <w:bCs/>
          <w:iCs/>
        </w:rPr>
        <w:t>regulation</w:t>
      </w:r>
      <w:r w:rsidR="00A1797E">
        <w:rPr>
          <w:rFonts w:cstheme="minorHAnsi"/>
          <w:bCs/>
          <w:iCs/>
        </w:rPr>
        <w:t>s</w:t>
      </w:r>
      <w:r w:rsidR="00A1797E" w:rsidRPr="007768D4">
        <w:rPr>
          <w:rFonts w:cstheme="minorHAnsi"/>
          <w:bCs/>
          <w:iCs/>
        </w:rPr>
        <w:t xml:space="preserve"> </w:t>
      </w:r>
      <w:r w:rsidR="00A1797E">
        <w:rPr>
          <w:rFonts w:cstheme="minorHAnsi"/>
          <w:bCs/>
          <w:iCs/>
        </w:rPr>
        <w:t xml:space="preserve">for ODT </w:t>
      </w:r>
      <w:r w:rsidR="00CD707E">
        <w:rPr>
          <w:rFonts w:cstheme="minorHAnsi"/>
          <w:bCs/>
          <w:iCs/>
        </w:rPr>
        <w:t>programs</w:t>
      </w:r>
      <w:r w:rsidR="00A1797E">
        <w:rPr>
          <w:rFonts w:cstheme="minorHAnsi"/>
          <w:bCs/>
          <w:iCs/>
        </w:rPr>
        <w:t xml:space="preserve"> that are managed</w:t>
      </w:r>
      <w:r w:rsidR="00A1797E" w:rsidRPr="00431683">
        <w:rPr>
          <w:rFonts w:cstheme="minorHAnsi"/>
          <w:bCs/>
          <w:iCs/>
        </w:rPr>
        <w:t xml:space="preserve"> at a state and territory government level </w:t>
      </w:r>
      <w:r w:rsidR="00A1797E">
        <w:rPr>
          <w:rFonts w:cstheme="minorHAnsi"/>
          <w:bCs/>
          <w:iCs/>
        </w:rPr>
        <w:t xml:space="preserve">and includes suggestions to review the processes and requirements for the </w:t>
      </w:r>
      <w:r w:rsidR="00A1797E" w:rsidRPr="00431683">
        <w:rPr>
          <w:rFonts w:cstheme="minorHAnsi"/>
          <w:bCs/>
          <w:iCs/>
        </w:rPr>
        <w:t xml:space="preserve">approval of patients, prescribers and dosing sites, </w:t>
      </w:r>
      <w:r w:rsidR="00A1797E">
        <w:rPr>
          <w:rFonts w:cstheme="minorHAnsi"/>
          <w:bCs/>
          <w:iCs/>
        </w:rPr>
        <w:t xml:space="preserve">and </w:t>
      </w:r>
      <w:r w:rsidR="00A1797E" w:rsidRPr="00431683">
        <w:rPr>
          <w:rFonts w:cstheme="minorHAnsi"/>
          <w:bCs/>
          <w:iCs/>
        </w:rPr>
        <w:t xml:space="preserve">supervised dosing arrangements </w:t>
      </w:r>
      <w:r w:rsidR="00A1797E">
        <w:rPr>
          <w:rFonts w:cstheme="minorHAnsi"/>
          <w:bCs/>
          <w:iCs/>
        </w:rPr>
        <w:t xml:space="preserve">as well as public </w:t>
      </w:r>
      <w:r w:rsidR="00A1797E" w:rsidRPr="00847C02">
        <w:rPr>
          <w:rFonts w:cstheme="minorHAnsi"/>
          <w:bCs/>
          <w:iCs/>
        </w:rPr>
        <w:t xml:space="preserve">treatment </w:t>
      </w:r>
      <w:r w:rsidR="00A1797E">
        <w:rPr>
          <w:rFonts w:cstheme="minorHAnsi"/>
          <w:bCs/>
          <w:iCs/>
        </w:rPr>
        <w:t xml:space="preserve">options </w:t>
      </w:r>
      <w:r w:rsidR="00A1797E" w:rsidRPr="00847C02">
        <w:rPr>
          <w:rFonts w:cstheme="minorHAnsi"/>
          <w:bCs/>
          <w:iCs/>
        </w:rPr>
        <w:t xml:space="preserve">for those who cannot manage treatment through private health services (i.e., </w:t>
      </w:r>
      <w:r w:rsidR="00A1797E">
        <w:rPr>
          <w:rFonts w:cstheme="minorHAnsi"/>
          <w:bCs/>
          <w:iCs/>
        </w:rPr>
        <w:t xml:space="preserve">through </w:t>
      </w:r>
      <w:r w:rsidR="00A1797E" w:rsidRPr="00847C02">
        <w:rPr>
          <w:rFonts w:cstheme="minorHAnsi"/>
          <w:bCs/>
          <w:iCs/>
        </w:rPr>
        <w:t>GP practice/community pharmacy).</w:t>
      </w:r>
      <w:r w:rsidR="00A1797E">
        <w:rPr>
          <w:rFonts w:cstheme="minorHAnsi"/>
          <w:bCs/>
          <w:iCs/>
        </w:rPr>
        <w:t xml:space="preserve"> </w:t>
      </w:r>
    </w:p>
    <w:p w14:paraId="716435E9" w14:textId="77777777" w:rsidR="00A1797E" w:rsidRPr="00847C02" w:rsidRDefault="00A1797E" w:rsidP="00A1797E">
      <w:pPr>
        <w:rPr>
          <w:rFonts w:cstheme="minorHAnsi"/>
          <w:bCs/>
          <w:iCs/>
        </w:rPr>
      </w:pPr>
      <w:r>
        <w:rPr>
          <w:rFonts w:cstheme="minorHAnsi"/>
          <w:bCs/>
          <w:iCs/>
        </w:rPr>
        <w:t xml:space="preserve">The Commonwealth and state and territory governments would need to work in partnership to address the broad range of issues with current service delivery arrangements identified through the PMR. </w:t>
      </w:r>
    </w:p>
    <w:p w14:paraId="2C752328" w14:textId="5771B492" w:rsidR="00A1797E" w:rsidRPr="003266A2" w:rsidRDefault="00A1797E" w:rsidP="00A1797E">
      <w:pPr>
        <w:rPr>
          <w:rFonts w:cstheme="minorHAnsi"/>
          <w:bCs/>
          <w:iCs/>
        </w:rPr>
      </w:pPr>
      <w:r>
        <w:rPr>
          <w:rFonts w:cstheme="minorHAnsi"/>
          <w:bCs/>
          <w:iCs/>
        </w:rPr>
        <w:t xml:space="preserve">In addition to </w:t>
      </w:r>
      <w:r w:rsidR="00CD707E">
        <w:rPr>
          <w:rFonts w:cstheme="minorHAnsi"/>
          <w:bCs/>
          <w:iCs/>
        </w:rPr>
        <w:t>considering how</w:t>
      </w:r>
      <w:r>
        <w:rPr>
          <w:rFonts w:cstheme="minorHAnsi"/>
          <w:bCs/>
          <w:iCs/>
        </w:rPr>
        <w:t xml:space="preserve"> the affordability of treatment through community pharmacies is addressed and ensuring equity of access for population groups at greater risk, stakeholders have identified the lack of prescriber participation in ODT as an important issue and suggest improved support for GPs, ODT specialists, nurse practitioners and First Nations prescribers to encourage participation and reduce the burden on existing prescribers. The insufficient number of prescribers and voluntary participation of dosing sites results in long waiting lists and delays in commencing treatment which can mean consumers continue to use opioids while waiting for a place. </w:t>
      </w:r>
      <w:r w:rsidRPr="00536571">
        <w:rPr>
          <w:rFonts w:cs="Calibri"/>
        </w:rPr>
        <w:t>The lack of consistency in ODT service delivery across jurisdictions also complicates access to ODT for consumers.</w:t>
      </w:r>
    </w:p>
    <w:p w14:paraId="24D28495" w14:textId="3E99D310" w:rsidR="00A1797E" w:rsidRDefault="00A1797E" w:rsidP="00A1797E">
      <w:pPr>
        <w:rPr>
          <w:rFonts w:cstheme="minorHAnsi"/>
          <w:bCs/>
          <w:iCs/>
        </w:rPr>
      </w:pPr>
      <w:r w:rsidRPr="003266A2">
        <w:rPr>
          <w:rFonts w:cstheme="minorHAnsi"/>
          <w:bCs/>
          <w:iCs/>
        </w:rPr>
        <w:t xml:space="preserve">Relying entirely on the community pharmacy sector for dispensing </w:t>
      </w:r>
      <w:r>
        <w:rPr>
          <w:rFonts w:cstheme="minorHAnsi"/>
          <w:bCs/>
          <w:iCs/>
        </w:rPr>
        <w:t>ODT medicines</w:t>
      </w:r>
      <w:r w:rsidRPr="003266A2">
        <w:rPr>
          <w:rFonts w:cstheme="minorHAnsi"/>
          <w:bCs/>
          <w:iCs/>
        </w:rPr>
        <w:t xml:space="preserve"> also presents very significant </w:t>
      </w:r>
      <w:r>
        <w:rPr>
          <w:rFonts w:cstheme="minorHAnsi"/>
          <w:bCs/>
          <w:iCs/>
        </w:rPr>
        <w:t>service delivery issues</w:t>
      </w:r>
      <w:r w:rsidRPr="003266A2">
        <w:rPr>
          <w:rFonts w:cstheme="minorHAnsi"/>
          <w:bCs/>
          <w:iCs/>
        </w:rPr>
        <w:t xml:space="preserve">. While many patients can access treatment as </w:t>
      </w:r>
      <w:r w:rsidRPr="003266A2">
        <w:rPr>
          <w:rFonts w:cstheme="minorHAnsi"/>
          <w:bCs/>
          <w:iCs/>
        </w:rPr>
        <w:lastRenderedPageBreak/>
        <w:t xml:space="preserve">private patients, this is not an area of treatment which can be exclusively provided by the private sector (i.e., by GP practice/community pharmacy). </w:t>
      </w:r>
      <w:r>
        <w:rPr>
          <w:rFonts w:cstheme="minorHAnsi"/>
          <w:bCs/>
          <w:iCs/>
        </w:rPr>
        <w:t>Stakeholders suggest the issues of equity of access and affordability could be addressed to a large extent through a revised PBS listing. In addition, t</w:t>
      </w:r>
      <w:r w:rsidRPr="003266A2">
        <w:rPr>
          <w:rFonts w:cstheme="minorHAnsi"/>
          <w:bCs/>
          <w:iCs/>
        </w:rPr>
        <w:t xml:space="preserve">o ensure patients </w:t>
      </w:r>
      <w:r w:rsidR="00037100">
        <w:rPr>
          <w:rFonts w:cstheme="minorHAnsi"/>
          <w:bCs/>
          <w:iCs/>
        </w:rPr>
        <w:t xml:space="preserve">with specific needs </w:t>
      </w:r>
      <w:r w:rsidRPr="003266A2">
        <w:rPr>
          <w:rFonts w:cstheme="minorHAnsi"/>
          <w:bCs/>
          <w:iCs/>
        </w:rPr>
        <w:t>for whom GP charges and PBS co</w:t>
      </w:r>
      <w:r>
        <w:rPr>
          <w:rFonts w:cstheme="minorHAnsi"/>
          <w:bCs/>
          <w:iCs/>
        </w:rPr>
        <w:t>-</w:t>
      </w:r>
      <w:r w:rsidRPr="003266A2">
        <w:rPr>
          <w:rFonts w:cstheme="minorHAnsi"/>
          <w:bCs/>
          <w:iCs/>
        </w:rPr>
        <w:t xml:space="preserve">payments may still put treatment out of reach, the review highlights the need for treatment to be available in a range of settings including the need for an ongoing state and territory public treatment option. </w:t>
      </w:r>
      <w:r>
        <w:rPr>
          <w:rFonts w:cstheme="minorHAnsi"/>
          <w:bCs/>
          <w:iCs/>
        </w:rPr>
        <w:t>The review notes that this includes supporting First Nations people to access ODT services through their preferred setting, including through ACCHOs, in a culturally safe manner. Research evidence and stakeholders also indicate that supporting transitions to and from correctional facilities and between other settings is an important aspect of improved ODT service delivery, particularly for First Nations people who are greatly overrepresented in custodial settings.</w:t>
      </w:r>
    </w:p>
    <w:p w14:paraId="36935A50" w14:textId="48ED8C2F" w:rsidR="005A5291" w:rsidRPr="00CD707E" w:rsidRDefault="00A1797E" w:rsidP="00CD707E">
      <w:pPr>
        <w:rPr>
          <w:rFonts w:eastAsia="Calibri" w:cs="Calibri"/>
        </w:rPr>
      </w:pPr>
      <w:r>
        <w:rPr>
          <w:rFonts w:cstheme="minorHAnsi"/>
        </w:rPr>
        <w:t>Stakeholder views also suggested</w:t>
      </w:r>
      <w:r w:rsidRPr="00CE18C1">
        <w:rPr>
          <w:rFonts w:cstheme="minorHAnsi"/>
        </w:rPr>
        <w:t xml:space="preserve"> </w:t>
      </w:r>
      <w:r>
        <w:rPr>
          <w:rFonts w:cstheme="minorHAnsi"/>
        </w:rPr>
        <w:t xml:space="preserve">the </w:t>
      </w:r>
      <w:r w:rsidRPr="00CE18C1">
        <w:rPr>
          <w:rFonts w:cstheme="minorHAnsi"/>
        </w:rPr>
        <w:t>focus on ODT</w:t>
      </w:r>
      <w:r>
        <w:rPr>
          <w:rFonts w:cstheme="minorHAnsi"/>
        </w:rPr>
        <w:t xml:space="preserve"> services</w:t>
      </w:r>
      <w:r w:rsidRPr="00CE18C1">
        <w:rPr>
          <w:rFonts w:cstheme="minorHAnsi"/>
        </w:rPr>
        <w:t xml:space="preserve"> as simply </w:t>
      </w:r>
      <w:r>
        <w:rPr>
          <w:rFonts w:cstheme="minorHAnsi"/>
        </w:rPr>
        <w:t>relating to medication access</w:t>
      </w:r>
      <w:r w:rsidRPr="00CE18C1">
        <w:rPr>
          <w:rFonts w:cstheme="minorHAnsi"/>
        </w:rPr>
        <w:t xml:space="preserve"> is a narrow and a suboptimal conceptualisation of health care for many people with opioid dependence. </w:t>
      </w:r>
      <w:r w:rsidRPr="00847C02">
        <w:rPr>
          <w:rFonts w:cstheme="minorHAnsi"/>
        </w:rPr>
        <w:t xml:space="preserve">The </w:t>
      </w:r>
      <w:r>
        <w:rPr>
          <w:rFonts w:cstheme="minorHAnsi"/>
        </w:rPr>
        <w:t>review</w:t>
      </w:r>
      <w:r w:rsidRPr="00847C02">
        <w:rPr>
          <w:rFonts w:cstheme="minorHAnsi"/>
        </w:rPr>
        <w:t xml:space="preserve"> also </w:t>
      </w:r>
      <w:r>
        <w:rPr>
          <w:rFonts w:cstheme="minorHAnsi"/>
        </w:rPr>
        <w:t>raised</w:t>
      </w:r>
      <w:r w:rsidRPr="00847C02">
        <w:rPr>
          <w:rFonts w:cstheme="minorHAnsi"/>
        </w:rPr>
        <w:t xml:space="preserve"> the importance of </w:t>
      </w:r>
      <w:r>
        <w:rPr>
          <w:rFonts w:cstheme="minorHAnsi"/>
        </w:rPr>
        <w:t>coordinated social, mental and other health</w:t>
      </w:r>
      <w:r w:rsidRPr="00847C02">
        <w:rPr>
          <w:rFonts w:cstheme="minorHAnsi"/>
        </w:rPr>
        <w:t xml:space="preserve"> services</w:t>
      </w:r>
      <w:r>
        <w:rPr>
          <w:rFonts w:cstheme="minorHAnsi"/>
        </w:rPr>
        <w:t xml:space="preserve"> being made available as options</w:t>
      </w:r>
      <w:r w:rsidRPr="00847C02">
        <w:rPr>
          <w:rFonts w:cstheme="minorHAnsi"/>
        </w:rPr>
        <w:t xml:space="preserve"> to support best possible outcomes beyond </w:t>
      </w:r>
      <w:r>
        <w:rPr>
          <w:rFonts w:cstheme="minorHAnsi"/>
        </w:rPr>
        <w:t>ODT medicines</w:t>
      </w:r>
      <w:r w:rsidRPr="00847C02">
        <w:rPr>
          <w:rFonts w:cstheme="minorHAnsi"/>
        </w:rPr>
        <w:t xml:space="preserve"> alone. </w:t>
      </w:r>
      <w:r>
        <w:rPr>
          <w:rFonts w:cstheme="minorHAnsi"/>
        </w:rPr>
        <w:t>The review found that w</w:t>
      </w:r>
      <w:r w:rsidRPr="00847C02">
        <w:rPr>
          <w:rFonts w:cstheme="minorHAnsi"/>
        </w:rPr>
        <w:t xml:space="preserve">hile </w:t>
      </w:r>
      <w:r>
        <w:rPr>
          <w:rFonts w:cstheme="minorHAnsi"/>
        </w:rPr>
        <w:t xml:space="preserve">moving access to ODT medicines </w:t>
      </w:r>
      <w:r w:rsidRPr="00847C02">
        <w:rPr>
          <w:rFonts w:cstheme="minorHAnsi"/>
        </w:rPr>
        <w:t xml:space="preserve">into primary care increases accessibility and coverage of treatment, a stepped care approach to opioid dependence treatment delivery </w:t>
      </w:r>
      <w:r>
        <w:rPr>
          <w:rFonts w:cstheme="minorHAnsi"/>
        </w:rPr>
        <w:t xml:space="preserve">should continue to be provided. That is, </w:t>
      </w:r>
      <w:r w:rsidRPr="00FC5D65">
        <w:rPr>
          <w:rFonts w:cstheme="minorHAnsi"/>
        </w:rPr>
        <w:t>us</w:t>
      </w:r>
      <w:r>
        <w:rPr>
          <w:rFonts w:cstheme="minorHAnsi"/>
        </w:rPr>
        <w:t>ing</w:t>
      </w:r>
      <w:r w:rsidRPr="00FC5D65">
        <w:rPr>
          <w:rFonts w:cstheme="minorHAnsi"/>
        </w:rPr>
        <w:t xml:space="preserve"> less restrictive treatment approaches for those with low severity dependence and more</w:t>
      </w:r>
      <w:r w:rsidRPr="00847C02">
        <w:rPr>
          <w:rFonts w:cstheme="minorHAnsi"/>
        </w:rPr>
        <w:t xml:space="preserve"> intensive treatment </w:t>
      </w:r>
      <w:r>
        <w:rPr>
          <w:rFonts w:cstheme="minorHAnsi"/>
        </w:rPr>
        <w:t xml:space="preserve">options </w:t>
      </w:r>
      <w:r w:rsidRPr="00847C02">
        <w:rPr>
          <w:rFonts w:cstheme="minorHAnsi"/>
        </w:rPr>
        <w:t xml:space="preserve">reserved for </w:t>
      </w:r>
      <w:r>
        <w:rPr>
          <w:rFonts w:cstheme="minorHAnsi"/>
        </w:rPr>
        <w:t>people initiating treatment and/or people</w:t>
      </w:r>
      <w:r w:rsidRPr="00847C02">
        <w:rPr>
          <w:rFonts w:cstheme="minorHAnsi"/>
        </w:rPr>
        <w:t xml:space="preserve"> more severe and complex health and social problems</w:t>
      </w:r>
      <w:r>
        <w:rPr>
          <w:rFonts w:cstheme="minorHAnsi"/>
        </w:rPr>
        <w:t xml:space="preserve"> where </w:t>
      </w:r>
      <w:r w:rsidRPr="00D854B5">
        <w:rPr>
          <w:rFonts w:cstheme="minorHAnsi"/>
        </w:rPr>
        <w:t>necessary, while maintaining patient autonomy and appropriate clinical care</w:t>
      </w:r>
      <w:r w:rsidR="005A5291" w:rsidRPr="005A5291">
        <w:rPr>
          <w:rFonts w:eastAsia="Calibri" w:cs="Calibri"/>
        </w:rPr>
        <w:t xml:space="preserve">. </w:t>
      </w:r>
    </w:p>
    <w:p w14:paraId="4DFC87B4" w14:textId="4188308E" w:rsidR="005A5291" w:rsidRPr="005A5291" w:rsidRDefault="00A1797E" w:rsidP="007E3DC8">
      <w:pPr>
        <w:pStyle w:val="Heading3"/>
        <w:numPr>
          <w:ilvl w:val="1"/>
          <w:numId w:val="44"/>
        </w:numPr>
        <w:rPr>
          <w:rFonts w:eastAsia="Times New Roman"/>
        </w:rPr>
      </w:pPr>
      <w:bookmarkStart w:id="589" w:name="_Toc121311778"/>
      <w:bookmarkStart w:id="590" w:name="_Toc127430463"/>
      <w:bookmarkStart w:id="591" w:name="_Toc163221187"/>
      <w:r>
        <w:t>Review outcomes</w:t>
      </w:r>
      <w:r w:rsidRPr="00DE089B">
        <w:t xml:space="preserve"> for PBAC consideration</w:t>
      </w:r>
      <w:bookmarkEnd w:id="589"/>
      <w:bookmarkEnd w:id="590"/>
      <w:bookmarkEnd w:id="591"/>
    </w:p>
    <w:p w14:paraId="6BEED9A8" w14:textId="77777777" w:rsidR="005A5291" w:rsidRPr="005A5291" w:rsidRDefault="005A5291" w:rsidP="007E3DC8">
      <w:pPr>
        <w:pStyle w:val="Heading4"/>
        <w:numPr>
          <w:ilvl w:val="2"/>
          <w:numId w:val="44"/>
        </w:numPr>
        <w:rPr>
          <w:rFonts w:eastAsia="Times New Roman"/>
        </w:rPr>
      </w:pPr>
      <w:r w:rsidRPr="005A5291">
        <w:rPr>
          <w:rFonts w:eastAsia="Times New Roman"/>
        </w:rPr>
        <w:t>Solving for affordability and equity of access</w:t>
      </w:r>
    </w:p>
    <w:p w14:paraId="438387A8" w14:textId="77777777" w:rsidR="00A1797E" w:rsidRDefault="005A5291" w:rsidP="00A1797E">
      <w:pPr>
        <w:rPr>
          <w:rFonts w:asciiTheme="minorHAnsi" w:hAnsiTheme="minorHAnsi" w:cstheme="minorHAnsi"/>
        </w:rPr>
      </w:pPr>
      <w:r w:rsidRPr="005A5291">
        <w:rPr>
          <w:rFonts w:eastAsia="Calibri"/>
        </w:rPr>
        <w:t xml:space="preserve">Opioid dependence </w:t>
      </w:r>
      <w:r w:rsidR="00A1797E" w:rsidRPr="00EA3458">
        <w:rPr>
          <w:rStyle w:val="eop"/>
        </w:rPr>
        <w:t>has been characterised as a chronic, relapsing condition with periods of active use, abstinence, and relapse which can occur over many year</w:t>
      </w:r>
      <w:r w:rsidR="00A1797E">
        <w:rPr>
          <w:rStyle w:val="eop"/>
        </w:rPr>
        <w:t xml:space="preserve">s. </w:t>
      </w:r>
      <w:r w:rsidR="00A1797E" w:rsidRPr="00922B66">
        <w:rPr>
          <w:rFonts w:cstheme="minorHAnsi"/>
          <w:bCs/>
          <w:iCs/>
        </w:rPr>
        <w:t xml:space="preserve">As noted in the National Guidelines, the chronic relapsing nature of drug dependence </w:t>
      </w:r>
      <w:r w:rsidR="00A1797E">
        <w:rPr>
          <w:rFonts w:cstheme="minorHAnsi"/>
          <w:bCs/>
          <w:iCs/>
        </w:rPr>
        <w:t>links</w:t>
      </w:r>
      <w:r w:rsidR="00A1797E" w:rsidRPr="00922B66">
        <w:rPr>
          <w:rFonts w:cstheme="minorHAnsi"/>
          <w:bCs/>
          <w:iCs/>
        </w:rPr>
        <w:t xml:space="preserve"> opioid dependence with other chronic medical conditions such as asthma, hypertension and diabetes. </w:t>
      </w:r>
      <w:r w:rsidR="00A1797E" w:rsidRPr="00D854B5">
        <w:rPr>
          <w:rFonts w:asciiTheme="minorHAnsi" w:hAnsiTheme="minorHAnsi" w:cstheme="minorHAnsi"/>
        </w:rPr>
        <w:t>Stakeholders consider that, given ODT medicines provide treatment for the chronic condition of opioid dependence, they should therefore be provided at the same or similar costs to the consumer as other PBS medicines for other chronic conditions.</w:t>
      </w:r>
      <w:r w:rsidR="00A1797E">
        <w:rPr>
          <w:rFonts w:asciiTheme="minorHAnsi" w:hAnsiTheme="minorHAnsi" w:cstheme="minorHAnsi"/>
        </w:rPr>
        <w:t xml:space="preserve"> </w:t>
      </w:r>
    </w:p>
    <w:p w14:paraId="27F80117" w14:textId="4D4C7D18" w:rsidR="00A1797E" w:rsidRDefault="00A1797E" w:rsidP="00A1797E">
      <w:pPr>
        <w:rPr>
          <w:rFonts w:cstheme="minorHAnsi"/>
          <w:bCs/>
          <w:iCs/>
        </w:rPr>
      </w:pPr>
      <w:r>
        <w:rPr>
          <w:rFonts w:asciiTheme="minorHAnsi" w:hAnsiTheme="minorHAnsi" w:cstheme="minorHAnsi"/>
        </w:rPr>
        <w:t>Research evidence and the s</w:t>
      </w:r>
      <w:r w:rsidRPr="00922B66">
        <w:rPr>
          <w:rFonts w:asciiTheme="minorHAnsi" w:hAnsiTheme="minorHAnsi" w:cstheme="minorHAnsi"/>
        </w:rPr>
        <w:t>takeholder</w:t>
      </w:r>
      <w:r>
        <w:rPr>
          <w:rFonts w:asciiTheme="minorHAnsi" w:hAnsiTheme="minorHAnsi" w:cstheme="minorHAnsi"/>
        </w:rPr>
        <w:t xml:space="preserve"> consensus response to the primary issue of affordability is for </w:t>
      </w:r>
      <w:r w:rsidRPr="00922B66">
        <w:rPr>
          <w:rFonts w:asciiTheme="minorHAnsi" w:hAnsiTheme="minorHAnsi" w:cstheme="minorHAnsi"/>
        </w:rPr>
        <w:t xml:space="preserve">consumers accessing </w:t>
      </w:r>
      <w:r>
        <w:rPr>
          <w:rFonts w:asciiTheme="minorHAnsi" w:hAnsiTheme="minorHAnsi" w:cstheme="minorHAnsi"/>
        </w:rPr>
        <w:t xml:space="preserve">ODT </w:t>
      </w:r>
      <w:r w:rsidRPr="00922B66">
        <w:rPr>
          <w:rFonts w:asciiTheme="minorHAnsi" w:hAnsiTheme="minorHAnsi" w:cstheme="minorHAnsi"/>
        </w:rPr>
        <w:t xml:space="preserve">medicines on the PBS </w:t>
      </w:r>
      <w:r>
        <w:rPr>
          <w:rFonts w:asciiTheme="minorHAnsi" w:hAnsiTheme="minorHAnsi" w:cstheme="minorHAnsi"/>
        </w:rPr>
        <w:t>to</w:t>
      </w:r>
      <w:r w:rsidRPr="00922B66">
        <w:rPr>
          <w:rFonts w:asciiTheme="minorHAnsi" w:hAnsiTheme="minorHAnsi" w:cstheme="minorHAnsi"/>
        </w:rPr>
        <w:t xml:space="preserve"> have equitable access to the </w:t>
      </w:r>
      <w:r>
        <w:rPr>
          <w:rFonts w:asciiTheme="minorHAnsi" w:hAnsiTheme="minorHAnsi" w:cstheme="minorHAnsi"/>
        </w:rPr>
        <w:t xml:space="preserve">PBS co-payment and </w:t>
      </w:r>
      <w:r w:rsidRPr="00922B66">
        <w:rPr>
          <w:rFonts w:asciiTheme="minorHAnsi" w:hAnsiTheme="minorHAnsi" w:cstheme="minorHAnsi"/>
        </w:rPr>
        <w:t xml:space="preserve">PBS Safety Net, as they would for any other </w:t>
      </w:r>
      <w:r>
        <w:rPr>
          <w:rFonts w:asciiTheme="minorHAnsi" w:hAnsiTheme="minorHAnsi" w:cstheme="minorHAnsi"/>
        </w:rPr>
        <w:t xml:space="preserve">PBS listed medicine, </w:t>
      </w:r>
      <w:r w:rsidR="00C472A6">
        <w:rPr>
          <w:rFonts w:asciiTheme="minorHAnsi" w:hAnsiTheme="minorHAnsi" w:cstheme="minorHAnsi"/>
        </w:rPr>
        <w:t xml:space="preserve">as well as remuneration for community pharmacies </w:t>
      </w:r>
      <w:r>
        <w:rPr>
          <w:rFonts w:asciiTheme="minorHAnsi" w:hAnsiTheme="minorHAnsi" w:cstheme="minorHAnsi"/>
        </w:rPr>
        <w:t xml:space="preserve">which would replace all private, unregulated </w:t>
      </w:r>
      <w:r w:rsidR="00C472A6">
        <w:rPr>
          <w:rFonts w:asciiTheme="minorHAnsi" w:hAnsiTheme="minorHAnsi" w:cstheme="minorHAnsi"/>
        </w:rPr>
        <w:t xml:space="preserve">dispensing and dosing </w:t>
      </w:r>
      <w:r>
        <w:rPr>
          <w:rFonts w:asciiTheme="minorHAnsi" w:hAnsiTheme="minorHAnsi" w:cstheme="minorHAnsi"/>
        </w:rPr>
        <w:t xml:space="preserve">fees. </w:t>
      </w:r>
      <w:r>
        <w:rPr>
          <w:rFonts w:cstheme="minorHAnsi"/>
          <w:bCs/>
          <w:iCs/>
        </w:rPr>
        <w:t xml:space="preserve">This would allow greater flexibility for variable dosing arrangements and provide </w:t>
      </w:r>
      <w:r w:rsidRPr="00496A9E">
        <w:rPr>
          <w:rFonts w:asciiTheme="minorHAnsi" w:hAnsiTheme="minorHAnsi" w:cstheme="minorHAnsi"/>
        </w:rPr>
        <w:t xml:space="preserve">national consistency </w:t>
      </w:r>
      <w:r>
        <w:rPr>
          <w:rFonts w:asciiTheme="minorHAnsi" w:hAnsiTheme="minorHAnsi" w:cstheme="minorHAnsi"/>
        </w:rPr>
        <w:t xml:space="preserve">and universal access through the PBS to these medicines </w:t>
      </w:r>
      <w:r w:rsidRPr="00496A9E">
        <w:rPr>
          <w:rFonts w:asciiTheme="minorHAnsi" w:hAnsiTheme="minorHAnsi" w:cstheme="minorHAnsi"/>
        </w:rPr>
        <w:t xml:space="preserve">for patients who dose at community pharmacies regardless of jurisdiction, </w:t>
      </w:r>
      <w:r>
        <w:rPr>
          <w:rFonts w:asciiTheme="minorHAnsi" w:hAnsiTheme="minorHAnsi" w:cstheme="minorHAnsi"/>
        </w:rPr>
        <w:t>type and formulation of drug</w:t>
      </w:r>
      <w:r w:rsidRPr="00496A9E">
        <w:rPr>
          <w:rFonts w:asciiTheme="minorHAnsi" w:hAnsiTheme="minorHAnsi" w:cstheme="minorHAnsi"/>
        </w:rPr>
        <w:t>, or supervision requirements</w:t>
      </w:r>
      <w:r>
        <w:rPr>
          <w:rFonts w:asciiTheme="minorHAnsi" w:hAnsiTheme="minorHAnsi" w:cstheme="minorHAnsi"/>
        </w:rPr>
        <w:t xml:space="preserve">.  </w:t>
      </w:r>
    </w:p>
    <w:p w14:paraId="704E86A6" w14:textId="62AE2072" w:rsidR="00A1797E" w:rsidRPr="009953DF" w:rsidRDefault="00A1797E" w:rsidP="00A1797E">
      <w:r>
        <w:rPr>
          <w:rFonts w:cstheme="minorHAnsi"/>
          <w:bCs/>
          <w:iCs/>
        </w:rPr>
        <w:t>The</w:t>
      </w:r>
      <w:r w:rsidRPr="00922B66">
        <w:rPr>
          <w:rFonts w:cstheme="minorHAnsi"/>
          <w:bCs/>
          <w:iCs/>
        </w:rPr>
        <w:t xml:space="preserve"> review acknowledges the </w:t>
      </w:r>
      <w:r w:rsidRPr="00E91819">
        <w:t xml:space="preserve">unique nature of methadone and sublingual buprenorphine medicines due to their </w:t>
      </w:r>
      <w:r>
        <w:t xml:space="preserve">more frequent (often </w:t>
      </w:r>
      <w:r w:rsidRPr="00E91819">
        <w:t>daily</w:t>
      </w:r>
      <w:r>
        <w:t>)</w:t>
      </w:r>
      <w:r w:rsidRPr="00E91819">
        <w:t xml:space="preserve"> dosing requirements which a) </w:t>
      </w:r>
      <w:r>
        <w:t xml:space="preserve">often </w:t>
      </w:r>
      <w:r w:rsidRPr="00922B66">
        <w:rPr>
          <w:rFonts w:cstheme="minorHAnsi"/>
          <w:bCs/>
          <w:iCs/>
        </w:rPr>
        <w:t>do</w:t>
      </w:r>
      <w:r>
        <w:rPr>
          <w:rFonts w:cstheme="minorHAnsi"/>
          <w:bCs/>
          <w:iCs/>
        </w:rPr>
        <w:t>es</w:t>
      </w:r>
      <w:r w:rsidRPr="00922B66">
        <w:rPr>
          <w:rFonts w:cstheme="minorHAnsi"/>
          <w:bCs/>
          <w:iCs/>
        </w:rPr>
        <w:t xml:space="preserve"> </w:t>
      </w:r>
      <w:r w:rsidRPr="00922B66">
        <w:rPr>
          <w:rFonts w:cstheme="minorHAnsi"/>
          <w:bCs/>
          <w:iCs/>
        </w:rPr>
        <w:lastRenderedPageBreak/>
        <w:t xml:space="preserve">not align with </w:t>
      </w:r>
      <w:r w:rsidRPr="00E91819">
        <w:t>the</w:t>
      </w:r>
      <w:r>
        <w:t xml:space="preserve"> usual pattern of use of other S85 PBS medicines where people are dispensed a full script quantity to take home and b) require</w:t>
      </w:r>
      <w:r w:rsidRPr="00630E93">
        <w:t xml:space="preserve"> </w:t>
      </w:r>
      <w:r>
        <w:t>more frequent</w:t>
      </w:r>
      <w:r w:rsidRPr="00630E93">
        <w:t xml:space="preserve"> activities </w:t>
      </w:r>
      <w:r>
        <w:t>to be performed by the pharmacist associated</w:t>
      </w:r>
      <w:r w:rsidRPr="00630E93">
        <w:t xml:space="preserve"> with the </w:t>
      </w:r>
      <w:r w:rsidR="00D36BDE">
        <w:t>often-daily</w:t>
      </w:r>
      <w:r w:rsidRPr="00630E93">
        <w:t xml:space="preserve"> preparation</w:t>
      </w:r>
      <w:r>
        <w:t>, dispensing</w:t>
      </w:r>
      <w:r w:rsidRPr="00630E93">
        <w:t xml:space="preserve"> and supervision of doses</w:t>
      </w:r>
      <w:r>
        <w:t xml:space="preserve">. However, stakeholder input to the PMR also notes that it is not unusual for medicines with specific dosing and dispensing requirements to be listed on the PBS under S100 programs that accommodate alternative supply arrangements such as the HSD or EFC Programs. </w:t>
      </w:r>
    </w:p>
    <w:p w14:paraId="0F909075" w14:textId="77777777" w:rsidR="00A1797E" w:rsidRDefault="00A1797E" w:rsidP="00A1797E">
      <w:pPr>
        <w:rPr>
          <w:rFonts w:cstheme="minorHAnsi"/>
          <w:bCs/>
          <w:iCs/>
        </w:rPr>
      </w:pPr>
      <w:r w:rsidRPr="00922B66">
        <w:rPr>
          <w:rFonts w:cstheme="minorHAnsi"/>
          <w:bCs/>
          <w:iCs/>
        </w:rPr>
        <w:t xml:space="preserve">This suggests there is a need to consider how ODT medicines can be listed differently on the PBS to align it more closely with some elements of PBS practice (i.e. PBS co-payment and </w:t>
      </w:r>
      <w:r>
        <w:rPr>
          <w:rFonts w:cstheme="minorHAnsi"/>
          <w:bCs/>
          <w:iCs/>
        </w:rPr>
        <w:t>S</w:t>
      </w:r>
      <w:r w:rsidRPr="00922B66">
        <w:rPr>
          <w:rFonts w:cstheme="minorHAnsi"/>
          <w:bCs/>
          <w:iCs/>
        </w:rPr>
        <w:t xml:space="preserve">afety </w:t>
      </w:r>
      <w:r>
        <w:rPr>
          <w:rFonts w:cstheme="minorHAnsi"/>
          <w:bCs/>
          <w:iCs/>
        </w:rPr>
        <w:t>N</w:t>
      </w:r>
      <w:r w:rsidRPr="00922B66">
        <w:rPr>
          <w:rFonts w:cstheme="minorHAnsi"/>
          <w:bCs/>
          <w:iCs/>
        </w:rPr>
        <w:t xml:space="preserve">et provisions) while at the same time acknowledging the features that are unique and may </w:t>
      </w:r>
      <w:r>
        <w:rPr>
          <w:rFonts w:cstheme="minorHAnsi"/>
          <w:bCs/>
          <w:iCs/>
        </w:rPr>
        <w:t xml:space="preserve">require </w:t>
      </w:r>
      <w:r w:rsidRPr="00922B66">
        <w:rPr>
          <w:rFonts w:cstheme="minorHAnsi"/>
          <w:bCs/>
          <w:iCs/>
        </w:rPr>
        <w:t>an exception to the usual operation of the PBS. These include elements such as more frequent dispensing requirement</w:t>
      </w:r>
      <w:r>
        <w:rPr>
          <w:rFonts w:cstheme="minorHAnsi"/>
          <w:bCs/>
          <w:iCs/>
        </w:rPr>
        <w:t>s</w:t>
      </w:r>
      <w:r w:rsidRPr="00922B66">
        <w:rPr>
          <w:rFonts w:cstheme="minorHAnsi"/>
          <w:bCs/>
          <w:iCs/>
        </w:rPr>
        <w:t xml:space="preserve"> and the need for access to ODT medicines from a range of settings, not just community pharmacy. </w:t>
      </w:r>
    </w:p>
    <w:p w14:paraId="38029F9D" w14:textId="77777777" w:rsidR="00A1797E" w:rsidRDefault="00A1797E" w:rsidP="00A1797E">
      <w:pPr>
        <w:rPr>
          <w:rFonts w:cstheme="minorHAnsi"/>
          <w:bCs/>
          <w:iCs/>
        </w:rPr>
      </w:pPr>
      <w:r w:rsidRPr="001B249B">
        <w:rPr>
          <w:rFonts w:cstheme="minorHAnsi"/>
          <w:bCs/>
          <w:iCs/>
        </w:rPr>
        <w:t xml:space="preserve">Therefore, in order to solve for the primary issue of affordability in a nationally consistent manner, an option before the PBAC is to consider revised listings of ODT medicines </w:t>
      </w:r>
      <w:r>
        <w:rPr>
          <w:rFonts w:cstheme="minorHAnsi"/>
          <w:bCs/>
          <w:iCs/>
        </w:rPr>
        <w:t>through</w:t>
      </w:r>
      <w:r w:rsidRPr="001B249B">
        <w:rPr>
          <w:rFonts w:cstheme="minorHAnsi"/>
          <w:bCs/>
          <w:iCs/>
        </w:rPr>
        <w:t xml:space="preserve"> the PBS under a revised S100 program to accommodate the unique feature</w:t>
      </w:r>
      <w:r>
        <w:rPr>
          <w:rFonts w:cstheme="minorHAnsi"/>
          <w:bCs/>
          <w:iCs/>
        </w:rPr>
        <w:t>s</w:t>
      </w:r>
      <w:r w:rsidRPr="001B249B">
        <w:rPr>
          <w:rFonts w:cstheme="minorHAnsi"/>
          <w:bCs/>
          <w:iCs/>
        </w:rPr>
        <w:t xml:space="preserve"> of </w:t>
      </w:r>
      <w:r>
        <w:rPr>
          <w:rFonts w:cstheme="minorHAnsi"/>
          <w:bCs/>
          <w:iCs/>
        </w:rPr>
        <w:t xml:space="preserve">most </w:t>
      </w:r>
      <w:r w:rsidRPr="001B249B">
        <w:rPr>
          <w:rFonts w:cstheme="minorHAnsi"/>
          <w:bCs/>
          <w:iCs/>
        </w:rPr>
        <w:t>ODT medicines</w:t>
      </w:r>
      <w:r>
        <w:rPr>
          <w:rFonts w:cstheme="minorHAnsi"/>
          <w:bCs/>
          <w:iCs/>
        </w:rPr>
        <w:t>.</w:t>
      </w:r>
      <w:r w:rsidRPr="001B249B">
        <w:rPr>
          <w:rFonts w:cstheme="minorHAnsi"/>
          <w:bCs/>
          <w:iCs/>
        </w:rPr>
        <w:t xml:space="preserve"> </w:t>
      </w:r>
      <w:r w:rsidRPr="00922B66">
        <w:rPr>
          <w:rFonts w:cstheme="minorHAnsi"/>
          <w:bCs/>
          <w:iCs/>
          <w:highlight w:val="yellow"/>
        </w:rPr>
        <w:t xml:space="preserve"> </w:t>
      </w:r>
    </w:p>
    <w:p w14:paraId="57B20BF9" w14:textId="4D1F99F8" w:rsidR="00A1797E" w:rsidRDefault="00A1797E" w:rsidP="00A1797E">
      <w:pPr>
        <w:rPr>
          <w:rFonts w:cstheme="minorHAnsi"/>
          <w:bCs/>
          <w:iCs/>
        </w:rPr>
      </w:pPr>
      <w:r>
        <w:t xml:space="preserve">It is important to keep in mind that regardless of how ODT medicines might be listed on the PBS, </w:t>
      </w:r>
      <w:r>
        <w:rPr>
          <w:rFonts w:cstheme="minorHAnsi"/>
          <w:bCs/>
          <w:iCs/>
        </w:rPr>
        <w:t>jurisdictions operate and manage the broader aspects of ODT programs including approvals, eligibility, accreditation and supervised dosing requirements as well as regulation of controlled substances</w:t>
      </w:r>
      <w:r w:rsidRPr="0057518F">
        <w:t xml:space="preserve"> </w:t>
      </w:r>
      <w:r>
        <w:t xml:space="preserve">which occur independent of the Commonwealth. </w:t>
      </w:r>
      <w:r>
        <w:rPr>
          <w:rFonts w:cstheme="minorHAnsi"/>
          <w:bCs/>
          <w:iCs/>
        </w:rPr>
        <w:t xml:space="preserve">In exploring an S100 model, it will be important this is done in consultation and collaboration with jurisdictions to ensure the </w:t>
      </w:r>
      <w:r w:rsidR="000A00C0">
        <w:rPr>
          <w:rFonts w:cstheme="minorHAnsi"/>
          <w:bCs/>
          <w:iCs/>
        </w:rPr>
        <w:t>S</w:t>
      </w:r>
      <w:r>
        <w:rPr>
          <w:rFonts w:cstheme="minorHAnsi"/>
          <w:bCs/>
          <w:iCs/>
        </w:rPr>
        <w:t>100 model alignment with their policy and regulations. This means the Commonwealth and state and territory governments will need to work collaboratively to solve for the issues of affordability as well as equity of access.</w:t>
      </w:r>
    </w:p>
    <w:p w14:paraId="6482234D" w14:textId="042093A2" w:rsidR="00A1797E" w:rsidRDefault="00A1797E" w:rsidP="00A1797E">
      <w:pPr>
        <w:rPr>
          <w:rFonts w:asciiTheme="minorHAnsi" w:hAnsiTheme="minorHAnsi" w:cstheme="minorHAnsi"/>
        </w:rPr>
      </w:pPr>
      <w:r>
        <w:t xml:space="preserve">While the </w:t>
      </w:r>
      <w:r>
        <w:rPr>
          <w:rFonts w:cstheme="minorHAnsi"/>
          <w:bCs/>
          <w:iCs/>
        </w:rPr>
        <w:t xml:space="preserve">majority of ODT medicines supplies occur through community pharmacies, access to ODT medicines also occurs through a range of other settings including alcohol and drug treatment centres, correctional facilities and medical centres. The Department acknowledges the importance of ongoing engagement with state and territory governments to ensure continued patient access to ODT medicines </w:t>
      </w:r>
      <w:r>
        <w:rPr>
          <w:rFonts w:cstheme="minorHAnsi"/>
        </w:rPr>
        <w:t>provided</w:t>
      </w:r>
      <w:r>
        <w:rPr>
          <w:rFonts w:asciiTheme="minorHAnsi" w:hAnsiTheme="minorHAnsi" w:cstheme="minorHAnsi"/>
        </w:rPr>
        <w:t xml:space="preserve"> outside of PBS approved suppliers, for example to correctional facilities and that an option is that this could continue to be supported under a revised S100 model. </w:t>
      </w:r>
    </w:p>
    <w:p w14:paraId="0B9212DB" w14:textId="1287F194" w:rsidR="00A1797E" w:rsidRPr="00F34680" w:rsidRDefault="00D36BDE" w:rsidP="00A1797E">
      <w:pPr>
        <w:rPr>
          <w:rFonts w:cstheme="minorHAnsi"/>
          <w:b/>
          <w:iCs/>
        </w:rPr>
      </w:pPr>
      <w:r w:rsidRPr="00F34680">
        <w:rPr>
          <w:rFonts w:cstheme="minorHAnsi"/>
          <w:b/>
          <w:iCs/>
        </w:rPr>
        <w:t xml:space="preserve">The </w:t>
      </w:r>
      <w:r w:rsidR="00A1797E" w:rsidRPr="00F34680">
        <w:rPr>
          <w:rFonts w:cstheme="minorHAnsi"/>
          <w:b/>
          <w:iCs/>
        </w:rPr>
        <w:t xml:space="preserve">PBAC may wish to respond to the issues of affordability that could be solved through </w:t>
      </w:r>
      <w:r w:rsidR="007A2A9D" w:rsidRPr="00F34680">
        <w:rPr>
          <w:rFonts w:cstheme="minorHAnsi"/>
          <w:b/>
          <w:iCs/>
        </w:rPr>
        <w:t xml:space="preserve">a </w:t>
      </w:r>
      <w:r w:rsidR="00A1797E" w:rsidRPr="00F34680">
        <w:rPr>
          <w:rFonts w:cstheme="minorHAnsi"/>
          <w:b/>
          <w:iCs/>
        </w:rPr>
        <w:t xml:space="preserve">PBS S100 arrangement for </w:t>
      </w:r>
      <w:r w:rsidR="000F4CE7" w:rsidRPr="00F34680">
        <w:rPr>
          <w:rFonts w:cstheme="minorHAnsi"/>
          <w:b/>
          <w:iCs/>
        </w:rPr>
        <w:t xml:space="preserve">all </w:t>
      </w:r>
      <w:r w:rsidR="00A1797E" w:rsidRPr="00F34680">
        <w:rPr>
          <w:rFonts w:cstheme="minorHAnsi"/>
          <w:b/>
          <w:iCs/>
        </w:rPr>
        <w:t xml:space="preserve">ODT medicines </w:t>
      </w:r>
      <w:r w:rsidRPr="00F34680">
        <w:rPr>
          <w:rFonts w:cstheme="minorHAnsi"/>
          <w:b/>
          <w:iCs/>
        </w:rPr>
        <w:t>(methadone, buprenorphine</w:t>
      </w:r>
      <w:r w:rsidR="000F4CE7" w:rsidRPr="00F34680">
        <w:rPr>
          <w:rFonts w:cstheme="minorHAnsi"/>
          <w:b/>
          <w:iCs/>
        </w:rPr>
        <w:t xml:space="preserve"> tablets and injections</w:t>
      </w:r>
      <w:r w:rsidRPr="00F34680">
        <w:rPr>
          <w:rFonts w:cstheme="minorHAnsi"/>
          <w:b/>
          <w:iCs/>
        </w:rPr>
        <w:t>, buprenorphine with naloxone</w:t>
      </w:r>
      <w:r w:rsidR="000F4CE7" w:rsidRPr="00F34680">
        <w:rPr>
          <w:rFonts w:cstheme="minorHAnsi"/>
          <w:b/>
          <w:iCs/>
        </w:rPr>
        <w:t xml:space="preserve"> film</w:t>
      </w:r>
      <w:r w:rsidRPr="00F34680">
        <w:rPr>
          <w:rFonts w:cstheme="minorHAnsi"/>
          <w:b/>
          <w:iCs/>
        </w:rPr>
        <w:t xml:space="preserve">) </w:t>
      </w:r>
      <w:r w:rsidR="00A1797E" w:rsidRPr="00F34680">
        <w:rPr>
          <w:rFonts w:cstheme="minorHAnsi"/>
          <w:b/>
          <w:iCs/>
        </w:rPr>
        <w:t xml:space="preserve">that provides affordable and equitable access to ODT medicines in a nationally consistent manner in line with the following principles: </w:t>
      </w:r>
    </w:p>
    <w:p w14:paraId="7DEA02F8" w14:textId="77777777" w:rsidR="00A1797E" w:rsidRPr="00F34680" w:rsidRDefault="00A1797E" w:rsidP="007E3DC8">
      <w:pPr>
        <w:pStyle w:val="ListParagraph"/>
        <w:numPr>
          <w:ilvl w:val="0"/>
          <w:numId w:val="40"/>
        </w:numPr>
        <w:rPr>
          <w:rFonts w:cstheme="minorHAnsi"/>
          <w:b/>
          <w:iCs/>
        </w:rPr>
      </w:pPr>
      <w:r w:rsidRPr="00F34680">
        <w:rPr>
          <w:rFonts w:cstheme="minorHAnsi"/>
          <w:b/>
          <w:iCs/>
        </w:rPr>
        <w:t>Acknowledges the unique dosing frequency requirements of ODT medicines</w:t>
      </w:r>
    </w:p>
    <w:p w14:paraId="1580D2C4" w14:textId="77777777" w:rsidR="00A1797E" w:rsidRPr="00F34680" w:rsidRDefault="00A1797E" w:rsidP="007E3DC8">
      <w:pPr>
        <w:pStyle w:val="ListParagraph"/>
        <w:numPr>
          <w:ilvl w:val="0"/>
          <w:numId w:val="40"/>
        </w:numPr>
        <w:rPr>
          <w:rFonts w:cstheme="minorHAnsi"/>
          <w:b/>
          <w:iCs/>
        </w:rPr>
      </w:pPr>
      <w:r w:rsidRPr="00F34680">
        <w:rPr>
          <w:rFonts w:cstheme="minorHAnsi"/>
          <w:b/>
          <w:iCs/>
        </w:rPr>
        <w:t>Patients no longer pay unregulated private fees to access medicines for ODT</w:t>
      </w:r>
    </w:p>
    <w:p w14:paraId="0A22679F" w14:textId="77777777" w:rsidR="00A1797E" w:rsidRPr="00F34680" w:rsidRDefault="00A1797E" w:rsidP="007E3DC8">
      <w:pPr>
        <w:pStyle w:val="ListParagraph"/>
        <w:numPr>
          <w:ilvl w:val="0"/>
          <w:numId w:val="40"/>
        </w:numPr>
        <w:rPr>
          <w:rFonts w:cstheme="minorHAnsi"/>
          <w:b/>
          <w:iCs/>
        </w:rPr>
      </w:pPr>
      <w:r w:rsidRPr="00F34680">
        <w:rPr>
          <w:rFonts w:cstheme="minorHAnsi"/>
          <w:b/>
          <w:iCs/>
        </w:rPr>
        <w:t>Patients instead pay a PBS contribution amount that counts towards their Safety Net threshold when accessing treatment from a community pharmacy</w:t>
      </w:r>
    </w:p>
    <w:p w14:paraId="64EDFE00" w14:textId="46C31C2C" w:rsidR="00A1797E" w:rsidRDefault="00A1797E" w:rsidP="007E3DC8">
      <w:pPr>
        <w:pStyle w:val="ListParagraph"/>
        <w:numPr>
          <w:ilvl w:val="0"/>
          <w:numId w:val="40"/>
        </w:numPr>
        <w:rPr>
          <w:rFonts w:cstheme="minorHAnsi"/>
          <w:b/>
          <w:iCs/>
        </w:rPr>
      </w:pPr>
      <w:r w:rsidRPr="00F34680">
        <w:rPr>
          <w:rFonts w:cstheme="minorHAnsi"/>
          <w:b/>
          <w:iCs/>
        </w:rPr>
        <w:lastRenderedPageBreak/>
        <w:t>Aligns with usual aspects of the PBS such that pharmacists dispense a prescription quantity and receive remuneration for supply</w:t>
      </w:r>
      <w:r w:rsidR="00C472A6" w:rsidRPr="00F34680">
        <w:rPr>
          <w:rFonts w:cstheme="minorHAnsi"/>
          <w:b/>
          <w:iCs/>
        </w:rPr>
        <w:t xml:space="preserve"> and managing in-pharmacy and take-away dosing</w:t>
      </w:r>
    </w:p>
    <w:p w14:paraId="545AE841" w14:textId="0912B38A" w:rsidR="006804C3" w:rsidRPr="00EB6AF4" w:rsidRDefault="006804C3" w:rsidP="007E3DC8">
      <w:pPr>
        <w:pStyle w:val="ListParagraph"/>
        <w:numPr>
          <w:ilvl w:val="0"/>
          <w:numId w:val="40"/>
        </w:numPr>
        <w:rPr>
          <w:rFonts w:cstheme="minorHAnsi"/>
          <w:b/>
          <w:iCs/>
        </w:rPr>
      </w:pPr>
      <w:r>
        <w:rPr>
          <w:rFonts w:cstheme="minorHAnsi"/>
          <w:b/>
          <w:iCs/>
        </w:rPr>
        <w:t xml:space="preserve">Similar to other </w:t>
      </w:r>
      <w:r w:rsidR="006E1D59">
        <w:rPr>
          <w:rFonts w:cstheme="minorHAnsi"/>
          <w:b/>
          <w:iCs/>
        </w:rPr>
        <w:t xml:space="preserve">PBS </w:t>
      </w:r>
      <w:r>
        <w:rPr>
          <w:rFonts w:cstheme="minorHAnsi"/>
          <w:b/>
          <w:iCs/>
        </w:rPr>
        <w:t xml:space="preserve">medicines, </w:t>
      </w:r>
      <w:r w:rsidRPr="00DD281E">
        <w:rPr>
          <w:rFonts w:cstheme="minorHAnsi"/>
          <w:b/>
          <w:iCs/>
        </w:rPr>
        <w:t>pharmacists cannot seek additional payment from patients (other than PBS-related e.g. co-payment)</w:t>
      </w:r>
    </w:p>
    <w:p w14:paraId="19362B88" w14:textId="75E99CDD" w:rsidR="00A1797E" w:rsidRPr="00F34680" w:rsidRDefault="00A1797E" w:rsidP="007E3DC8">
      <w:pPr>
        <w:pStyle w:val="ListParagraph"/>
        <w:numPr>
          <w:ilvl w:val="0"/>
          <w:numId w:val="40"/>
        </w:numPr>
        <w:spacing w:after="0"/>
        <w:rPr>
          <w:rFonts w:cstheme="minorHAnsi"/>
          <w:b/>
          <w:iCs/>
        </w:rPr>
      </w:pPr>
      <w:r w:rsidRPr="00F34680">
        <w:rPr>
          <w:rFonts w:cstheme="minorHAnsi"/>
          <w:b/>
          <w:iCs/>
        </w:rPr>
        <w:t xml:space="preserve">Considers improved access for First Nations people through expansion of the CTG program </w:t>
      </w:r>
    </w:p>
    <w:p w14:paraId="040E67E2" w14:textId="56D29EBA" w:rsidR="005A5291" w:rsidRPr="00F34680" w:rsidRDefault="00A1797E" w:rsidP="007E3DC8">
      <w:pPr>
        <w:numPr>
          <w:ilvl w:val="0"/>
          <w:numId w:val="40"/>
        </w:numPr>
        <w:contextualSpacing/>
        <w:rPr>
          <w:rFonts w:eastAsia="Calibri" w:cs="Calibri"/>
          <w:b/>
          <w:iCs/>
        </w:rPr>
      </w:pPr>
      <w:r w:rsidRPr="00F34680">
        <w:rPr>
          <w:rFonts w:cstheme="minorHAnsi"/>
          <w:b/>
          <w:iCs/>
        </w:rPr>
        <w:t>Considers continued support for ODT medicines that are supplied through non-pharmacy settings such as correctional facilities</w:t>
      </w:r>
    </w:p>
    <w:p w14:paraId="69201C1D" w14:textId="1B342F58" w:rsidR="00D36BDE" w:rsidRPr="00F34680" w:rsidRDefault="00D36BDE" w:rsidP="007E3DC8">
      <w:pPr>
        <w:numPr>
          <w:ilvl w:val="0"/>
          <w:numId w:val="40"/>
        </w:numPr>
        <w:contextualSpacing/>
        <w:rPr>
          <w:rFonts w:eastAsia="Calibri" w:cs="Calibri"/>
          <w:b/>
          <w:iCs/>
        </w:rPr>
      </w:pPr>
      <w:r w:rsidRPr="00F34680">
        <w:rPr>
          <w:rFonts w:cstheme="minorHAnsi"/>
          <w:b/>
          <w:iCs/>
        </w:rPr>
        <w:t>Acknowledges the importance of ongoing engagement with state and territory governments</w:t>
      </w:r>
      <w:r w:rsidR="007F2362" w:rsidRPr="00F34680">
        <w:rPr>
          <w:rFonts w:cstheme="minorHAnsi"/>
          <w:b/>
          <w:iCs/>
        </w:rPr>
        <w:t>.</w:t>
      </w:r>
      <w:r w:rsidRPr="00F34680">
        <w:rPr>
          <w:rFonts w:cstheme="minorHAnsi"/>
          <w:b/>
          <w:iCs/>
        </w:rPr>
        <w:t xml:space="preserve"> </w:t>
      </w:r>
    </w:p>
    <w:p w14:paraId="2EB57EE6" w14:textId="77777777" w:rsidR="00D36BDE" w:rsidRPr="005A5291" w:rsidRDefault="00D36BDE" w:rsidP="005A5291">
      <w:pPr>
        <w:spacing w:after="0"/>
        <w:rPr>
          <w:rFonts w:eastAsia="Calibri" w:cs="Calibri"/>
          <w:b/>
          <w:iCs/>
        </w:rPr>
      </w:pPr>
    </w:p>
    <w:p w14:paraId="0E5AF209" w14:textId="77777777" w:rsidR="005A5291" w:rsidRPr="005A5291" w:rsidRDefault="005A5291" w:rsidP="007E3DC8">
      <w:pPr>
        <w:pStyle w:val="Heading3"/>
        <w:numPr>
          <w:ilvl w:val="1"/>
          <w:numId w:val="44"/>
        </w:numPr>
        <w:rPr>
          <w:rFonts w:eastAsia="Times New Roman"/>
        </w:rPr>
      </w:pPr>
      <w:bookmarkStart w:id="592" w:name="_Toc121311779"/>
      <w:bookmarkStart w:id="593" w:name="_Toc163221188"/>
      <w:r w:rsidRPr="005A5291">
        <w:rPr>
          <w:rFonts w:eastAsia="Times New Roman"/>
        </w:rPr>
        <w:t>Other advice the PBAC may wish to consider providing to Government</w:t>
      </w:r>
      <w:bookmarkEnd w:id="592"/>
      <w:bookmarkEnd w:id="593"/>
    </w:p>
    <w:p w14:paraId="520408A7" w14:textId="77777777" w:rsidR="005A5291" w:rsidRPr="005A5291" w:rsidRDefault="005A5291" w:rsidP="005A5291">
      <w:pPr>
        <w:rPr>
          <w:rFonts w:eastAsia="Calibri" w:cs="Calibri"/>
        </w:rPr>
      </w:pPr>
      <w:r w:rsidRPr="005A5291">
        <w:rPr>
          <w:rFonts w:eastAsia="Calibri" w:cs="Calibri"/>
        </w:rPr>
        <w:t>In addition to the primary issue of affordability (and equity of access) discussed above, the review highlights additional areas of improvement across ODT service delivery more broadly. The PBAC may also wish to consider providing advice to Government on these matters.</w:t>
      </w:r>
    </w:p>
    <w:p w14:paraId="7FCCD025" w14:textId="77777777" w:rsidR="005A5291" w:rsidRPr="005A5291" w:rsidRDefault="005A5291" w:rsidP="007E3DC8">
      <w:pPr>
        <w:pStyle w:val="Heading4"/>
        <w:numPr>
          <w:ilvl w:val="2"/>
          <w:numId w:val="44"/>
        </w:numPr>
        <w:rPr>
          <w:rFonts w:eastAsia="Times New Roman"/>
        </w:rPr>
      </w:pPr>
      <w:bookmarkStart w:id="594" w:name="_Hlk120542747"/>
      <w:r w:rsidRPr="005A5291">
        <w:rPr>
          <w:rFonts w:eastAsia="Times New Roman"/>
        </w:rPr>
        <w:t>Issues arising from the PMR relating to state and territory policy</w:t>
      </w:r>
    </w:p>
    <w:p w14:paraId="0BD9E405" w14:textId="77777777" w:rsidR="00F53F17" w:rsidRDefault="005A5291" w:rsidP="00F53F17">
      <w:pPr>
        <w:rPr>
          <w:rFonts w:cstheme="minorHAnsi"/>
        </w:rPr>
      </w:pPr>
      <w:r w:rsidRPr="005A5291">
        <w:rPr>
          <w:rFonts w:eastAsia="Calibri" w:cs="Calibri"/>
        </w:rPr>
        <w:t xml:space="preserve">In addition </w:t>
      </w:r>
      <w:bookmarkEnd w:id="594"/>
      <w:r w:rsidR="00F53F17" w:rsidRPr="003E60D6">
        <w:rPr>
          <w:rFonts w:cstheme="minorHAnsi"/>
        </w:rPr>
        <w:t xml:space="preserve">to changes to the PBS to better support </w:t>
      </w:r>
      <w:r w:rsidR="00F53F17">
        <w:rPr>
          <w:rFonts w:cstheme="minorHAnsi"/>
        </w:rPr>
        <w:t>affordable and equitable a</w:t>
      </w:r>
      <w:r w:rsidR="00F53F17" w:rsidRPr="003E60D6">
        <w:rPr>
          <w:rFonts w:cstheme="minorHAnsi"/>
        </w:rPr>
        <w:t xml:space="preserve">ccess to </w:t>
      </w:r>
      <w:r w:rsidR="00F53F17">
        <w:rPr>
          <w:rFonts w:cstheme="minorHAnsi"/>
        </w:rPr>
        <w:t xml:space="preserve">ODT </w:t>
      </w:r>
      <w:r w:rsidR="00F53F17" w:rsidRPr="003E60D6">
        <w:rPr>
          <w:rFonts w:cstheme="minorHAnsi"/>
        </w:rPr>
        <w:t xml:space="preserve">medicines, </w:t>
      </w:r>
      <w:r w:rsidR="00F53F17">
        <w:rPr>
          <w:rFonts w:cstheme="minorHAnsi"/>
        </w:rPr>
        <w:t xml:space="preserve">research evidence and </w:t>
      </w:r>
      <w:r w:rsidR="00F53F17" w:rsidRPr="003E60D6">
        <w:rPr>
          <w:rFonts w:cstheme="minorHAnsi"/>
        </w:rPr>
        <w:t>stakeholder</w:t>
      </w:r>
      <w:r w:rsidR="00F53F17">
        <w:rPr>
          <w:rFonts w:cstheme="minorHAnsi"/>
        </w:rPr>
        <w:t xml:space="preserve"> input are of the view </w:t>
      </w:r>
      <w:r w:rsidR="00F53F17" w:rsidRPr="003E60D6">
        <w:rPr>
          <w:rFonts w:cstheme="minorHAnsi"/>
        </w:rPr>
        <w:t xml:space="preserve">improvements </w:t>
      </w:r>
      <w:r w:rsidR="00F53F17">
        <w:rPr>
          <w:rFonts w:cstheme="minorHAnsi"/>
        </w:rPr>
        <w:t xml:space="preserve">should be made </w:t>
      </w:r>
      <w:r w:rsidR="00F53F17" w:rsidRPr="003E60D6">
        <w:rPr>
          <w:rFonts w:cstheme="minorHAnsi"/>
        </w:rPr>
        <w:t xml:space="preserve">in program delivery aspects that </w:t>
      </w:r>
      <w:r w:rsidR="00F53F17">
        <w:rPr>
          <w:rFonts w:cstheme="minorHAnsi"/>
        </w:rPr>
        <w:t>are managed by</w:t>
      </w:r>
      <w:r w:rsidR="00F53F17" w:rsidRPr="003E60D6">
        <w:rPr>
          <w:rFonts w:cstheme="minorHAnsi"/>
        </w:rPr>
        <w:t xml:space="preserve"> state and territory government</w:t>
      </w:r>
      <w:r w:rsidR="00F53F17">
        <w:rPr>
          <w:rFonts w:cstheme="minorHAnsi"/>
        </w:rPr>
        <w:t xml:space="preserve">s </w:t>
      </w:r>
      <w:r w:rsidR="00F53F17" w:rsidRPr="003E60D6">
        <w:rPr>
          <w:rFonts w:cstheme="minorHAnsi"/>
        </w:rPr>
        <w:t>i.e.:</w:t>
      </w:r>
    </w:p>
    <w:p w14:paraId="410D4CE9" w14:textId="77777777" w:rsidR="00F53F17" w:rsidRPr="00CA09CB" w:rsidRDefault="00F53F17" w:rsidP="007E3DC8">
      <w:pPr>
        <w:pStyle w:val="ListParagraph"/>
        <w:numPr>
          <w:ilvl w:val="0"/>
          <w:numId w:val="20"/>
        </w:numPr>
        <w:spacing w:after="0"/>
        <w:ind w:left="714" w:hanging="357"/>
        <w:contextualSpacing w:val="0"/>
        <w:jc w:val="left"/>
        <w:rPr>
          <w:rFonts w:cstheme="minorHAnsi"/>
        </w:rPr>
      </w:pPr>
      <w:r w:rsidRPr="00CA09CB">
        <w:rPr>
          <w:rFonts w:cstheme="minorHAnsi"/>
        </w:rPr>
        <w:t xml:space="preserve">changing </w:t>
      </w:r>
      <w:r>
        <w:rPr>
          <w:rFonts w:cstheme="minorHAnsi"/>
        </w:rPr>
        <w:t>policy</w:t>
      </w:r>
      <w:r w:rsidRPr="00CA09CB">
        <w:rPr>
          <w:rFonts w:cstheme="minorHAnsi"/>
        </w:rPr>
        <w:t xml:space="preserve"> to allow for greater access to and more flexible unsupervised dosing for stable </w:t>
      </w:r>
      <w:r>
        <w:rPr>
          <w:rFonts w:cstheme="minorHAnsi"/>
        </w:rPr>
        <w:t>consumers</w:t>
      </w:r>
      <w:r w:rsidRPr="00CA09CB">
        <w:rPr>
          <w:rFonts w:cstheme="minorHAnsi"/>
        </w:rPr>
        <w:t xml:space="preserve"> </w:t>
      </w:r>
    </w:p>
    <w:p w14:paraId="364C7038" w14:textId="77777777" w:rsidR="00F53F17" w:rsidRPr="00CA09CB" w:rsidRDefault="00F53F17" w:rsidP="007E3DC8">
      <w:pPr>
        <w:pStyle w:val="ListParagraph"/>
        <w:numPr>
          <w:ilvl w:val="0"/>
          <w:numId w:val="20"/>
        </w:numPr>
        <w:spacing w:after="0"/>
        <w:ind w:left="714" w:hanging="357"/>
        <w:contextualSpacing w:val="0"/>
        <w:jc w:val="left"/>
        <w:rPr>
          <w:rFonts w:cstheme="minorHAnsi"/>
        </w:rPr>
      </w:pPr>
      <w:r w:rsidRPr="00CA09CB">
        <w:rPr>
          <w:rFonts w:cstheme="minorHAnsi"/>
        </w:rPr>
        <w:t xml:space="preserve">changing </w:t>
      </w:r>
      <w:r>
        <w:rPr>
          <w:rFonts w:cstheme="minorHAnsi"/>
        </w:rPr>
        <w:t>policy</w:t>
      </w:r>
      <w:r w:rsidRPr="00CA09CB">
        <w:rPr>
          <w:rFonts w:cstheme="minorHAnsi"/>
        </w:rPr>
        <w:t xml:space="preserve"> </w:t>
      </w:r>
      <w:r>
        <w:rPr>
          <w:rFonts w:cstheme="minorHAnsi"/>
        </w:rPr>
        <w:t>to support</w:t>
      </w:r>
      <w:r w:rsidRPr="00CA09CB">
        <w:rPr>
          <w:rFonts w:cstheme="minorHAnsi"/>
        </w:rPr>
        <w:t xml:space="preserve"> consistent </w:t>
      </w:r>
      <w:r>
        <w:rPr>
          <w:rFonts w:cstheme="minorHAnsi"/>
        </w:rPr>
        <w:t xml:space="preserve">ODT </w:t>
      </w:r>
      <w:r w:rsidRPr="00CA09CB">
        <w:rPr>
          <w:rFonts w:cstheme="minorHAnsi"/>
        </w:rPr>
        <w:t xml:space="preserve">program rules across states and territories </w:t>
      </w:r>
      <w:r>
        <w:rPr>
          <w:rFonts w:cstheme="minorHAnsi"/>
        </w:rPr>
        <w:t>while maintaining and/or improving autonomy and equity of access for consumers</w:t>
      </w:r>
    </w:p>
    <w:p w14:paraId="2D79EB90" w14:textId="77777777" w:rsidR="00F53F17" w:rsidRPr="00CA09CB" w:rsidRDefault="00F53F17" w:rsidP="007E3DC8">
      <w:pPr>
        <w:pStyle w:val="ListParagraph"/>
        <w:numPr>
          <w:ilvl w:val="0"/>
          <w:numId w:val="20"/>
        </w:numPr>
        <w:spacing w:after="0"/>
        <w:ind w:left="714" w:hanging="357"/>
        <w:contextualSpacing w:val="0"/>
        <w:jc w:val="left"/>
        <w:rPr>
          <w:rFonts w:cstheme="minorHAnsi"/>
        </w:rPr>
      </w:pPr>
      <w:r w:rsidRPr="00CA09CB">
        <w:rPr>
          <w:rFonts w:cstheme="minorHAnsi"/>
        </w:rPr>
        <w:t xml:space="preserve">loosening of accreditation requirements for prescribers and increasing support for the prescriber workforce </w:t>
      </w:r>
      <w:r>
        <w:rPr>
          <w:rFonts w:cstheme="minorHAnsi"/>
        </w:rPr>
        <w:t xml:space="preserve">more broadly </w:t>
      </w:r>
      <w:r w:rsidRPr="00CA09CB">
        <w:rPr>
          <w:rFonts w:cstheme="minorHAnsi"/>
        </w:rPr>
        <w:t>(</w:t>
      </w:r>
      <w:r>
        <w:rPr>
          <w:rFonts w:cstheme="minorHAnsi"/>
        </w:rPr>
        <w:t xml:space="preserve">e.g. to encourage the participation of </w:t>
      </w:r>
      <w:r w:rsidRPr="00CA09CB">
        <w:rPr>
          <w:rFonts w:cstheme="minorHAnsi"/>
        </w:rPr>
        <w:t>GPs/</w:t>
      </w:r>
      <w:r>
        <w:rPr>
          <w:rFonts w:cstheme="minorHAnsi"/>
        </w:rPr>
        <w:t>nurse practitioners/</w:t>
      </w:r>
      <w:r w:rsidRPr="00CA09CB">
        <w:rPr>
          <w:rFonts w:cstheme="minorHAnsi"/>
        </w:rPr>
        <w:t xml:space="preserve">nurses) with more proactive triage of </w:t>
      </w:r>
      <w:r>
        <w:rPr>
          <w:rFonts w:cstheme="minorHAnsi"/>
        </w:rPr>
        <w:t>initiating/</w:t>
      </w:r>
      <w:r w:rsidRPr="00CA09CB">
        <w:rPr>
          <w:rFonts w:cstheme="minorHAnsi"/>
        </w:rPr>
        <w:t xml:space="preserve">complex vs stable </w:t>
      </w:r>
      <w:r>
        <w:rPr>
          <w:rFonts w:cstheme="minorHAnsi"/>
        </w:rPr>
        <w:t>consumers</w:t>
      </w:r>
      <w:r w:rsidRPr="00CA09CB">
        <w:rPr>
          <w:rFonts w:cstheme="minorHAnsi"/>
        </w:rPr>
        <w:t>, case management support and assistance with facilitating referral pathways for social/mental health workers and other support services (e.g., housing)</w:t>
      </w:r>
    </w:p>
    <w:p w14:paraId="394EB746" w14:textId="77777777" w:rsidR="00F53F17" w:rsidRDefault="00F53F17" w:rsidP="007E3DC8">
      <w:pPr>
        <w:pStyle w:val="ListParagraph"/>
        <w:numPr>
          <w:ilvl w:val="0"/>
          <w:numId w:val="20"/>
        </w:numPr>
        <w:spacing w:after="0"/>
        <w:ind w:left="714" w:hanging="357"/>
        <w:contextualSpacing w:val="0"/>
        <w:jc w:val="left"/>
        <w:rPr>
          <w:rFonts w:cstheme="minorHAnsi"/>
        </w:rPr>
      </w:pPr>
      <w:r>
        <w:rPr>
          <w:rFonts w:cstheme="minorHAnsi"/>
        </w:rPr>
        <w:t>encourage participation of community pharmacies in ODT programs</w:t>
      </w:r>
    </w:p>
    <w:p w14:paraId="1BD9C89B" w14:textId="7C1B4018" w:rsidR="00F53F17" w:rsidRPr="00CA09CB" w:rsidRDefault="00F53F17" w:rsidP="007E3DC8">
      <w:pPr>
        <w:pStyle w:val="ListParagraph"/>
        <w:numPr>
          <w:ilvl w:val="0"/>
          <w:numId w:val="20"/>
        </w:numPr>
        <w:spacing w:after="0"/>
        <w:ind w:left="714" w:hanging="357"/>
        <w:contextualSpacing w:val="0"/>
        <w:jc w:val="left"/>
        <w:rPr>
          <w:rFonts w:cstheme="minorHAnsi"/>
        </w:rPr>
      </w:pPr>
      <w:r w:rsidRPr="00CA09CB">
        <w:rPr>
          <w:rFonts w:cstheme="minorHAnsi"/>
        </w:rPr>
        <w:t xml:space="preserve">investment in </w:t>
      </w:r>
      <w:r w:rsidRPr="00143ABB">
        <w:rPr>
          <w:rFonts w:cstheme="minorHAnsi"/>
          <w:bCs/>
          <w:iCs/>
        </w:rPr>
        <w:t xml:space="preserve">ongoing </w:t>
      </w:r>
      <w:r>
        <w:rPr>
          <w:rFonts w:cstheme="minorHAnsi"/>
          <w:bCs/>
          <w:iCs/>
        </w:rPr>
        <w:t>jurisdictional</w:t>
      </w:r>
      <w:r w:rsidRPr="00143ABB">
        <w:rPr>
          <w:rFonts w:cstheme="minorHAnsi"/>
          <w:bCs/>
          <w:iCs/>
        </w:rPr>
        <w:t xml:space="preserve"> treatment option</w:t>
      </w:r>
      <w:r>
        <w:rPr>
          <w:rFonts w:cstheme="minorHAnsi"/>
          <w:bCs/>
          <w:iCs/>
        </w:rPr>
        <w:t>s (e.g. public clinics)</w:t>
      </w:r>
      <w:r w:rsidRPr="00CA09CB">
        <w:rPr>
          <w:rFonts w:cstheme="minorHAnsi"/>
        </w:rPr>
        <w:t xml:space="preserve">, </w:t>
      </w:r>
      <w:r>
        <w:rPr>
          <w:rFonts w:cstheme="minorHAnsi"/>
        </w:rPr>
        <w:t xml:space="preserve">to provide additional choices </w:t>
      </w:r>
      <w:r w:rsidRPr="00CA09CB">
        <w:rPr>
          <w:rFonts w:cstheme="minorHAnsi"/>
        </w:rPr>
        <w:t>for patients</w:t>
      </w:r>
      <w:r>
        <w:rPr>
          <w:rFonts w:cstheme="minorHAnsi"/>
        </w:rPr>
        <w:t>, particularly those</w:t>
      </w:r>
      <w:r w:rsidRPr="00CA09CB">
        <w:rPr>
          <w:rFonts w:cstheme="minorHAnsi"/>
        </w:rPr>
        <w:t xml:space="preserve"> </w:t>
      </w:r>
      <w:r>
        <w:rPr>
          <w:rFonts w:cstheme="minorHAnsi"/>
        </w:rPr>
        <w:t xml:space="preserve">initiating treatment and/or patients </w:t>
      </w:r>
      <w:r w:rsidRPr="00CA09CB">
        <w:rPr>
          <w:rFonts w:cstheme="minorHAnsi"/>
        </w:rPr>
        <w:t xml:space="preserve">with more </w:t>
      </w:r>
      <w:r w:rsidR="00037100">
        <w:rPr>
          <w:rFonts w:cstheme="minorHAnsi"/>
        </w:rPr>
        <w:t>specific</w:t>
      </w:r>
      <w:r w:rsidRPr="00CA09CB">
        <w:rPr>
          <w:rFonts w:cstheme="minorHAnsi"/>
        </w:rPr>
        <w:t xml:space="preserve"> and complex needs</w:t>
      </w:r>
      <w:r>
        <w:rPr>
          <w:rFonts w:cstheme="minorHAnsi"/>
        </w:rPr>
        <w:t>,</w:t>
      </w:r>
      <w:r w:rsidRPr="00CA09CB">
        <w:rPr>
          <w:rFonts w:cstheme="minorHAnsi"/>
        </w:rPr>
        <w:t xml:space="preserve"> </w:t>
      </w:r>
      <w:r>
        <w:rPr>
          <w:rFonts w:cstheme="minorHAnsi"/>
        </w:rPr>
        <w:t>who may benefit from jurisdictional support</w:t>
      </w:r>
      <w:r w:rsidRPr="00CA09CB">
        <w:rPr>
          <w:rFonts w:cstheme="minorHAnsi"/>
        </w:rPr>
        <w:t xml:space="preserve">  </w:t>
      </w:r>
    </w:p>
    <w:p w14:paraId="0CF1A36D" w14:textId="77777777" w:rsidR="00F53F17" w:rsidRDefault="00F53F17" w:rsidP="007E3DC8">
      <w:pPr>
        <w:pStyle w:val="ListParagraph"/>
        <w:numPr>
          <w:ilvl w:val="0"/>
          <w:numId w:val="20"/>
        </w:numPr>
        <w:spacing w:after="0"/>
        <w:ind w:left="714" w:hanging="357"/>
        <w:contextualSpacing w:val="0"/>
        <w:jc w:val="left"/>
        <w:rPr>
          <w:rFonts w:cstheme="minorHAnsi"/>
        </w:rPr>
      </w:pPr>
      <w:r w:rsidRPr="00CA09CB">
        <w:rPr>
          <w:rFonts w:cstheme="minorHAnsi"/>
        </w:rPr>
        <w:t xml:space="preserve">more effective care coordination and management of continuity of access to ODT </w:t>
      </w:r>
      <w:r>
        <w:rPr>
          <w:rFonts w:cstheme="minorHAnsi"/>
        </w:rPr>
        <w:t>medicines</w:t>
      </w:r>
      <w:r w:rsidRPr="00CA09CB">
        <w:rPr>
          <w:rFonts w:cstheme="minorHAnsi"/>
        </w:rPr>
        <w:t xml:space="preserve"> for patients when transferring from custody to community settings, when travelling interstate and between care settings (i.e., hospital and community)</w:t>
      </w:r>
    </w:p>
    <w:p w14:paraId="2D173A28" w14:textId="41178FBF" w:rsidR="00F53F17" w:rsidRPr="00CA09CB" w:rsidRDefault="00F53F17" w:rsidP="007E3DC8">
      <w:pPr>
        <w:pStyle w:val="ListParagraph"/>
        <w:numPr>
          <w:ilvl w:val="0"/>
          <w:numId w:val="20"/>
        </w:numPr>
        <w:spacing w:after="0"/>
        <w:ind w:left="714" w:hanging="357"/>
        <w:contextualSpacing w:val="0"/>
        <w:jc w:val="left"/>
        <w:rPr>
          <w:rFonts w:cstheme="minorHAnsi"/>
        </w:rPr>
      </w:pPr>
      <w:r w:rsidRPr="00CA09CB">
        <w:rPr>
          <w:rFonts w:cstheme="minorHAnsi"/>
        </w:rPr>
        <w:t>improved access to culturally safe ODT for First Nation</w:t>
      </w:r>
      <w:r w:rsidR="0060180D">
        <w:rPr>
          <w:rFonts w:cstheme="minorHAnsi"/>
        </w:rPr>
        <w:t>s</w:t>
      </w:r>
      <w:r w:rsidRPr="00CA09CB">
        <w:rPr>
          <w:rFonts w:cstheme="minorHAnsi"/>
        </w:rPr>
        <w:t xml:space="preserve"> </w:t>
      </w:r>
      <w:r w:rsidR="0060180D">
        <w:rPr>
          <w:rFonts w:cstheme="minorHAnsi"/>
        </w:rPr>
        <w:t>people</w:t>
      </w:r>
      <w:r w:rsidR="0060180D" w:rsidRPr="00CA09CB">
        <w:rPr>
          <w:rFonts w:cstheme="minorHAnsi"/>
        </w:rPr>
        <w:t xml:space="preserve"> </w:t>
      </w:r>
      <w:r w:rsidRPr="00CA09CB">
        <w:rPr>
          <w:rFonts w:cstheme="minorHAnsi"/>
        </w:rPr>
        <w:t xml:space="preserve">through </w:t>
      </w:r>
      <w:r>
        <w:rPr>
          <w:rFonts w:cstheme="minorHAnsi"/>
        </w:rPr>
        <w:t>ACCHOs, including within custodial settings</w:t>
      </w:r>
    </w:p>
    <w:p w14:paraId="6F1ED4CA" w14:textId="77777777" w:rsidR="00F53F17" w:rsidRPr="0082225F" w:rsidRDefault="00F53F17" w:rsidP="007E3DC8">
      <w:pPr>
        <w:pStyle w:val="ListParagraph"/>
        <w:numPr>
          <w:ilvl w:val="0"/>
          <w:numId w:val="20"/>
        </w:numPr>
        <w:ind w:left="714" w:hanging="357"/>
        <w:contextualSpacing w:val="0"/>
        <w:jc w:val="left"/>
        <w:rPr>
          <w:rFonts w:cs="Calibri"/>
        </w:rPr>
      </w:pPr>
      <w:r>
        <w:rPr>
          <w:rFonts w:cstheme="minorHAnsi"/>
        </w:rPr>
        <w:t>i</w:t>
      </w:r>
      <w:r w:rsidRPr="00EA3458">
        <w:rPr>
          <w:rFonts w:cstheme="minorHAnsi"/>
        </w:rPr>
        <w:t>mproved ODT</w:t>
      </w:r>
      <w:r>
        <w:rPr>
          <w:rFonts w:cstheme="minorHAnsi"/>
        </w:rPr>
        <w:t xml:space="preserve"> </w:t>
      </w:r>
      <w:r w:rsidRPr="00EA3458">
        <w:rPr>
          <w:rFonts w:cstheme="minorHAnsi"/>
        </w:rPr>
        <w:t xml:space="preserve">data collection – i.e., </w:t>
      </w:r>
      <w:r>
        <w:rPr>
          <w:rFonts w:cstheme="minorHAnsi"/>
        </w:rPr>
        <w:t xml:space="preserve">improved reporting and categorisations of medicines for </w:t>
      </w:r>
      <w:r w:rsidRPr="00EA3458">
        <w:rPr>
          <w:rFonts w:cstheme="minorHAnsi"/>
        </w:rPr>
        <w:t xml:space="preserve">the </w:t>
      </w:r>
      <w:r>
        <w:rPr>
          <w:rFonts w:cstheme="minorHAnsi"/>
        </w:rPr>
        <w:t xml:space="preserve">NOPSAD </w:t>
      </w:r>
      <w:r w:rsidRPr="00EA3458">
        <w:rPr>
          <w:rFonts w:cstheme="minorHAnsi"/>
        </w:rPr>
        <w:t>collection</w:t>
      </w:r>
      <w:r w:rsidRPr="00E54AF7">
        <w:rPr>
          <w:rFonts w:cs="Calibri"/>
        </w:rPr>
        <w:t xml:space="preserve">. </w:t>
      </w:r>
    </w:p>
    <w:p w14:paraId="0CD6356F" w14:textId="77777777" w:rsidR="00F53F17" w:rsidRDefault="00F53F17" w:rsidP="00F53F17">
      <w:pPr>
        <w:spacing w:before="40"/>
        <w:rPr>
          <w:rFonts w:cstheme="minorHAnsi"/>
        </w:rPr>
      </w:pPr>
      <w:r>
        <w:rPr>
          <w:rFonts w:cstheme="minorHAnsi"/>
        </w:rPr>
        <w:t xml:space="preserve">Stakeholders acknowledge solving for these matters will likely require collaborative engagement across different levels of government and have provided their views on possible </w:t>
      </w:r>
      <w:r>
        <w:rPr>
          <w:rFonts w:cstheme="minorHAnsi"/>
        </w:rPr>
        <w:lastRenderedPageBreak/>
        <w:t>solutions presented within the report to inform future discussions. Holistic reform of ODT will require t</w:t>
      </w:r>
      <w:r w:rsidRPr="004E70C0">
        <w:rPr>
          <w:rFonts w:cstheme="minorHAnsi"/>
        </w:rPr>
        <w:t xml:space="preserve">he Commonwealth </w:t>
      </w:r>
      <w:r>
        <w:rPr>
          <w:rFonts w:cstheme="minorHAnsi"/>
        </w:rPr>
        <w:t xml:space="preserve">and state and territory governments to work together </w:t>
      </w:r>
      <w:r w:rsidRPr="004E70C0">
        <w:rPr>
          <w:rFonts w:cstheme="minorHAnsi"/>
        </w:rPr>
        <w:t xml:space="preserve">on strategies to best support people with opioid dependence </w:t>
      </w:r>
      <w:r>
        <w:rPr>
          <w:rFonts w:cstheme="minorHAnsi"/>
        </w:rPr>
        <w:t xml:space="preserve">to </w:t>
      </w:r>
      <w:r w:rsidRPr="004E70C0">
        <w:rPr>
          <w:rFonts w:cstheme="minorHAnsi"/>
        </w:rPr>
        <w:t xml:space="preserve">access </w:t>
      </w:r>
      <w:r>
        <w:rPr>
          <w:rFonts w:cstheme="minorHAnsi"/>
        </w:rPr>
        <w:t xml:space="preserve">equitable and </w:t>
      </w:r>
      <w:r w:rsidRPr="004E70C0">
        <w:rPr>
          <w:rFonts w:cstheme="minorHAnsi"/>
        </w:rPr>
        <w:t>affordable treatment services</w:t>
      </w:r>
      <w:r>
        <w:rPr>
          <w:rFonts w:cstheme="minorHAnsi"/>
        </w:rPr>
        <w:t xml:space="preserve"> when required</w:t>
      </w:r>
      <w:r w:rsidRPr="004E70C0">
        <w:rPr>
          <w:rFonts w:cstheme="minorHAnsi"/>
        </w:rPr>
        <w:t xml:space="preserve">, of which </w:t>
      </w:r>
      <w:r>
        <w:rPr>
          <w:rFonts w:cstheme="minorHAnsi"/>
        </w:rPr>
        <w:t>ODT medicines are</w:t>
      </w:r>
      <w:r w:rsidRPr="004E70C0">
        <w:rPr>
          <w:rFonts w:cstheme="minorHAnsi"/>
        </w:rPr>
        <w:t xml:space="preserve"> an important, but </w:t>
      </w:r>
      <w:r>
        <w:rPr>
          <w:rFonts w:cstheme="minorHAnsi"/>
        </w:rPr>
        <w:t>not</w:t>
      </w:r>
      <w:r w:rsidRPr="004E70C0">
        <w:rPr>
          <w:rFonts w:cstheme="minorHAnsi"/>
        </w:rPr>
        <w:t xml:space="preserve"> </w:t>
      </w:r>
      <w:r>
        <w:rPr>
          <w:rFonts w:cstheme="minorHAnsi"/>
        </w:rPr>
        <w:t>necessarily the sole</w:t>
      </w:r>
      <w:r w:rsidRPr="004E70C0">
        <w:rPr>
          <w:rFonts w:cstheme="minorHAnsi"/>
        </w:rPr>
        <w:t xml:space="preserve">, element. </w:t>
      </w:r>
    </w:p>
    <w:p w14:paraId="438A60D6" w14:textId="10CC941B" w:rsidR="005A5291" w:rsidRPr="005A5291" w:rsidRDefault="00F53F17" w:rsidP="00F53F17">
      <w:pPr>
        <w:rPr>
          <w:rFonts w:eastAsia="Calibri" w:cs="Calibri"/>
          <w:b/>
          <w:bCs/>
        </w:rPr>
      </w:pPr>
      <w:r w:rsidRPr="008E07DF">
        <w:rPr>
          <w:rFonts w:cstheme="minorHAnsi"/>
          <w:b/>
          <w:bCs/>
        </w:rPr>
        <w:t xml:space="preserve">The PBAC may wish to </w:t>
      </w:r>
      <w:r w:rsidRPr="00AE0EDB">
        <w:rPr>
          <w:rFonts w:cstheme="minorHAnsi"/>
          <w:b/>
          <w:bCs/>
        </w:rPr>
        <w:t xml:space="preserve">respond to matters relating to the varying nature and models of service delivery used to provide ODT, jurisdictional dosing policies and access to treatment through jurisdictional </w:t>
      </w:r>
      <w:r>
        <w:rPr>
          <w:rFonts w:cstheme="minorHAnsi"/>
          <w:b/>
          <w:bCs/>
        </w:rPr>
        <w:t xml:space="preserve">public </w:t>
      </w:r>
      <w:r w:rsidRPr="00AE0EDB">
        <w:rPr>
          <w:rFonts w:cstheme="minorHAnsi"/>
          <w:b/>
          <w:bCs/>
        </w:rPr>
        <w:t>treatment options with advice to Government</w:t>
      </w:r>
      <w:r w:rsidRPr="008E07DF">
        <w:rPr>
          <w:rFonts w:cstheme="minorHAnsi"/>
          <w:b/>
          <w:bCs/>
        </w:rPr>
        <w:t xml:space="preserve"> to progress </w:t>
      </w:r>
      <w:r>
        <w:rPr>
          <w:rFonts w:cstheme="minorHAnsi"/>
          <w:b/>
          <w:bCs/>
        </w:rPr>
        <w:t xml:space="preserve">discussions </w:t>
      </w:r>
      <w:r w:rsidRPr="008E07DF">
        <w:rPr>
          <w:rFonts w:cstheme="minorHAnsi"/>
          <w:b/>
          <w:bCs/>
        </w:rPr>
        <w:t>with state and territory governments</w:t>
      </w:r>
      <w:r w:rsidR="005A5291" w:rsidRPr="005A5291">
        <w:rPr>
          <w:rFonts w:eastAsia="Calibri" w:cs="Calibri"/>
          <w:b/>
          <w:bCs/>
        </w:rPr>
        <w:t xml:space="preserve">. </w:t>
      </w:r>
    </w:p>
    <w:p w14:paraId="2EB1D89F" w14:textId="77777777" w:rsidR="005A5291" w:rsidRPr="005A5291" w:rsidRDefault="005A5291" w:rsidP="007E3DC8">
      <w:pPr>
        <w:pStyle w:val="Heading4"/>
        <w:numPr>
          <w:ilvl w:val="2"/>
          <w:numId w:val="44"/>
        </w:numPr>
        <w:rPr>
          <w:rFonts w:eastAsia="Times New Roman" w:cs="Calibri"/>
        </w:rPr>
      </w:pPr>
      <w:r w:rsidRPr="005A5291">
        <w:rPr>
          <w:rFonts w:eastAsia="Times New Roman"/>
        </w:rPr>
        <w:t xml:space="preserve">Update of opioid dependence treatment guidelines </w:t>
      </w:r>
    </w:p>
    <w:p w14:paraId="77D00E4C" w14:textId="53904ED6" w:rsidR="005A5291" w:rsidRPr="005A5291" w:rsidRDefault="005A5291" w:rsidP="005A5291">
      <w:pPr>
        <w:rPr>
          <w:rFonts w:eastAsia="Calibri"/>
        </w:rPr>
      </w:pPr>
      <w:r w:rsidRPr="005A5291">
        <w:rPr>
          <w:rFonts w:eastAsia="Calibri" w:cs="Calibri"/>
        </w:rPr>
        <w:t xml:space="preserve">There is no formal partnership agreement between the Commonwealth and jurisdictions for opioid dependence treatment. Each state and territory government manages individual treatment programs which are reflected in jurisdictional clinical and policy guidance documents. Complimentary to jurisdictional regulatory, policy and governance frameworks for opioid dependence treatment are </w:t>
      </w:r>
      <w:r w:rsidR="00EB652A">
        <w:rPr>
          <w:rFonts w:eastAsia="Calibri" w:cs="Calibri"/>
        </w:rPr>
        <w:t>the N</w:t>
      </w:r>
      <w:r w:rsidRPr="005A5291">
        <w:rPr>
          <w:rFonts w:eastAsia="Calibri" w:cs="Calibri"/>
        </w:rPr>
        <w:t xml:space="preserve">ational </w:t>
      </w:r>
      <w:r w:rsidR="00EB652A">
        <w:rPr>
          <w:rFonts w:eastAsia="Calibri" w:cs="Calibri"/>
        </w:rPr>
        <w:t>G</w:t>
      </w:r>
      <w:r w:rsidRPr="005A5291">
        <w:rPr>
          <w:rFonts w:eastAsia="Calibri" w:cs="Calibri"/>
        </w:rPr>
        <w:t>uidelines</w:t>
      </w:r>
      <w:r w:rsidR="0060180D">
        <w:rPr>
          <w:rFonts w:eastAsia="Calibri" w:cs="Calibri"/>
        </w:rPr>
        <w:t>,</w:t>
      </w:r>
      <w:r w:rsidRPr="005A5291">
        <w:rPr>
          <w:rFonts w:eastAsia="Calibri" w:cs="Calibri"/>
        </w:rPr>
        <w:t xml:space="preserve"> intended to assist decision makers across various Australian jurisdictions in establishing a consistent framework for opioid dependence treatment</w:t>
      </w:r>
      <w:r w:rsidRPr="005A5291">
        <w:rPr>
          <w:rFonts w:eastAsia="Calibri"/>
        </w:rPr>
        <w:t xml:space="preserve">. </w:t>
      </w:r>
    </w:p>
    <w:p w14:paraId="03C15ED7" w14:textId="77777777" w:rsidR="005A5291" w:rsidRPr="005A5291" w:rsidRDefault="005A5291" w:rsidP="005A5291">
      <w:pPr>
        <w:rPr>
          <w:rFonts w:eastAsia="Calibri" w:cs="Calibri"/>
        </w:rPr>
      </w:pPr>
      <w:bookmarkStart w:id="595" w:name="_Hlk120542790"/>
      <w:r w:rsidRPr="005A5291">
        <w:rPr>
          <w:rFonts w:eastAsia="Calibri" w:cs="Calibri"/>
        </w:rPr>
        <w:t>Through the PMR, stakeholders and members of the review Reference Group have emphasised the importance of updating these guidelines to reflect current treatment pathways, standards, and practice.</w:t>
      </w:r>
      <w:bookmarkEnd w:id="595"/>
      <w:r w:rsidRPr="005A5291">
        <w:rPr>
          <w:rFonts w:eastAsia="Calibri" w:cs="Calibri"/>
        </w:rPr>
        <w:t xml:space="preserve"> Published in 2014, there is a significant gap in the National Guidelines as they do not include clinical guidance for LAIB. During the COVID-19 pandemic changes were made to the delivery of ODT programs at a jurisdictional level, particularly regarding takeaways and as such this section of the guidelines warrants specific review. </w:t>
      </w:r>
    </w:p>
    <w:p w14:paraId="2C6020DE" w14:textId="77777777" w:rsidR="005A5291" w:rsidRPr="005A5291" w:rsidRDefault="005A5291" w:rsidP="005A5291">
      <w:pPr>
        <w:rPr>
          <w:rFonts w:eastAsia="Calibri" w:cs="Calibri"/>
          <w:b/>
          <w:bCs/>
        </w:rPr>
      </w:pPr>
      <w:r w:rsidRPr="005A5291">
        <w:rPr>
          <w:rFonts w:eastAsia="Calibri" w:cs="Calibri"/>
          <w:b/>
          <w:bCs/>
        </w:rPr>
        <w:t xml:space="preserve">The PBAC may wish to endorse an update of the overarching National Guidelines to reflect current evidence regarding pathways of care and service delivery of ODT, including for LAIB.  </w:t>
      </w:r>
    </w:p>
    <w:p w14:paraId="7ED9B86A" w14:textId="77777777" w:rsidR="005A5291" w:rsidRPr="005A5291" w:rsidRDefault="005A5291" w:rsidP="007E3DC8">
      <w:pPr>
        <w:pStyle w:val="Heading4"/>
        <w:numPr>
          <w:ilvl w:val="2"/>
          <w:numId w:val="44"/>
        </w:numPr>
        <w:rPr>
          <w:rFonts w:eastAsia="Times New Roman"/>
        </w:rPr>
      </w:pPr>
      <w:bookmarkStart w:id="596" w:name="_Hlk120543054"/>
      <w:r w:rsidRPr="005A5291">
        <w:rPr>
          <w:rFonts w:eastAsia="Times New Roman"/>
        </w:rPr>
        <w:t>Prescriber workforce issues</w:t>
      </w:r>
    </w:p>
    <w:p w14:paraId="71FEC030" w14:textId="1C0838C4" w:rsidR="00072FA0" w:rsidRDefault="005A5291" w:rsidP="00072FA0">
      <w:pPr>
        <w:rPr>
          <w:rFonts w:cstheme="minorHAnsi"/>
        </w:rPr>
      </w:pPr>
      <w:r w:rsidRPr="005A5291">
        <w:rPr>
          <w:rFonts w:eastAsia="Calibri" w:cs="Calibri"/>
        </w:rPr>
        <w:t xml:space="preserve">Throughout </w:t>
      </w:r>
      <w:bookmarkEnd w:id="596"/>
      <w:r w:rsidR="00072FA0">
        <w:rPr>
          <w:rFonts w:cstheme="minorHAnsi"/>
        </w:rPr>
        <w:t xml:space="preserve">the review research evidence, stakeholder input and Reference Group members have identified that there is a </w:t>
      </w:r>
      <w:r w:rsidR="00072FA0" w:rsidRPr="003E60D6">
        <w:rPr>
          <w:rFonts w:cstheme="minorHAnsi"/>
        </w:rPr>
        <w:t xml:space="preserve">shortage of prescribers </w:t>
      </w:r>
      <w:r w:rsidR="00072FA0">
        <w:rPr>
          <w:rFonts w:cstheme="minorHAnsi"/>
        </w:rPr>
        <w:t>wh</w:t>
      </w:r>
      <w:r w:rsidR="00072FA0" w:rsidRPr="003E60D6">
        <w:rPr>
          <w:rFonts w:cstheme="minorHAnsi"/>
        </w:rPr>
        <w:t>o participate in ODT programs, particularly in regional and remote areas</w:t>
      </w:r>
      <w:r w:rsidR="00072FA0">
        <w:rPr>
          <w:rFonts w:cstheme="minorHAnsi"/>
        </w:rPr>
        <w:t>. This</w:t>
      </w:r>
      <w:r w:rsidR="00072FA0" w:rsidRPr="003E60D6">
        <w:rPr>
          <w:rFonts w:cstheme="minorHAnsi"/>
        </w:rPr>
        <w:t xml:space="preserve"> negatively impacts access to </w:t>
      </w:r>
      <w:r w:rsidR="00072FA0">
        <w:rPr>
          <w:rFonts w:cstheme="minorHAnsi"/>
        </w:rPr>
        <w:t>ODT medicines, additional support</w:t>
      </w:r>
      <w:r w:rsidR="00072FA0" w:rsidRPr="003E60D6">
        <w:rPr>
          <w:rFonts w:cstheme="minorHAnsi"/>
        </w:rPr>
        <w:t xml:space="preserve"> and further</w:t>
      </w:r>
      <w:r w:rsidR="00072FA0">
        <w:rPr>
          <w:rFonts w:cstheme="minorHAnsi"/>
        </w:rPr>
        <w:t xml:space="preserve"> </w:t>
      </w:r>
      <w:r w:rsidR="00072FA0" w:rsidRPr="003E60D6">
        <w:rPr>
          <w:rFonts w:cstheme="minorHAnsi"/>
        </w:rPr>
        <w:t>contribute</w:t>
      </w:r>
      <w:r w:rsidR="00072FA0">
        <w:rPr>
          <w:rFonts w:cstheme="minorHAnsi"/>
        </w:rPr>
        <w:t>s</w:t>
      </w:r>
      <w:r w:rsidR="00072FA0" w:rsidRPr="003E60D6">
        <w:rPr>
          <w:rFonts w:cstheme="minorHAnsi"/>
        </w:rPr>
        <w:t xml:space="preserve"> to stigmatisation</w:t>
      </w:r>
      <w:r w:rsidR="00072FA0">
        <w:rPr>
          <w:rFonts w:cstheme="minorHAnsi"/>
        </w:rPr>
        <w:t xml:space="preserve"> of people with opioid dependence</w:t>
      </w:r>
      <w:r w:rsidR="00072FA0" w:rsidRPr="003E60D6">
        <w:rPr>
          <w:rFonts w:cstheme="minorHAnsi"/>
        </w:rPr>
        <w:t xml:space="preserve">, and the financial impacts of accessing ODT for </w:t>
      </w:r>
      <w:r w:rsidR="00034C4E">
        <w:rPr>
          <w:rFonts w:cstheme="minorHAnsi"/>
        </w:rPr>
        <w:t>consumers</w:t>
      </w:r>
      <w:r w:rsidR="00072FA0" w:rsidRPr="003E60D6">
        <w:rPr>
          <w:rFonts w:cstheme="minorHAnsi"/>
        </w:rPr>
        <w:t>. The review identified recruitment and retention of GPs as a primary barrier to access and suggest</w:t>
      </w:r>
      <w:r w:rsidR="00072FA0">
        <w:rPr>
          <w:rFonts w:cstheme="minorHAnsi"/>
        </w:rPr>
        <w:t>s</w:t>
      </w:r>
      <w:r w:rsidR="00072FA0" w:rsidRPr="003E60D6">
        <w:rPr>
          <w:rFonts w:cstheme="minorHAnsi"/>
        </w:rPr>
        <w:t xml:space="preserve"> there needs to be innovative solutions</w:t>
      </w:r>
      <w:r w:rsidR="00072FA0">
        <w:rPr>
          <w:rFonts w:cstheme="minorHAnsi"/>
        </w:rPr>
        <w:t xml:space="preserve"> that include</w:t>
      </w:r>
      <w:r w:rsidR="00072FA0" w:rsidRPr="003E60D6">
        <w:rPr>
          <w:rFonts w:cstheme="minorHAnsi"/>
        </w:rPr>
        <w:t xml:space="preserve"> greater use of </w:t>
      </w:r>
      <w:r w:rsidR="00072FA0">
        <w:rPr>
          <w:rFonts w:cstheme="minorHAnsi"/>
        </w:rPr>
        <w:t xml:space="preserve">MBS </w:t>
      </w:r>
      <w:r w:rsidR="00072FA0" w:rsidRPr="003E60D6">
        <w:rPr>
          <w:rFonts w:cstheme="minorHAnsi"/>
        </w:rPr>
        <w:t>telehealth</w:t>
      </w:r>
      <w:r w:rsidR="00072FA0">
        <w:rPr>
          <w:rFonts w:cstheme="minorHAnsi"/>
        </w:rPr>
        <w:t xml:space="preserve"> items</w:t>
      </w:r>
      <w:r w:rsidR="00072FA0" w:rsidRPr="003E60D6">
        <w:rPr>
          <w:rFonts w:cstheme="minorHAnsi"/>
        </w:rPr>
        <w:t>, case management support</w:t>
      </w:r>
      <w:r w:rsidR="00072FA0">
        <w:rPr>
          <w:rFonts w:cstheme="minorHAnsi"/>
        </w:rPr>
        <w:t xml:space="preserve">, assessable and ongoing undergraduate and postgraduate </w:t>
      </w:r>
      <w:r w:rsidR="00072FA0" w:rsidRPr="003E60D6">
        <w:rPr>
          <w:rFonts w:cstheme="minorHAnsi"/>
        </w:rPr>
        <w:t>training</w:t>
      </w:r>
      <w:r w:rsidR="00072FA0">
        <w:rPr>
          <w:rFonts w:cstheme="minorHAnsi"/>
        </w:rPr>
        <w:t xml:space="preserve"> </w:t>
      </w:r>
      <w:r w:rsidR="003767A8">
        <w:rPr>
          <w:rFonts w:cstheme="minorHAnsi"/>
        </w:rPr>
        <w:t xml:space="preserve">(for all health professionals) </w:t>
      </w:r>
      <w:r w:rsidR="00072FA0">
        <w:rPr>
          <w:rFonts w:cstheme="minorHAnsi"/>
        </w:rPr>
        <w:t xml:space="preserve">as well as jurisdictional level solutions. </w:t>
      </w:r>
    </w:p>
    <w:p w14:paraId="551FF024" w14:textId="77777777" w:rsidR="00072FA0" w:rsidRDefault="00072FA0" w:rsidP="00072FA0">
      <w:pPr>
        <w:rPr>
          <w:rFonts w:cstheme="minorHAnsi"/>
        </w:rPr>
      </w:pPr>
      <w:r>
        <w:rPr>
          <w:rFonts w:cstheme="minorHAnsi"/>
        </w:rPr>
        <w:t xml:space="preserve">Stakeholders are of a view that support to encourage increased participation and retention of addiction specialists, GPs and in particular nurse practitioners is critical to ODT at both a Commonwealth and jurisdictional level and could consider funding and/or incentive payments that acknowledge the case complexity of many ODT patients, with one option possibly being MBS items that give specific consideration to supporting ODT patients and their prescribers. </w:t>
      </w:r>
    </w:p>
    <w:p w14:paraId="454C74E9" w14:textId="77777777" w:rsidR="00072FA0" w:rsidRDefault="00072FA0" w:rsidP="00072FA0">
      <w:pPr>
        <w:rPr>
          <w:rFonts w:cstheme="minorHAnsi"/>
        </w:rPr>
      </w:pPr>
      <w:r>
        <w:rPr>
          <w:rFonts w:cstheme="minorHAnsi"/>
        </w:rPr>
        <w:lastRenderedPageBreak/>
        <w:t>Currently, to</w:t>
      </w:r>
      <w:r w:rsidRPr="006D336F">
        <w:rPr>
          <w:rFonts w:cstheme="minorHAnsi"/>
        </w:rPr>
        <w:t xml:space="preserve"> support services to patients, there are several service items and payment available under the MBS which include time-tiered general attendance</w:t>
      </w:r>
      <w:r>
        <w:rPr>
          <w:rFonts w:cstheme="minorHAnsi"/>
        </w:rPr>
        <w:t xml:space="preserve"> items with general practitioners</w:t>
      </w:r>
      <w:r w:rsidRPr="006D336F">
        <w:rPr>
          <w:rFonts w:cstheme="minorHAnsi"/>
        </w:rPr>
        <w:t>, addiction medicine</w:t>
      </w:r>
      <w:r>
        <w:rPr>
          <w:rFonts w:cstheme="minorHAnsi"/>
        </w:rPr>
        <w:t xml:space="preserve"> specialist attendance items (for assessment and treatment) as well as </w:t>
      </w:r>
      <w:r w:rsidRPr="006D336F">
        <w:rPr>
          <w:rFonts w:cstheme="minorHAnsi"/>
        </w:rPr>
        <w:t>chronic disease management an</w:t>
      </w:r>
      <w:r w:rsidRPr="0040351E">
        <w:rPr>
          <w:rFonts w:cstheme="minorHAnsi"/>
        </w:rPr>
        <w:t>d mental health items. Noting the Strengthening Medicare Taskforce currently underway, consideration</w:t>
      </w:r>
      <w:r>
        <w:rPr>
          <w:rFonts w:cstheme="minorHAnsi"/>
        </w:rPr>
        <w:t xml:space="preserve"> of matters raised in relation to the MBS was not considered in detail as part of the TOR for this review. </w:t>
      </w:r>
    </w:p>
    <w:p w14:paraId="673F6E36" w14:textId="658593B6" w:rsidR="005A5291" w:rsidRDefault="00072FA0" w:rsidP="00072FA0">
      <w:pPr>
        <w:rPr>
          <w:rFonts w:eastAsia="Calibri" w:cs="Calibri"/>
          <w:b/>
          <w:bCs/>
        </w:rPr>
      </w:pPr>
      <w:r w:rsidRPr="008E07DF">
        <w:rPr>
          <w:rFonts w:cstheme="minorHAnsi"/>
          <w:b/>
          <w:bCs/>
        </w:rPr>
        <w:t xml:space="preserve">The PBAC may wish </w:t>
      </w:r>
      <w:r w:rsidRPr="001F7214">
        <w:rPr>
          <w:rFonts w:cstheme="minorHAnsi"/>
          <w:b/>
          <w:bCs/>
        </w:rPr>
        <w:t>to respond to prescriber workforce issues with advice for</w:t>
      </w:r>
      <w:r w:rsidRPr="008E07DF">
        <w:rPr>
          <w:rFonts w:cstheme="minorHAnsi"/>
          <w:b/>
          <w:bCs/>
        </w:rPr>
        <w:t xml:space="preserve"> Government consideration</w:t>
      </w:r>
      <w:r>
        <w:rPr>
          <w:rFonts w:cstheme="minorHAnsi"/>
          <w:b/>
          <w:bCs/>
        </w:rPr>
        <w:t xml:space="preserve"> and progression of discussions with state and territory governments on options for ensuring people have equitable and affordable access to treatment programs for opioid dependence</w:t>
      </w:r>
      <w:r w:rsidR="005A5291" w:rsidRPr="005A5291">
        <w:rPr>
          <w:rFonts w:eastAsia="Calibri" w:cs="Calibri"/>
          <w:b/>
          <w:bCs/>
        </w:rPr>
        <w:t xml:space="preserve">.  </w:t>
      </w:r>
    </w:p>
    <w:p w14:paraId="50809BA3" w14:textId="2BE84FF3" w:rsidR="00500A11" w:rsidRPr="00500A11" w:rsidRDefault="00500A11" w:rsidP="007E3DC8">
      <w:pPr>
        <w:pStyle w:val="Heading4"/>
        <w:numPr>
          <w:ilvl w:val="2"/>
          <w:numId w:val="44"/>
        </w:numPr>
        <w:rPr>
          <w:rFonts w:eastAsia="Calibri" w:cs="Calibri"/>
          <w:i w:val="0"/>
          <w:iCs w:val="0"/>
        </w:rPr>
      </w:pPr>
      <w:r w:rsidRPr="00500A11">
        <w:rPr>
          <w:rFonts w:eastAsia="Calibri" w:cs="Calibri"/>
          <w:i w:val="0"/>
          <w:iCs w:val="0"/>
        </w:rPr>
        <w:t>Access to LAIB administration in community pharmacies</w:t>
      </w:r>
    </w:p>
    <w:p w14:paraId="0F562047" w14:textId="02B44B89" w:rsidR="00500A11" w:rsidRDefault="00500A11" w:rsidP="00500A11">
      <w:pPr>
        <w:rPr>
          <w:rFonts w:cs="Calibri"/>
        </w:rPr>
      </w:pPr>
      <w:r>
        <w:rPr>
          <w:rFonts w:cstheme="minorHAnsi"/>
          <w:bCs/>
          <w:iCs/>
        </w:rPr>
        <w:t xml:space="preserve">Evidence and stakeholder input to the review suggests that the use of LAIB is anticipated to continue to grow and for some patients the </w:t>
      </w:r>
      <w:r>
        <w:t xml:space="preserve">injections have the potential benefits of </w:t>
      </w:r>
      <w:r w:rsidRPr="00500A11">
        <w:rPr>
          <w:rFonts w:cs="Calibri"/>
        </w:rPr>
        <w:t>eliminating the need for daily supervised and/or takeaway dosing with methadone or sublingual buprenorphine (where this is their choice and preferred treatment)</w:t>
      </w:r>
      <w:r>
        <w:rPr>
          <w:rFonts w:cstheme="minorHAnsi"/>
          <w:bCs/>
          <w:iCs/>
        </w:rPr>
        <w:t xml:space="preserve"> and </w:t>
      </w:r>
      <w:r w:rsidRPr="00500A11">
        <w:rPr>
          <w:rFonts w:cs="Calibri"/>
        </w:rPr>
        <w:t>improving accessibility of treatment, particularly where clinic dosing is unavailable (e.g., consumers are unable to geographically access clinics due to mobility or transport)</w:t>
      </w:r>
      <w:r>
        <w:rPr>
          <w:rFonts w:cs="Calibri"/>
        </w:rPr>
        <w:t xml:space="preserve">. </w:t>
      </w:r>
    </w:p>
    <w:p w14:paraId="4C168E0F" w14:textId="3C2D140E" w:rsidR="00500A11" w:rsidRDefault="00500A11" w:rsidP="00072FA0">
      <w:pPr>
        <w:rPr>
          <w:rFonts w:cstheme="minorHAnsi"/>
        </w:rPr>
      </w:pPr>
      <w:r>
        <w:rPr>
          <w:rFonts w:cstheme="minorHAnsi"/>
        </w:rPr>
        <w:t xml:space="preserve">Separate to the PBS, the PBAC may wish to consider a mechanism to support remuneration for on-site pharmacist administration of LAIB an option to further improve the accessibility of treatment. It may also ease pressure on the prescriber workforce and on patients that find it difficult to find an appointment with a GP or who find it difficult to regularly visit a GP practice for administration of the injection.  </w:t>
      </w:r>
    </w:p>
    <w:p w14:paraId="286731AF" w14:textId="2A903014" w:rsidR="00500A11" w:rsidRPr="00500A11" w:rsidRDefault="00500A11" w:rsidP="00072FA0">
      <w:pPr>
        <w:rPr>
          <w:rFonts w:eastAsia="Calibri" w:cs="Calibri"/>
          <w:b/>
          <w:bCs/>
        </w:rPr>
      </w:pPr>
      <w:r w:rsidRPr="00500A11">
        <w:rPr>
          <w:rFonts w:eastAsia="Calibri" w:cs="Calibri"/>
          <w:b/>
          <w:bCs/>
        </w:rPr>
        <w:t xml:space="preserve">The PBAC may wish to </w:t>
      </w:r>
      <w:r>
        <w:rPr>
          <w:rFonts w:eastAsia="Calibri" w:cs="Calibri"/>
          <w:b/>
          <w:bCs/>
        </w:rPr>
        <w:t xml:space="preserve">endorse an option for </w:t>
      </w:r>
      <w:r w:rsidR="002F3FAB">
        <w:rPr>
          <w:rFonts w:eastAsia="Calibri" w:cs="Calibri"/>
          <w:b/>
          <w:bCs/>
        </w:rPr>
        <w:t xml:space="preserve">consideration by Government for </w:t>
      </w:r>
      <w:r>
        <w:rPr>
          <w:rFonts w:eastAsia="Calibri" w:cs="Calibri"/>
          <w:b/>
          <w:bCs/>
        </w:rPr>
        <w:t>community pharmacies</w:t>
      </w:r>
      <w:r w:rsidR="002F3FAB">
        <w:rPr>
          <w:rFonts w:eastAsia="Calibri" w:cs="Calibri"/>
          <w:b/>
          <w:bCs/>
        </w:rPr>
        <w:t xml:space="preserve"> to administer LAIB injections. </w:t>
      </w:r>
      <w:r>
        <w:rPr>
          <w:rFonts w:eastAsia="Calibri" w:cs="Calibri"/>
          <w:b/>
          <w:bCs/>
        </w:rPr>
        <w:t xml:space="preserve"> </w:t>
      </w:r>
    </w:p>
    <w:p w14:paraId="07740BBA" w14:textId="77777777" w:rsidR="005A5291" w:rsidRPr="005A5291" w:rsidRDefault="005A5291" w:rsidP="007E3DC8">
      <w:pPr>
        <w:pStyle w:val="Heading4"/>
        <w:numPr>
          <w:ilvl w:val="2"/>
          <w:numId w:val="44"/>
        </w:numPr>
        <w:rPr>
          <w:rFonts w:eastAsia="Times New Roman"/>
        </w:rPr>
      </w:pPr>
      <w:bookmarkStart w:id="597" w:name="_Hlk120543084"/>
      <w:r w:rsidRPr="005A5291">
        <w:rPr>
          <w:rFonts w:eastAsia="Times New Roman"/>
        </w:rPr>
        <w:t>Access to ODT for First Nations People</w:t>
      </w:r>
    </w:p>
    <w:p w14:paraId="042267FE" w14:textId="4ACCAAD7" w:rsidR="00072FA0" w:rsidRDefault="005A5291" w:rsidP="00072FA0">
      <w:pPr>
        <w:rPr>
          <w:rFonts w:cstheme="minorHAnsi"/>
        </w:rPr>
      </w:pPr>
      <w:r w:rsidRPr="005A5291">
        <w:rPr>
          <w:rFonts w:eastAsia="Calibri" w:cs="Calibri"/>
        </w:rPr>
        <w:t xml:space="preserve">The </w:t>
      </w:r>
      <w:bookmarkEnd w:id="597"/>
      <w:r w:rsidR="002D5DDE">
        <w:rPr>
          <w:rFonts w:eastAsia="Calibri" w:cs="Calibri"/>
        </w:rPr>
        <w:t xml:space="preserve">Review </w:t>
      </w:r>
      <w:r w:rsidR="00072FA0" w:rsidRPr="003E60D6">
        <w:rPr>
          <w:rFonts w:cstheme="minorHAnsi"/>
        </w:rPr>
        <w:t>highlighted</w:t>
      </w:r>
      <w:r w:rsidR="00072FA0">
        <w:rPr>
          <w:rFonts w:cstheme="minorHAnsi"/>
        </w:rPr>
        <w:t xml:space="preserve"> </w:t>
      </w:r>
      <w:r w:rsidR="00072FA0" w:rsidRPr="003E60D6">
        <w:rPr>
          <w:rFonts w:cstheme="minorHAnsi"/>
        </w:rPr>
        <w:t>specific patient populations such as First Nations people and people either within or recently released from custodial settings</w:t>
      </w:r>
      <w:r w:rsidR="00072FA0">
        <w:rPr>
          <w:rFonts w:cstheme="minorHAnsi"/>
        </w:rPr>
        <w:t xml:space="preserve"> (in which First Nations people are greatly overrepresented)</w:t>
      </w:r>
      <w:r w:rsidR="00072FA0" w:rsidRPr="003E60D6">
        <w:rPr>
          <w:rFonts w:cstheme="minorHAnsi"/>
        </w:rPr>
        <w:t xml:space="preserve"> experience disproportionate barriers to access and will need specific consideration in any service delivery arrangements for access to </w:t>
      </w:r>
      <w:r w:rsidR="00072FA0">
        <w:rPr>
          <w:rFonts w:cstheme="minorHAnsi"/>
        </w:rPr>
        <w:t>ODT medicines</w:t>
      </w:r>
      <w:r w:rsidR="00072FA0" w:rsidRPr="003E60D6">
        <w:rPr>
          <w:rFonts w:cstheme="minorHAnsi"/>
        </w:rPr>
        <w:t xml:space="preserve">. </w:t>
      </w:r>
    </w:p>
    <w:p w14:paraId="36FC2516" w14:textId="77777777" w:rsidR="00072FA0" w:rsidRDefault="00072FA0" w:rsidP="00072FA0">
      <w:pPr>
        <w:rPr>
          <w:rFonts w:cstheme="minorHAnsi"/>
        </w:rPr>
      </w:pPr>
      <w:r>
        <w:rPr>
          <w:rFonts w:cstheme="minorHAnsi"/>
        </w:rPr>
        <w:t xml:space="preserve">Approaches raised by stakeholders during the review </w:t>
      </w:r>
      <w:r w:rsidRPr="003E60D6">
        <w:rPr>
          <w:rFonts w:cstheme="minorHAnsi"/>
        </w:rPr>
        <w:t>include</w:t>
      </w:r>
      <w:r>
        <w:rPr>
          <w:rFonts w:cstheme="minorHAnsi"/>
        </w:rPr>
        <w:t xml:space="preserve">: </w:t>
      </w:r>
    </w:p>
    <w:p w14:paraId="02277E1C" w14:textId="77777777" w:rsidR="00072FA0" w:rsidRDefault="00072FA0" w:rsidP="007E3DC8">
      <w:pPr>
        <w:pStyle w:val="ListParagraph"/>
        <w:numPr>
          <w:ilvl w:val="0"/>
          <w:numId w:val="41"/>
        </w:numPr>
        <w:rPr>
          <w:rFonts w:cstheme="minorHAnsi"/>
        </w:rPr>
      </w:pPr>
      <w:r w:rsidRPr="00143408">
        <w:rPr>
          <w:rFonts w:cstheme="minorHAnsi"/>
        </w:rPr>
        <w:t>improved access to culturally safe care through ACCHOs</w:t>
      </w:r>
      <w:r>
        <w:rPr>
          <w:rFonts w:cstheme="minorHAnsi"/>
        </w:rPr>
        <w:t xml:space="preserve"> and other settings (including correctional facilities)</w:t>
      </w:r>
    </w:p>
    <w:p w14:paraId="401DA5BB" w14:textId="77777777" w:rsidR="00072FA0" w:rsidRDefault="00072FA0" w:rsidP="007E3DC8">
      <w:pPr>
        <w:pStyle w:val="ListParagraph"/>
        <w:numPr>
          <w:ilvl w:val="0"/>
          <w:numId w:val="41"/>
        </w:numPr>
        <w:rPr>
          <w:rFonts w:cstheme="minorHAnsi"/>
        </w:rPr>
      </w:pPr>
      <w:r>
        <w:rPr>
          <w:rFonts w:cstheme="minorHAnsi"/>
        </w:rPr>
        <w:t xml:space="preserve">strategies to increase the </w:t>
      </w:r>
      <w:r w:rsidRPr="00143408">
        <w:rPr>
          <w:rFonts w:cstheme="minorHAnsi"/>
        </w:rPr>
        <w:t xml:space="preserve">First Nations workforce in the delivery of ODT </w:t>
      </w:r>
      <w:r>
        <w:rPr>
          <w:rFonts w:cstheme="minorHAnsi"/>
        </w:rPr>
        <w:t>(e.g. Aboriginal Health Practitioners and ACCHO nurses)</w:t>
      </w:r>
      <w:r w:rsidRPr="00143408">
        <w:rPr>
          <w:rFonts w:cstheme="minorHAnsi"/>
        </w:rPr>
        <w:t xml:space="preserve"> </w:t>
      </w:r>
    </w:p>
    <w:p w14:paraId="4C6BBB32" w14:textId="77777777" w:rsidR="00072FA0" w:rsidRPr="00143408" w:rsidRDefault="00072FA0" w:rsidP="007E3DC8">
      <w:pPr>
        <w:pStyle w:val="ListParagraph"/>
        <w:numPr>
          <w:ilvl w:val="0"/>
          <w:numId w:val="41"/>
        </w:numPr>
        <w:rPr>
          <w:rFonts w:cstheme="minorHAnsi"/>
        </w:rPr>
      </w:pPr>
      <w:r w:rsidRPr="00143408">
        <w:rPr>
          <w:rFonts w:cstheme="minorHAnsi"/>
        </w:rPr>
        <w:t xml:space="preserve">extension of the PBS CTG </w:t>
      </w:r>
      <w:r>
        <w:rPr>
          <w:rFonts w:cstheme="minorHAnsi"/>
        </w:rPr>
        <w:t>program</w:t>
      </w:r>
      <w:r w:rsidRPr="00143408">
        <w:rPr>
          <w:rFonts w:cstheme="minorHAnsi"/>
        </w:rPr>
        <w:t xml:space="preserve"> to include PBS listed medicines for opioid dependence treatment. </w:t>
      </w:r>
    </w:p>
    <w:p w14:paraId="0F73FDC0" w14:textId="3F95E898" w:rsidR="00852481" w:rsidRPr="008E07DF" w:rsidRDefault="00072FA0" w:rsidP="00072FA0">
      <w:pPr>
        <w:rPr>
          <w:rFonts w:eastAsia="Calibri"/>
          <w:b/>
        </w:rPr>
      </w:pPr>
      <w:r w:rsidRPr="008E07DF">
        <w:rPr>
          <w:rFonts w:cstheme="minorHAnsi"/>
          <w:b/>
          <w:iCs/>
        </w:rPr>
        <w:t xml:space="preserve">The PBAC may wish </w:t>
      </w:r>
      <w:r w:rsidRPr="001F7214">
        <w:rPr>
          <w:rFonts w:cstheme="minorHAnsi"/>
          <w:b/>
          <w:iCs/>
        </w:rPr>
        <w:t>to respond to matters relating to access to ODT medicines and services for Fi</w:t>
      </w:r>
      <w:r w:rsidR="00B94325">
        <w:rPr>
          <w:rFonts w:cstheme="minorHAnsi"/>
          <w:b/>
          <w:iCs/>
        </w:rPr>
        <w:t>r</w:t>
      </w:r>
      <w:r w:rsidRPr="001F7214">
        <w:rPr>
          <w:rFonts w:cstheme="minorHAnsi"/>
          <w:b/>
          <w:iCs/>
        </w:rPr>
        <w:t xml:space="preserve">st Nations and other populations </w:t>
      </w:r>
      <w:r w:rsidR="00037100">
        <w:rPr>
          <w:rFonts w:cstheme="minorHAnsi"/>
          <w:b/>
          <w:iCs/>
        </w:rPr>
        <w:t xml:space="preserve">with specific needs </w:t>
      </w:r>
      <w:r w:rsidRPr="001F7214">
        <w:rPr>
          <w:rFonts w:cstheme="minorHAnsi"/>
          <w:b/>
          <w:iCs/>
        </w:rPr>
        <w:t>progressed with advice for Government</w:t>
      </w:r>
      <w:r w:rsidRPr="008E07DF">
        <w:rPr>
          <w:rFonts w:cstheme="minorHAnsi"/>
          <w:b/>
          <w:iCs/>
        </w:rPr>
        <w:t xml:space="preserve"> consideration</w:t>
      </w:r>
      <w:r>
        <w:rPr>
          <w:rFonts w:cstheme="minorHAnsi"/>
          <w:b/>
          <w:iCs/>
        </w:rPr>
        <w:t xml:space="preserve"> and discussion with state and territory governments</w:t>
      </w:r>
      <w:r w:rsidR="005A5291" w:rsidRPr="005A5291">
        <w:rPr>
          <w:rFonts w:eastAsia="Calibri" w:cs="Calibri"/>
          <w:b/>
          <w:iCs/>
        </w:rPr>
        <w:t>.</w:t>
      </w:r>
    </w:p>
    <w:p w14:paraId="6FDA7062" w14:textId="20E39B16" w:rsidR="00852481" w:rsidRPr="00A60594" w:rsidRDefault="00852481" w:rsidP="00852481">
      <w:pPr>
        <w:rPr>
          <w:sz w:val="26"/>
          <w:szCs w:val="26"/>
        </w:rPr>
      </w:pPr>
      <w:r>
        <w:br w:type="page"/>
      </w:r>
    </w:p>
    <w:p w14:paraId="5196E8B1" w14:textId="77777777" w:rsidR="00934954" w:rsidRPr="00EA3458" w:rsidRDefault="00934954" w:rsidP="00934954">
      <w:pPr>
        <w:pStyle w:val="Heading2"/>
        <w:rPr>
          <w:rFonts w:eastAsia="Calibri"/>
        </w:rPr>
      </w:pPr>
      <w:bookmarkStart w:id="598" w:name="_Toc163221189"/>
      <w:bookmarkStart w:id="599" w:name="_Hlk127951886"/>
      <w:r w:rsidRPr="00475593">
        <w:lastRenderedPageBreak/>
        <w:t>References</w:t>
      </w:r>
      <w:bookmarkEnd w:id="598"/>
    </w:p>
    <w:bookmarkEnd w:id="599"/>
    <w:p w14:paraId="037565D3" w14:textId="77777777" w:rsidR="002565E6" w:rsidRPr="002565E6" w:rsidRDefault="00934954" w:rsidP="002565E6">
      <w:pPr>
        <w:pStyle w:val="EndNoteBibliography"/>
        <w:spacing w:after="0"/>
      </w:pPr>
      <w:r w:rsidRPr="00EA3458">
        <w:rPr>
          <w:rFonts w:eastAsia="Calibri"/>
          <w:lang w:val="en-AU"/>
        </w:rPr>
        <w:fldChar w:fldCharType="begin"/>
      </w:r>
      <w:r w:rsidRPr="00EA3458">
        <w:rPr>
          <w:rFonts w:eastAsia="Calibri"/>
          <w:lang w:val="en-AU"/>
        </w:rPr>
        <w:instrText xml:space="preserve"> ADDIN EN.REFLIST </w:instrText>
      </w:r>
      <w:r w:rsidRPr="00EA3458">
        <w:rPr>
          <w:rFonts w:eastAsia="Calibri"/>
          <w:lang w:val="en-AU"/>
        </w:rPr>
        <w:fldChar w:fldCharType="separate"/>
      </w:r>
      <w:bookmarkStart w:id="600" w:name="_ENREF_1"/>
      <w:r w:rsidR="002565E6" w:rsidRPr="002565E6">
        <w:t>1.</w:t>
      </w:r>
      <w:r w:rsidR="002565E6" w:rsidRPr="002565E6">
        <w:tab/>
        <w:t>Australian Institute of Health and Welfare. National Opioid Pharmacotherapy Statistics Annual Data (NOPSAD) collection. . Canberra: AIHW; 2022 2022/11/21/.</w:t>
      </w:r>
      <w:bookmarkEnd w:id="600"/>
    </w:p>
    <w:p w14:paraId="439401B8" w14:textId="77777777" w:rsidR="002565E6" w:rsidRPr="002565E6" w:rsidRDefault="002565E6" w:rsidP="002565E6">
      <w:pPr>
        <w:pStyle w:val="EndNoteBibliography"/>
        <w:spacing w:after="0"/>
      </w:pPr>
      <w:bookmarkStart w:id="601" w:name="_ENREF_2"/>
      <w:r w:rsidRPr="002565E6">
        <w:t>2.</w:t>
      </w:r>
      <w:r w:rsidRPr="002565E6">
        <w:tab/>
        <w:t>Larance B, Degenhardt L, Grebely J, Nielsen S, Bruno R, Dietze P, et al. Perceptions of extended-release buprenorphine injections for opioid use disorder among people who regularly use opioids in Australia. Addiction. 2020;115(7):1295-305.</w:t>
      </w:r>
      <w:bookmarkEnd w:id="601"/>
    </w:p>
    <w:p w14:paraId="2EB6F3EA" w14:textId="77777777" w:rsidR="002565E6" w:rsidRPr="002565E6" w:rsidRDefault="002565E6" w:rsidP="002565E6">
      <w:pPr>
        <w:pStyle w:val="EndNoteBibliography"/>
        <w:spacing w:after="0"/>
      </w:pPr>
      <w:bookmarkStart w:id="602" w:name="_ENREF_3"/>
      <w:r w:rsidRPr="002565E6">
        <w:t>3.</w:t>
      </w:r>
      <w:r w:rsidRPr="002565E6">
        <w:tab/>
        <w:t>Tran A, Chen R, Nielsen S, Zahra E, Degenhardt L, Santo T, et al. Economic analysis of out-of-pocket costs among people in opioid agonist treatment: A cross-sectional survey in three Australian jurisdictions. International Journal of Drug Policy. 2022;99.</w:t>
      </w:r>
      <w:bookmarkEnd w:id="602"/>
    </w:p>
    <w:p w14:paraId="6DAFD065" w14:textId="77777777" w:rsidR="002565E6" w:rsidRPr="002565E6" w:rsidRDefault="002565E6" w:rsidP="002565E6">
      <w:pPr>
        <w:pStyle w:val="EndNoteBibliography"/>
        <w:spacing w:after="0"/>
      </w:pPr>
      <w:bookmarkStart w:id="603" w:name="_ENREF_4"/>
      <w:r w:rsidRPr="002565E6">
        <w:t>4.</w:t>
      </w:r>
      <w:r w:rsidRPr="002565E6">
        <w:tab/>
        <w:t>Zahra E, Chen R, Nielsen S, Tran A, Santo T, Degenhardt L, et al. Examining the cost and impact of dosing fees among clients in opioid agonist treatment: Results from a cross-sectional survey of Australian treatment clients. Drug and Alchol Review. 2022.</w:t>
      </w:r>
      <w:bookmarkEnd w:id="603"/>
    </w:p>
    <w:p w14:paraId="26FFA623" w14:textId="77777777" w:rsidR="002565E6" w:rsidRPr="002565E6" w:rsidRDefault="002565E6" w:rsidP="002565E6">
      <w:pPr>
        <w:pStyle w:val="EndNoteBibliography"/>
        <w:spacing w:after="0"/>
      </w:pPr>
      <w:bookmarkStart w:id="604" w:name="_ENREF_5"/>
      <w:r w:rsidRPr="002565E6">
        <w:t>5.</w:t>
      </w:r>
      <w:r w:rsidRPr="002565E6">
        <w:tab/>
        <w:t>Farrell M, Shabjazi J, Byrne M, Chambers M, Grebely J, Larance B, et al. Outcomes of a single-arm implementation trial of monthly subcutaneous buprenorphine depot injections in people with opioid dependence: Primary findings from the CoLAB study. International Journal of Drug Policy. 2022;100:103492.</w:t>
      </w:r>
      <w:bookmarkEnd w:id="604"/>
    </w:p>
    <w:p w14:paraId="7DBA8902" w14:textId="77777777" w:rsidR="002565E6" w:rsidRPr="002565E6" w:rsidRDefault="002565E6" w:rsidP="002565E6">
      <w:pPr>
        <w:pStyle w:val="EndNoteBibliography"/>
        <w:spacing w:after="0"/>
      </w:pPr>
      <w:bookmarkStart w:id="605" w:name="_ENREF_6"/>
      <w:r w:rsidRPr="002565E6">
        <w:t>6.</w:t>
      </w:r>
      <w:r w:rsidRPr="002565E6">
        <w:tab/>
        <w:t>Larance B, Byrne M, Lintzeris N, Nielsen S, Grebely J, Degenhardt L, et al. Open-label, multicentre, single-arm trial of monthly injections of depot buprenorphine in people with opioid dependence: protocol for the CoLAB study. BMJ Open 2020;10(7):e034389.</w:t>
      </w:r>
      <w:bookmarkEnd w:id="605"/>
    </w:p>
    <w:p w14:paraId="20DD74CC" w14:textId="77777777" w:rsidR="002565E6" w:rsidRPr="002565E6" w:rsidRDefault="002565E6" w:rsidP="002565E6">
      <w:pPr>
        <w:pStyle w:val="EndNoteBibliography"/>
        <w:spacing w:after="0"/>
      </w:pPr>
      <w:bookmarkStart w:id="606" w:name="_ENREF_7"/>
      <w:r w:rsidRPr="002565E6">
        <w:t>7.</w:t>
      </w:r>
      <w:r w:rsidRPr="002565E6">
        <w:tab/>
        <w:t>Valerio H, Alavi M, Silk D, Treloar C, Martinello M, Milat A, et al. Progress Towards Elimination of Hepatitis C Infection Among People Who Inject Drugs in Australia: The ETHOS Engage Study. Clin Infect Dis. 2021;73(1):e69-e78.</w:t>
      </w:r>
      <w:bookmarkEnd w:id="606"/>
    </w:p>
    <w:p w14:paraId="0D60E3B8" w14:textId="77777777" w:rsidR="002565E6" w:rsidRPr="002565E6" w:rsidRDefault="002565E6" w:rsidP="002565E6">
      <w:pPr>
        <w:pStyle w:val="EndNoteBibliography"/>
        <w:spacing w:after="0"/>
      </w:pPr>
      <w:bookmarkStart w:id="607" w:name="_ENREF_8"/>
      <w:r w:rsidRPr="002565E6">
        <w:t>8.</w:t>
      </w:r>
      <w:r w:rsidRPr="002565E6">
        <w:tab/>
        <w:t>Grebely J, al e. The PREFER study: preferences of people who are opioid dependent for their opioid agonist treatment. in preparation.</w:t>
      </w:r>
      <w:bookmarkEnd w:id="607"/>
    </w:p>
    <w:p w14:paraId="56DC3A93" w14:textId="77777777" w:rsidR="002565E6" w:rsidRPr="002565E6" w:rsidRDefault="002565E6" w:rsidP="002565E6">
      <w:pPr>
        <w:pStyle w:val="EndNoteBibliography"/>
        <w:spacing w:after="0"/>
      </w:pPr>
      <w:bookmarkStart w:id="608" w:name="_ENREF_9"/>
      <w:r w:rsidRPr="002565E6">
        <w:t>9.</w:t>
      </w:r>
      <w:r w:rsidRPr="002565E6">
        <w:tab/>
        <w:t>Degenhardt L. Preferences for opioid agonist treatment among people who regularly use opioids in Australia: The PREFER study.  INHSU2021.</w:t>
      </w:r>
      <w:bookmarkEnd w:id="608"/>
    </w:p>
    <w:p w14:paraId="09B7008C" w14:textId="77777777" w:rsidR="002565E6" w:rsidRPr="002565E6" w:rsidRDefault="002565E6" w:rsidP="002565E6">
      <w:pPr>
        <w:pStyle w:val="EndNoteBibliography"/>
        <w:spacing w:after="0"/>
      </w:pPr>
      <w:bookmarkStart w:id="609" w:name="_ENREF_10"/>
      <w:r w:rsidRPr="002565E6">
        <w:t>10.</w:t>
      </w:r>
      <w:r w:rsidRPr="002565E6">
        <w:tab/>
        <w:t>World Health Organization. International Classification of Disease and Related Health Problems 11 ed2022.</w:t>
      </w:r>
      <w:bookmarkEnd w:id="609"/>
    </w:p>
    <w:p w14:paraId="34A1CAD8" w14:textId="77777777" w:rsidR="002565E6" w:rsidRPr="002565E6" w:rsidRDefault="002565E6" w:rsidP="002565E6">
      <w:pPr>
        <w:pStyle w:val="EndNoteBibliography"/>
        <w:spacing w:after="0"/>
      </w:pPr>
      <w:bookmarkStart w:id="610" w:name="_ENREF_11"/>
      <w:r w:rsidRPr="002565E6">
        <w:t>11.</w:t>
      </w:r>
      <w:r w:rsidRPr="002565E6">
        <w:tab/>
        <w:t>Hser YI, Haffman V, Grella CE, &amp; Anglin MD. A 33-year follow-up of narcotics addicts. Archives of General Psychiatry. 2001;58(5):503-8.</w:t>
      </w:r>
      <w:bookmarkEnd w:id="610"/>
    </w:p>
    <w:p w14:paraId="27F3E06C" w14:textId="77777777" w:rsidR="002565E6" w:rsidRPr="002565E6" w:rsidRDefault="002565E6" w:rsidP="002565E6">
      <w:pPr>
        <w:pStyle w:val="EndNoteBibliography"/>
        <w:spacing w:after="0"/>
      </w:pPr>
      <w:bookmarkStart w:id="611" w:name="_ENREF_12"/>
      <w:r w:rsidRPr="002565E6">
        <w:t>12.</w:t>
      </w:r>
      <w:r w:rsidRPr="002565E6">
        <w:tab/>
        <w:t>Collaborators GDaI. Global burden of 369 diseases and injuries in 204 countries and territories, 1990-2019: a systematic analysis for the Global Burden of Disease Study 2019 Lancet. 2019;396(10258):1204-22.</w:t>
      </w:r>
      <w:bookmarkEnd w:id="611"/>
    </w:p>
    <w:p w14:paraId="24C68964" w14:textId="77777777" w:rsidR="002565E6" w:rsidRPr="002565E6" w:rsidRDefault="002565E6" w:rsidP="002565E6">
      <w:pPr>
        <w:pStyle w:val="EndNoteBibliography"/>
        <w:spacing w:after="0"/>
      </w:pPr>
      <w:bookmarkStart w:id="612" w:name="_ENREF_13"/>
      <w:r w:rsidRPr="002565E6">
        <w:t>13.</w:t>
      </w:r>
      <w:r w:rsidRPr="002565E6">
        <w:tab/>
        <w:t>Degenhardt L, Grebely J, Stone J, Hickman M, Vickerman P, Marshall BDL, et al. Global patterns of opioid use and dependence: harms to populations, interventions, and future action. Lancet. 2019;394(10208):1560-79.</w:t>
      </w:r>
      <w:bookmarkEnd w:id="612"/>
    </w:p>
    <w:p w14:paraId="3F429A92" w14:textId="77777777" w:rsidR="002565E6" w:rsidRPr="002565E6" w:rsidRDefault="002565E6" w:rsidP="002565E6">
      <w:pPr>
        <w:pStyle w:val="EndNoteBibliography"/>
        <w:spacing w:after="0"/>
      </w:pPr>
      <w:bookmarkStart w:id="613" w:name="_ENREF_14"/>
      <w:r w:rsidRPr="002565E6">
        <w:t>14.</w:t>
      </w:r>
      <w:r w:rsidRPr="002565E6">
        <w:tab/>
        <w:t>World Health Organization z. Model List of Essential Medicines - 22nd List, 2020 Geneva: World Health Organizaton Press; 2021 [</w:t>
      </w:r>
      <w:bookmarkEnd w:id="613"/>
    </w:p>
    <w:p w14:paraId="02D9461F" w14:textId="77777777" w:rsidR="002565E6" w:rsidRPr="002565E6" w:rsidRDefault="002565E6" w:rsidP="002565E6">
      <w:pPr>
        <w:pStyle w:val="EndNoteBibliography"/>
        <w:spacing w:after="0"/>
      </w:pPr>
      <w:bookmarkStart w:id="614" w:name="_ENREF_15"/>
      <w:r w:rsidRPr="002565E6">
        <w:t>15.</w:t>
      </w:r>
      <w:r w:rsidRPr="002565E6">
        <w:tab/>
        <w:t>Gowing L, Ali R, Dunlop A, Farrell M, Lintzeris N. National Guidelines for Medication-Assisted Treatment of Opioid Dependence. Canberra: Australian Government Department of Health; 2014.</w:t>
      </w:r>
      <w:bookmarkEnd w:id="614"/>
    </w:p>
    <w:p w14:paraId="3BBE2F14" w14:textId="77777777" w:rsidR="002565E6" w:rsidRPr="002565E6" w:rsidRDefault="002565E6" w:rsidP="002565E6">
      <w:pPr>
        <w:pStyle w:val="EndNoteBibliography"/>
        <w:spacing w:after="0"/>
      </w:pPr>
      <w:bookmarkStart w:id="615" w:name="_ENREF_16"/>
      <w:r w:rsidRPr="002565E6">
        <w:t>16.</w:t>
      </w:r>
      <w:r w:rsidRPr="002565E6">
        <w:tab/>
        <w:t>Gisev N, Bharat C, Larney S, Dobbins T, Weatherburn D, Hickman M, et al. The effect of entry and retention in opioid agonist treatment on contact with the criminal justice system among opioid-dependent people: a retrospective cohort study. Lancet Public Health. 2019;4(7):e334-e42.</w:t>
      </w:r>
      <w:bookmarkEnd w:id="615"/>
    </w:p>
    <w:p w14:paraId="02BEFA3D" w14:textId="77777777" w:rsidR="002565E6" w:rsidRPr="002565E6" w:rsidRDefault="002565E6" w:rsidP="002565E6">
      <w:pPr>
        <w:pStyle w:val="EndNoteBibliography"/>
        <w:spacing w:after="0"/>
      </w:pPr>
      <w:bookmarkStart w:id="616" w:name="_ENREF_17"/>
      <w:r w:rsidRPr="002565E6">
        <w:t>17.</w:t>
      </w:r>
      <w:r w:rsidRPr="002565E6">
        <w:tab/>
        <w:t>Ritter A, Chalmers J. Polygon: the many sides to the Australian opioid pharmacotherapy maintenance system Canberra Australian National Council on Drugs 2009.</w:t>
      </w:r>
      <w:bookmarkEnd w:id="616"/>
    </w:p>
    <w:p w14:paraId="26BBF8BF" w14:textId="76AB4319" w:rsidR="002565E6" w:rsidRPr="002565E6" w:rsidRDefault="002565E6" w:rsidP="002565E6">
      <w:pPr>
        <w:pStyle w:val="EndNoteBibliography"/>
        <w:spacing w:after="0"/>
      </w:pPr>
      <w:bookmarkStart w:id="617" w:name="_ENREF_18"/>
      <w:r w:rsidRPr="002565E6">
        <w:lastRenderedPageBreak/>
        <w:t>18.</w:t>
      </w:r>
      <w:r w:rsidRPr="002565E6">
        <w:tab/>
        <w:t xml:space="preserve">Ministry of Health NSW. COVID-19 Information letter for Opioid Agonist Treatment Community Prescribers 2021 [updated 15 September 2021. Available from: </w:t>
      </w:r>
      <w:hyperlink r:id="rId30" w:history="1">
        <w:r w:rsidRPr="002565E6">
          <w:rPr>
            <w:rStyle w:val="Hyperlink"/>
          </w:rPr>
          <w:t>www.health.nsw.gov.au/aod/Pages/covid-19-oat-prescriber-info.aspx</w:t>
        </w:r>
      </w:hyperlink>
      <w:r w:rsidRPr="002565E6">
        <w:t>.</w:t>
      </w:r>
      <w:bookmarkEnd w:id="617"/>
    </w:p>
    <w:p w14:paraId="5443C3DC" w14:textId="77777777" w:rsidR="002565E6" w:rsidRPr="002565E6" w:rsidRDefault="002565E6" w:rsidP="002565E6">
      <w:pPr>
        <w:pStyle w:val="EndNoteBibliography"/>
        <w:spacing w:after="0"/>
      </w:pPr>
      <w:bookmarkStart w:id="618" w:name="_ENREF_19"/>
      <w:r w:rsidRPr="002565E6">
        <w:t>19.</w:t>
      </w:r>
      <w:r w:rsidRPr="002565E6">
        <w:tab/>
        <w:t>Australian Institute of Health and Welfare. NOPSAD collection: Supplementary Table S4. Canberra: AIHW; 2022 2022/11/21/.</w:t>
      </w:r>
      <w:bookmarkEnd w:id="618"/>
    </w:p>
    <w:p w14:paraId="38282B58" w14:textId="77777777" w:rsidR="002565E6" w:rsidRPr="002565E6" w:rsidRDefault="002565E6" w:rsidP="002565E6">
      <w:pPr>
        <w:pStyle w:val="EndNoteBibliography"/>
        <w:spacing w:after="0"/>
      </w:pPr>
      <w:bookmarkStart w:id="619" w:name="_ENREF_20"/>
      <w:r w:rsidRPr="002565E6">
        <w:t>20.</w:t>
      </w:r>
      <w:r w:rsidRPr="002565E6">
        <w:tab/>
        <w:t>Australian Institute of Health and Welfare. NOPSAD collection: Supplementary Table S5. Canberra: AIHW; 2022 2022/11/21.</w:t>
      </w:r>
      <w:bookmarkEnd w:id="619"/>
    </w:p>
    <w:p w14:paraId="25C9D8AA" w14:textId="77777777" w:rsidR="002565E6" w:rsidRPr="002565E6" w:rsidRDefault="002565E6" w:rsidP="002565E6">
      <w:pPr>
        <w:pStyle w:val="EndNoteBibliography"/>
        <w:spacing w:after="0"/>
      </w:pPr>
      <w:bookmarkStart w:id="620" w:name="_ENREF_21"/>
      <w:r w:rsidRPr="002565E6">
        <w:t>21.</w:t>
      </w:r>
      <w:r w:rsidRPr="002565E6">
        <w:tab/>
        <w:t>Australian Institute of Health and Welfare. NOPSAD collection: Supplementary Table S6. Canberra: AIHW; 2022 2022/11/21/.</w:t>
      </w:r>
      <w:bookmarkEnd w:id="620"/>
    </w:p>
    <w:p w14:paraId="15619E31" w14:textId="77777777" w:rsidR="002565E6" w:rsidRPr="002565E6" w:rsidRDefault="002565E6" w:rsidP="002565E6">
      <w:pPr>
        <w:pStyle w:val="EndNoteBibliography"/>
        <w:spacing w:after="0"/>
      </w:pPr>
      <w:bookmarkStart w:id="621" w:name="_ENREF_22"/>
      <w:r w:rsidRPr="002565E6">
        <w:t>22.</w:t>
      </w:r>
      <w:r w:rsidRPr="002565E6">
        <w:tab/>
        <w:t>Australian Institute of Health and Welfare. NOPSAD collection: Supplementary Table S7. Canberra: AIHW; 2022 2022/11/21/.</w:t>
      </w:r>
      <w:bookmarkEnd w:id="621"/>
    </w:p>
    <w:p w14:paraId="279A4A7C" w14:textId="77777777" w:rsidR="002565E6" w:rsidRPr="002565E6" w:rsidRDefault="002565E6" w:rsidP="002565E6">
      <w:pPr>
        <w:pStyle w:val="EndNoteBibliography"/>
        <w:spacing w:after="0"/>
      </w:pPr>
      <w:bookmarkStart w:id="622" w:name="_ENREF_23"/>
      <w:r w:rsidRPr="002565E6">
        <w:t>23.</w:t>
      </w:r>
      <w:r w:rsidRPr="002565E6">
        <w:tab/>
        <w:t>Australian Institute of Health and Welfare. NOPSAD collection: Supplementary Table S9. Canberra: AIHW; 2022 2022/11/21/.</w:t>
      </w:r>
      <w:bookmarkEnd w:id="622"/>
    </w:p>
    <w:p w14:paraId="450E31C9" w14:textId="77777777" w:rsidR="002565E6" w:rsidRPr="002565E6" w:rsidRDefault="002565E6" w:rsidP="002565E6">
      <w:pPr>
        <w:pStyle w:val="EndNoteBibliography"/>
        <w:spacing w:after="0"/>
      </w:pPr>
      <w:bookmarkStart w:id="623" w:name="_ENREF_24"/>
      <w:r w:rsidRPr="002565E6">
        <w:t>24.</w:t>
      </w:r>
      <w:r w:rsidRPr="002565E6">
        <w:tab/>
        <w:t>Australian Institute of Health and Welfare. NOPSAD collection: Supplementary Table S3. Canberra: AIHW; 2022 2022/11/21/.</w:t>
      </w:r>
      <w:bookmarkEnd w:id="623"/>
    </w:p>
    <w:p w14:paraId="1B923E9B" w14:textId="77777777" w:rsidR="002565E6" w:rsidRPr="002565E6" w:rsidRDefault="002565E6" w:rsidP="002565E6">
      <w:pPr>
        <w:pStyle w:val="EndNoteBibliography"/>
        <w:spacing w:after="0"/>
      </w:pPr>
      <w:bookmarkStart w:id="624" w:name="_ENREF_25"/>
      <w:r w:rsidRPr="002565E6">
        <w:t>25.</w:t>
      </w:r>
      <w:r w:rsidRPr="002565E6">
        <w:tab/>
        <w:t>Australian Institute of Health and Welfare. NOPSAD collection: Supplementary Table S10. Canberra: AIHW; 2022 2022/11/21/.</w:t>
      </w:r>
      <w:bookmarkEnd w:id="624"/>
    </w:p>
    <w:p w14:paraId="1CAF46DF" w14:textId="77777777" w:rsidR="002565E6" w:rsidRPr="002565E6" w:rsidRDefault="002565E6" w:rsidP="002565E6">
      <w:pPr>
        <w:pStyle w:val="EndNoteBibliography"/>
        <w:spacing w:after="0"/>
      </w:pPr>
      <w:bookmarkStart w:id="625" w:name="_ENREF_26"/>
      <w:r w:rsidRPr="002565E6">
        <w:t>26.</w:t>
      </w:r>
      <w:r w:rsidRPr="002565E6">
        <w:tab/>
        <w:t>Organization WH. Guidelines for the psychosocially assisted pharmacological treatment of opioid dependence. Geneva 2009.</w:t>
      </w:r>
      <w:bookmarkEnd w:id="625"/>
    </w:p>
    <w:p w14:paraId="7B49D5F0" w14:textId="77777777" w:rsidR="002565E6" w:rsidRPr="002565E6" w:rsidRDefault="002565E6" w:rsidP="002565E6">
      <w:pPr>
        <w:pStyle w:val="EndNoteBibliography"/>
        <w:spacing w:after="0"/>
      </w:pPr>
      <w:bookmarkStart w:id="626" w:name="_ENREF_27"/>
      <w:r w:rsidRPr="002565E6">
        <w:t>27.</w:t>
      </w:r>
      <w:r w:rsidRPr="002565E6">
        <w:tab/>
        <w:t>Ministry of Health NSW. NSW Clinical Guidelines: Treatment of Opioid Dependence - 2018. Sydney, New South Wales 2018.</w:t>
      </w:r>
      <w:bookmarkEnd w:id="626"/>
    </w:p>
    <w:p w14:paraId="540AAE3B" w14:textId="77777777" w:rsidR="002565E6" w:rsidRPr="002565E6" w:rsidRDefault="002565E6" w:rsidP="002565E6">
      <w:pPr>
        <w:pStyle w:val="EndNoteBibliography"/>
        <w:spacing w:after="0"/>
      </w:pPr>
      <w:bookmarkStart w:id="627" w:name="_ENREF_28"/>
      <w:r w:rsidRPr="002565E6">
        <w:t>28.</w:t>
      </w:r>
      <w:r w:rsidRPr="002565E6">
        <w:tab/>
        <w:t xml:space="preserve">Community Pharmacotherapy Program. Clinical Policies for the Use of Methadone and Buprenorphine in the Treatment of Opioid Dependence Mt. Lawley, Western Australia Drug and Alcohol Office 2014 </w:t>
      </w:r>
      <w:bookmarkEnd w:id="627"/>
    </w:p>
    <w:p w14:paraId="429D16A6" w14:textId="77777777" w:rsidR="002565E6" w:rsidRPr="002565E6" w:rsidRDefault="002565E6" w:rsidP="00034C4E">
      <w:pPr>
        <w:pStyle w:val="EndNoteBibliography"/>
        <w:spacing w:after="0"/>
        <w:jc w:val="left"/>
      </w:pPr>
      <w:bookmarkStart w:id="628" w:name="_ENREF_29"/>
      <w:r w:rsidRPr="002565E6">
        <w:t>29.</w:t>
      </w:r>
      <w:r w:rsidRPr="002565E6">
        <w:tab/>
        <w:t xml:space="preserve">SA Health. Guidelines for South Australian Pharmacists Dispensing Medication Assisted Treatment for Opioid Dependence (MATOD) Government of South Australia 2016 </w:t>
      </w:r>
      <w:bookmarkEnd w:id="628"/>
    </w:p>
    <w:p w14:paraId="129CB2F1" w14:textId="77777777" w:rsidR="002565E6" w:rsidRPr="002565E6" w:rsidRDefault="002565E6" w:rsidP="00034C4E">
      <w:pPr>
        <w:pStyle w:val="EndNoteBibliography"/>
        <w:spacing w:after="0"/>
        <w:jc w:val="left"/>
      </w:pPr>
      <w:bookmarkStart w:id="629" w:name="_ENREF_30"/>
      <w:r w:rsidRPr="002565E6">
        <w:t>30.</w:t>
      </w:r>
      <w:r w:rsidRPr="002565E6">
        <w:tab/>
        <w:t>Conway A, Crawford S, Degenhardt L, Dore G, Farrell M, Hayllar J, et al. “You’ll come in and dose even in a global pandemic”: a qualitative study of adaptive opioid agonist treatment provision during the COVID-19 pandemic. Addiction. under review.</w:t>
      </w:r>
      <w:bookmarkEnd w:id="629"/>
    </w:p>
    <w:p w14:paraId="21613B68" w14:textId="0DB45BB9" w:rsidR="002565E6" w:rsidRPr="002565E6" w:rsidRDefault="002565E6" w:rsidP="002565E6">
      <w:pPr>
        <w:pStyle w:val="EndNoteBibliography"/>
        <w:spacing w:after="0"/>
      </w:pPr>
      <w:bookmarkStart w:id="630" w:name="_ENREF_31"/>
      <w:r w:rsidRPr="002565E6">
        <w:t>31.</w:t>
      </w:r>
      <w:r w:rsidRPr="002565E6">
        <w:tab/>
        <w:t xml:space="preserve">Department of Health. Summary of state and territory opioid dependence treatment programs - April 2021 2021 [Available from: </w:t>
      </w:r>
      <w:hyperlink r:id="rId31" w:history="1">
        <w:r w:rsidRPr="002565E6">
          <w:rPr>
            <w:rStyle w:val="Hyperlink"/>
          </w:rPr>
          <w:t>https://www.pbs.gov.au/reviews/post-market-review-of-opiate-dependence-treatment-program/summary-of-state-and-territory-ODT-programs-April-2021.PDF</w:t>
        </w:r>
      </w:hyperlink>
      <w:r w:rsidRPr="002565E6">
        <w:t>.</w:t>
      </w:r>
      <w:bookmarkEnd w:id="630"/>
    </w:p>
    <w:p w14:paraId="2CF68CAC" w14:textId="77777777" w:rsidR="002565E6" w:rsidRPr="002565E6" w:rsidRDefault="002565E6" w:rsidP="002565E6">
      <w:pPr>
        <w:pStyle w:val="EndNoteBibliography"/>
        <w:spacing w:after="0"/>
      </w:pPr>
      <w:bookmarkStart w:id="631" w:name="_ENREF_32"/>
      <w:r w:rsidRPr="002565E6">
        <w:t>32.</w:t>
      </w:r>
      <w:r w:rsidRPr="002565E6">
        <w:tab/>
        <w:t>Pharmacy Guild of Australia. 2022.</w:t>
      </w:r>
      <w:bookmarkEnd w:id="631"/>
    </w:p>
    <w:p w14:paraId="787E4897" w14:textId="77777777" w:rsidR="002565E6" w:rsidRPr="002565E6" w:rsidRDefault="002565E6" w:rsidP="002565E6">
      <w:pPr>
        <w:pStyle w:val="EndNoteBibliography"/>
        <w:spacing w:after="0"/>
      </w:pPr>
      <w:bookmarkStart w:id="632" w:name="_ENREF_33"/>
      <w:r w:rsidRPr="002565E6">
        <w:t>33.</w:t>
      </w:r>
      <w:r w:rsidRPr="002565E6">
        <w:tab/>
        <w:t>Hua A, Shen F, Ge X. State-based legal requirements for Schedule 8 prescriptions: why so complicated? . Med J Aust. 2015;203(3):64-6.</w:t>
      </w:r>
      <w:bookmarkEnd w:id="632"/>
    </w:p>
    <w:p w14:paraId="4C45CDD1" w14:textId="77777777" w:rsidR="002565E6" w:rsidRPr="002565E6" w:rsidRDefault="002565E6" w:rsidP="002565E6">
      <w:pPr>
        <w:pStyle w:val="EndNoteBibliography"/>
        <w:spacing w:after="0"/>
      </w:pPr>
      <w:bookmarkStart w:id="633" w:name="_ENREF_34"/>
      <w:r w:rsidRPr="002565E6">
        <w:t>34.</w:t>
      </w:r>
      <w:r w:rsidRPr="002565E6">
        <w:tab/>
        <w:t>Hall N, Le L, Majmudar I, Mihalopoulos C. Barries to accessing opioid substitution treatment for opioid use disorder: A systematic review from the client perspective. Drug Alcohol Depend. 2021;221.</w:t>
      </w:r>
      <w:bookmarkEnd w:id="633"/>
    </w:p>
    <w:p w14:paraId="48D7D8DF" w14:textId="77777777" w:rsidR="002565E6" w:rsidRPr="002565E6" w:rsidRDefault="002565E6" w:rsidP="002565E6">
      <w:pPr>
        <w:pStyle w:val="EndNoteBibliography"/>
        <w:spacing w:after="0"/>
      </w:pPr>
      <w:bookmarkStart w:id="634" w:name="_ENREF_35"/>
      <w:r w:rsidRPr="002565E6">
        <w:t>35.</w:t>
      </w:r>
      <w:r w:rsidRPr="002565E6">
        <w:tab/>
        <w:t>Pharmacy Guild of Australia. Opioid Treatment Program Resource Manual. Bella Vista, New South Wales Pharmacy Guild of Australia Branch N.</w:t>
      </w:r>
      <w:bookmarkEnd w:id="634"/>
    </w:p>
    <w:p w14:paraId="0B6F7B1B" w14:textId="77777777" w:rsidR="002565E6" w:rsidRPr="002565E6" w:rsidRDefault="002565E6" w:rsidP="002565E6">
      <w:pPr>
        <w:pStyle w:val="EndNoteBibliography"/>
        <w:spacing w:after="0"/>
      </w:pPr>
      <w:bookmarkStart w:id="635" w:name="_ENREF_36"/>
      <w:r w:rsidRPr="002565E6">
        <w:t>36.</w:t>
      </w:r>
      <w:r w:rsidRPr="002565E6">
        <w:tab/>
        <w:t>Alberta College of Pharmacy. Opioid Agonist Therapy (OAT) guidelines 2021.</w:t>
      </w:r>
      <w:bookmarkEnd w:id="635"/>
    </w:p>
    <w:p w14:paraId="02EA93A6" w14:textId="77777777" w:rsidR="002565E6" w:rsidRPr="002565E6" w:rsidRDefault="002565E6" w:rsidP="002565E6">
      <w:pPr>
        <w:pStyle w:val="EndNoteBibliography"/>
        <w:spacing w:after="0"/>
      </w:pPr>
      <w:bookmarkStart w:id="636" w:name="_ENREF_37"/>
      <w:r w:rsidRPr="002565E6">
        <w:t>37.</w:t>
      </w:r>
      <w:r w:rsidRPr="002565E6">
        <w:tab/>
        <w:t>Clinical Guidelines on Drug Misuse and Dependence Update 2017 Independent Expert Working Group. Drug misuse and dependence: UK guidelines on clinical management London: Department of Health 2017.</w:t>
      </w:r>
      <w:bookmarkEnd w:id="636"/>
    </w:p>
    <w:p w14:paraId="337F8380" w14:textId="77777777" w:rsidR="002565E6" w:rsidRPr="002565E6" w:rsidRDefault="002565E6" w:rsidP="002565E6">
      <w:pPr>
        <w:pStyle w:val="EndNoteBibliography"/>
        <w:spacing w:after="0"/>
      </w:pPr>
      <w:bookmarkStart w:id="637" w:name="_ENREF_38"/>
      <w:r w:rsidRPr="002565E6">
        <w:t>38.</w:t>
      </w:r>
      <w:r w:rsidRPr="002565E6">
        <w:tab/>
        <w:t>Canadian Research Initiative in Substance Misuse. CRISM National Guideline for the Clinical Management of Opioid Use 2020.</w:t>
      </w:r>
      <w:bookmarkEnd w:id="637"/>
    </w:p>
    <w:p w14:paraId="0BEE7127" w14:textId="77777777" w:rsidR="002565E6" w:rsidRPr="002565E6" w:rsidRDefault="002565E6" w:rsidP="002565E6">
      <w:pPr>
        <w:pStyle w:val="EndNoteBibliography"/>
        <w:spacing w:after="0"/>
      </w:pPr>
      <w:bookmarkStart w:id="638" w:name="_ENREF_39"/>
      <w:r w:rsidRPr="002565E6">
        <w:lastRenderedPageBreak/>
        <w:t>39.</w:t>
      </w:r>
      <w:r w:rsidRPr="002565E6">
        <w:tab/>
        <w:t>British Columbia Centre on Substance Use. A Guideline for the Clinical Management of Opioid Use Disorder 2017.</w:t>
      </w:r>
      <w:bookmarkEnd w:id="638"/>
    </w:p>
    <w:p w14:paraId="6B274115" w14:textId="77777777" w:rsidR="002565E6" w:rsidRPr="002565E6" w:rsidRDefault="002565E6" w:rsidP="002565E6">
      <w:pPr>
        <w:pStyle w:val="EndNoteBibliography"/>
        <w:spacing w:after="0"/>
      </w:pPr>
      <w:bookmarkStart w:id="639" w:name="_ENREF_40"/>
      <w:r w:rsidRPr="002565E6">
        <w:t>40.</w:t>
      </w:r>
      <w:r w:rsidRPr="002565E6">
        <w:tab/>
        <w:t>Institut Universitaire Sur Les Dependances. Quebec Guide to Improving Practices in the Management of Opioid Use Disorder Montreal, Quebec; 2020.</w:t>
      </w:r>
      <w:bookmarkEnd w:id="639"/>
    </w:p>
    <w:p w14:paraId="4E42EFED" w14:textId="77777777" w:rsidR="002565E6" w:rsidRPr="002565E6" w:rsidRDefault="002565E6" w:rsidP="002565E6">
      <w:pPr>
        <w:pStyle w:val="EndNoteBibliography"/>
        <w:spacing w:after="0"/>
      </w:pPr>
      <w:bookmarkStart w:id="640" w:name="_ENREF_41"/>
      <w:r w:rsidRPr="002565E6">
        <w:t>41.</w:t>
      </w:r>
      <w:r w:rsidRPr="002565E6">
        <w:tab/>
        <w:t>Centre for Addiction and Mental Health. Opioid Agonist Therapy: A Synthesis of Canadian Guidelines for Treating Opioid Use Disorder 2021.</w:t>
      </w:r>
      <w:bookmarkEnd w:id="640"/>
    </w:p>
    <w:p w14:paraId="2A40CC58" w14:textId="0ABE5F92" w:rsidR="002565E6" w:rsidRPr="002565E6" w:rsidRDefault="002565E6" w:rsidP="00034C4E">
      <w:pPr>
        <w:pStyle w:val="EndNoteBibliography"/>
        <w:spacing w:after="0"/>
        <w:jc w:val="left"/>
      </w:pPr>
      <w:bookmarkStart w:id="641" w:name="_ENREF_42"/>
      <w:r w:rsidRPr="002565E6">
        <w:t>42.</w:t>
      </w:r>
      <w:r w:rsidRPr="002565E6">
        <w:tab/>
        <w:t xml:space="preserve">Faggiano F, Vigna-Taglianti F, Versino E, Lemma P. Methadone maintenance at different dosages for opioid dependence. Cochrane Database of Systematic Reviews [Internet]. 2003; (3). Available from: </w:t>
      </w:r>
      <w:hyperlink r:id="rId32" w:history="1">
        <w:r w:rsidRPr="002565E6">
          <w:rPr>
            <w:rStyle w:val="Hyperlink"/>
          </w:rPr>
          <w:t>http://cochranelibrary-wiley.com/doi/10.1002/14651858.CD002208/abstract</w:t>
        </w:r>
      </w:hyperlink>
      <w:r w:rsidRPr="002565E6">
        <w:t>.</w:t>
      </w:r>
      <w:bookmarkEnd w:id="641"/>
    </w:p>
    <w:p w14:paraId="7F80805E" w14:textId="77777777" w:rsidR="002565E6" w:rsidRPr="002565E6" w:rsidRDefault="002565E6" w:rsidP="002565E6">
      <w:pPr>
        <w:pStyle w:val="EndNoteBibliography"/>
        <w:spacing w:after="0"/>
      </w:pPr>
      <w:bookmarkStart w:id="642" w:name="_ENREF_43"/>
      <w:r w:rsidRPr="002565E6">
        <w:t>43.</w:t>
      </w:r>
      <w:r w:rsidRPr="002565E6">
        <w:tab/>
        <w:t>Greenwald MK, Comer SD, Fiellin DA. Buprenorphine maintenance and mu-opioid receptor availability in the treatment of opioid use disorder: implications for clinical use and policy. . Drug Alcohol Depend. 2014;144:1-11.</w:t>
      </w:r>
      <w:bookmarkEnd w:id="642"/>
    </w:p>
    <w:p w14:paraId="6A77235A" w14:textId="77777777" w:rsidR="002565E6" w:rsidRPr="002565E6" w:rsidRDefault="002565E6" w:rsidP="002565E6">
      <w:pPr>
        <w:pStyle w:val="EndNoteBibliography"/>
        <w:spacing w:after="0"/>
      </w:pPr>
      <w:bookmarkStart w:id="643" w:name="_ENREF_44"/>
      <w:r w:rsidRPr="002565E6">
        <w:t>44.</w:t>
      </w:r>
      <w:r w:rsidRPr="002565E6">
        <w:tab/>
        <w:t>Jin H, Marshall BDL, Degenhardt L, Strang J, Hickman M, Fiellin DA, et al. Global opioid agonist treatment: a review of clinical practices by country. Addiction. 2020;115(12):2243-54.</w:t>
      </w:r>
      <w:bookmarkEnd w:id="643"/>
    </w:p>
    <w:p w14:paraId="5C02FEAC" w14:textId="3EF72418" w:rsidR="002565E6" w:rsidRPr="002565E6" w:rsidRDefault="002565E6" w:rsidP="002565E6">
      <w:pPr>
        <w:pStyle w:val="EndNoteBibliography"/>
        <w:spacing w:after="0"/>
      </w:pPr>
      <w:bookmarkStart w:id="644" w:name="_ENREF_45"/>
      <w:r w:rsidRPr="002565E6">
        <w:t>45.</w:t>
      </w:r>
      <w:r w:rsidRPr="002565E6">
        <w:tab/>
        <w:t xml:space="preserve">Public Health Scotland. Community Dispensing: Dispenser Remuneration Edinburgh, Scotland 2020 [Available from: </w:t>
      </w:r>
      <w:hyperlink r:id="rId33" w:history="1">
        <w:r w:rsidRPr="002565E6">
          <w:rPr>
            <w:rStyle w:val="Hyperlink"/>
          </w:rPr>
          <w:t>https://www.isdscotland.org/Health-Topics/Prescribing-and-Medicines/Community-Dispensing/Dispenser-Remuneration/</w:t>
        </w:r>
      </w:hyperlink>
      <w:r w:rsidRPr="002565E6">
        <w:t>.</w:t>
      </w:r>
      <w:bookmarkEnd w:id="644"/>
    </w:p>
    <w:p w14:paraId="48FAF20C" w14:textId="3889E34D" w:rsidR="002565E6" w:rsidRPr="002565E6" w:rsidRDefault="002565E6" w:rsidP="002565E6">
      <w:pPr>
        <w:pStyle w:val="EndNoteBibliography"/>
        <w:spacing w:after="0"/>
      </w:pPr>
      <w:bookmarkStart w:id="645" w:name="_ENREF_46"/>
      <w:r w:rsidRPr="002565E6">
        <w:t>46.</w:t>
      </w:r>
      <w:r w:rsidRPr="002565E6">
        <w:tab/>
        <w:t xml:space="preserve">Pharmaceutical Services Negotiating Committee. Instalment dispensing (FP10 and FP10MDA including liquid oral methadone) London, England 2022 [Available from: </w:t>
      </w:r>
      <w:hyperlink r:id="rId34" w:history="1">
        <w:r w:rsidRPr="002565E6">
          <w:rPr>
            <w:rStyle w:val="Hyperlink"/>
          </w:rPr>
          <w:t>https://psnc.org.uk/dispensing-supply/dispensing-controlled-drugs/instalment-dispensing-fp10-and-fp10mda-including-liquid-oral-methadone/</w:t>
        </w:r>
      </w:hyperlink>
      <w:r w:rsidRPr="002565E6">
        <w:t>.</w:t>
      </w:r>
      <w:bookmarkEnd w:id="645"/>
    </w:p>
    <w:p w14:paraId="3B63AA35" w14:textId="77777777" w:rsidR="002565E6" w:rsidRPr="002565E6" w:rsidRDefault="002565E6" w:rsidP="002565E6">
      <w:pPr>
        <w:pStyle w:val="EndNoteBibliography"/>
        <w:spacing w:after="0"/>
      </w:pPr>
      <w:bookmarkStart w:id="646" w:name="_ENREF_47"/>
      <w:r w:rsidRPr="002565E6">
        <w:t>47.</w:t>
      </w:r>
      <w:r w:rsidRPr="002565E6">
        <w:tab/>
        <w:t xml:space="preserve">National Health Service. Prescribing Guidance for Substance Misuse Services 2019 </w:t>
      </w:r>
      <w:bookmarkEnd w:id="646"/>
    </w:p>
    <w:p w14:paraId="4C9878F8" w14:textId="77777777" w:rsidR="002565E6" w:rsidRPr="002565E6" w:rsidRDefault="002565E6" w:rsidP="002565E6">
      <w:pPr>
        <w:pStyle w:val="EndNoteBibliography"/>
        <w:spacing w:after="0"/>
      </w:pPr>
      <w:bookmarkStart w:id="647" w:name="_ENREF_48"/>
      <w:r w:rsidRPr="002565E6">
        <w:t>48.</w:t>
      </w:r>
      <w:r w:rsidRPr="002565E6">
        <w:tab/>
        <w:t>Gilman M, Li L, Hudson K, Lumley T, Myers G, Corte C, et al. Current and future options for opioid use disorder: a survey assessing real-world opinion of service users on novel therapies including depot formulations of buprenorphine. Patient Prefer Adherence 2018;12:2123-9.</w:t>
      </w:r>
      <w:bookmarkEnd w:id="647"/>
    </w:p>
    <w:p w14:paraId="0C561E2E" w14:textId="77777777" w:rsidR="002565E6" w:rsidRPr="002565E6" w:rsidRDefault="002565E6" w:rsidP="002565E6">
      <w:pPr>
        <w:pStyle w:val="EndNoteBibliography"/>
        <w:spacing w:after="0"/>
      </w:pPr>
      <w:bookmarkStart w:id="648" w:name="_ENREF_49"/>
      <w:r w:rsidRPr="002565E6">
        <w:t>49.</w:t>
      </w:r>
      <w:r w:rsidRPr="002565E6">
        <w:tab/>
        <w:t>Neale J, Tompkins CNE, McDonald R, Strang J. Implants and depot injections for treating opioid dependence: Qualitative study of people who use or have used heroin. Drug Alcohol Depend. 2018;189:1-7.</w:t>
      </w:r>
      <w:bookmarkEnd w:id="648"/>
    </w:p>
    <w:p w14:paraId="7DA7D1B7" w14:textId="77777777" w:rsidR="002565E6" w:rsidRPr="002565E6" w:rsidRDefault="002565E6" w:rsidP="002565E6">
      <w:pPr>
        <w:pStyle w:val="EndNoteBibliography"/>
        <w:spacing w:after="0"/>
      </w:pPr>
      <w:bookmarkStart w:id="649" w:name="_ENREF_50"/>
      <w:r w:rsidRPr="002565E6">
        <w:t>50.</w:t>
      </w:r>
      <w:r w:rsidRPr="002565E6">
        <w:tab/>
        <w:t>Tompkins CNE, Neale J, Strang J. Opioid users' willingness to receive prolonged-release buprenorphine depot injections for opioid use disorder. J Subst Abuse Treat. 2019;104:64-71.</w:t>
      </w:r>
      <w:bookmarkEnd w:id="649"/>
    </w:p>
    <w:p w14:paraId="7E581CC4" w14:textId="77777777" w:rsidR="002565E6" w:rsidRPr="002565E6" w:rsidRDefault="002565E6" w:rsidP="002565E6">
      <w:pPr>
        <w:pStyle w:val="EndNoteBibliography"/>
        <w:spacing w:after="0"/>
      </w:pPr>
      <w:bookmarkStart w:id="650" w:name="_ENREF_51"/>
      <w:r w:rsidRPr="002565E6">
        <w:t>51.</w:t>
      </w:r>
      <w:r w:rsidRPr="002565E6">
        <w:tab/>
        <w:t>Haight BR, Learned SM, Laffont CM, Fudala PJ, Zhao Y, Garofalo AS, et al. Efficacy and safety of a monthly buprenorphine depot injection for opioid use disorder: a multicentre, randomised, double-blind, placebo-controlled, phase 3 trial. Lancet. 2019;393(10173):779-90.</w:t>
      </w:r>
      <w:bookmarkEnd w:id="650"/>
    </w:p>
    <w:p w14:paraId="4D58C548" w14:textId="77777777" w:rsidR="002565E6" w:rsidRPr="002565E6" w:rsidRDefault="002565E6" w:rsidP="002565E6">
      <w:pPr>
        <w:pStyle w:val="EndNoteBibliography"/>
        <w:spacing w:after="0"/>
      </w:pPr>
      <w:bookmarkStart w:id="651" w:name="_ENREF_52"/>
      <w:r w:rsidRPr="002565E6">
        <w:t>52.</w:t>
      </w:r>
      <w:r w:rsidRPr="002565E6">
        <w:tab/>
        <w:t>Lofwall MR, Walsh SV, Nunes EV, Bailey GL, Sigmon SC, Kampman KM, et al. Weekly and Monthly Subcutaneous Buprenorphine Depot Formulations vs Daily Sublingual Buprenorphine with Naloxone for Treatment of Opioid Use Disorder: A Randomized Clinical Trial. . JAMA Internal Medicine. 2018;178(6):764-73.</w:t>
      </w:r>
      <w:bookmarkEnd w:id="651"/>
    </w:p>
    <w:p w14:paraId="6BD25270" w14:textId="77777777" w:rsidR="002565E6" w:rsidRPr="002565E6" w:rsidRDefault="002565E6" w:rsidP="002565E6">
      <w:pPr>
        <w:pStyle w:val="EndNoteBibliography"/>
        <w:spacing w:after="0"/>
      </w:pPr>
      <w:bookmarkStart w:id="652" w:name="_ENREF_53"/>
      <w:r w:rsidRPr="002565E6">
        <w:t>53.</w:t>
      </w:r>
      <w:r w:rsidRPr="002565E6">
        <w:tab/>
        <w:t>Straub A, Pastor A, Lloyd-Jones M, O'Neill H, Bonomo Y. The development and implementation of a rapid-access long-acting injectable buprenorphine clinic in metropolitan Melbourne during the COVID-19 pandemic. Drug Alcohol Rev. 2021;40(4):681-2.</w:t>
      </w:r>
      <w:bookmarkEnd w:id="652"/>
    </w:p>
    <w:p w14:paraId="0AD8C860" w14:textId="77777777" w:rsidR="002565E6" w:rsidRPr="002565E6" w:rsidRDefault="002565E6" w:rsidP="002565E6">
      <w:pPr>
        <w:pStyle w:val="EndNoteBibliography"/>
        <w:spacing w:after="0"/>
      </w:pPr>
      <w:bookmarkStart w:id="653" w:name="_ENREF_54"/>
      <w:r w:rsidRPr="002565E6">
        <w:t>54.</w:t>
      </w:r>
      <w:r w:rsidRPr="002565E6">
        <w:tab/>
        <w:t>Radfar SR, De Jong CAJ, Farhoudian A, Ebrahimi M, Rafei P, Vahidi M, et al. Reorganization of Substance Use Treatment and Harm Reduction Services During the COVID-19 Pandemic: A Global Survey. Front Psychiatry. 2021;12:639393.</w:t>
      </w:r>
      <w:bookmarkEnd w:id="653"/>
    </w:p>
    <w:p w14:paraId="4009E044" w14:textId="77777777" w:rsidR="002565E6" w:rsidRPr="002565E6" w:rsidRDefault="002565E6" w:rsidP="002565E6">
      <w:pPr>
        <w:pStyle w:val="EndNoteBibliography"/>
        <w:spacing w:after="0"/>
      </w:pPr>
      <w:bookmarkStart w:id="654" w:name="_ENREF_55"/>
      <w:r w:rsidRPr="002565E6">
        <w:lastRenderedPageBreak/>
        <w:t>55.</w:t>
      </w:r>
      <w:r w:rsidRPr="002565E6">
        <w:tab/>
        <w:t>Arunogiri S, Lintzeris N. Depot buprenorphine during COVID-19 in Australia: Opportunities and challenges. J Subst Abuse Treat. 2021;124:108221.</w:t>
      </w:r>
      <w:bookmarkEnd w:id="654"/>
    </w:p>
    <w:p w14:paraId="5B73863A" w14:textId="77777777" w:rsidR="002565E6" w:rsidRPr="002565E6" w:rsidRDefault="002565E6" w:rsidP="002565E6">
      <w:pPr>
        <w:pStyle w:val="EndNoteBibliography"/>
        <w:spacing w:after="0"/>
      </w:pPr>
      <w:bookmarkStart w:id="655" w:name="_ENREF_56"/>
      <w:r w:rsidRPr="002565E6">
        <w:t>56.</w:t>
      </w:r>
      <w:r w:rsidRPr="002565E6">
        <w:tab/>
        <w:t>Lintzeris N, Dunlop A, Haber P, Lubman D, Graham R, Hutchinson S, et al. Patient-Reported Outcomes of Treatment of Opioid Dependence With Weekly and Monthly Subcutaneous Depot vs Daily Sublingual Buprenorphine. JAMA Network Open 2021;4(5):e219041.</w:t>
      </w:r>
      <w:bookmarkEnd w:id="655"/>
    </w:p>
    <w:p w14:paraId="4F826BF0" w14:textId="77777777" w:rsidR="002565E6" w:rsidRPr="002565E6" w:rsidRDefault="002565E6" w:rsidP="002565E6">
      <w:pPr>
        <w:pStyle w:val="EndNoteBibliography"/>
        <w:spacing w:after="0"/>
      </w:pPr>
      <w:bookmarkStart w:id="656" w:name="_ENREF_57"/>
      <w:r w:rsidRPr="002565E6">
        <w:t>57.</w:t>
      </w:r>
      <w:r w:rsidRPr="002565E6">
        <w:tab/>
        <w:t>Parsons G, Ragbir C, D'Agnone O, Gibbs A, Littlewood R, Hard B. Patient-Reported Outcomes, Experiences and Satisfaction with Weekly and Monthly Injectable Prolonged-Release Buprenorphine. Subst Abuse Rehabil. 2020;11:41-7.</w:t>
      </w:r>
      <w:bookmarkEnd w:id="656"/>
    </w:p>
    <w:p w14:paraId="64EC1F63" w14:textId="77777777" w:rsidR="002565E6" w:rsidRPr="002565E6" w:rsidRDefault="002565E6" w:rsidP="002565E6">
      <w:pPr>
        <w:pStyle w:val="EndNoteBibliography"/>
        <w:spacing w:after="0"/>
      </w:pPr>
      <w:bookmarkStart w:id="657" w:name="_ENREF_58"/>
      <w:r w:rsidRPr="002565E6">
        <w:t>58.</w:t>
      </w:r>
      <w:r w:rsidRPr="002565E6">
        <w:tab/>
        <w:t>Barnett A, Savic M, Lintzeris N, Bathish R, Arunogiri S, Dunlop AJ, et al. Tracing the affordances of long-acting injectable depot buprenorphine: A qualitative study of patients' experiences in Australia. Drug Alcohol Depend. 2021;227:108959.</w:t>
      </w:r>
      <w:bookmarkEnd w:id="657"/>
    </w:p>
    <w:p w14:paraId="33A623A8" w14:textId="77777777" w:rsidR="002565E6" w:rsidRPr="002565E6" w:rsidRDefault="002565E6" w:rsidP="002565E6">
      <w:pPr>
        <w:pStyle w:val="EndNoteBibliography"/>
        <w:spacing w:after="0"/>
      </w:pPr>
      <w:bookmarkStart w:id="658" w:name="_ENREF_59"/>
      <w:r w:rsidRPr="002565E6">
        <w:t>59.</w:t>
      </w:r>
      <w:r w:rsidRPr="002565E6">
        <w:tab/>
        <w:t xml:space="preserve">Lancaster K, Gendera S, Treloar C, Rhodes T, Shahbazi J, Byrne M, et al. The social, material and temporal effects of monthly extended-release byprenorphine depot treatment for opioid dependence: an Australian qualitative study. Addiction. Under review </w:t>
      </w:r>
      <w:bookmarkEnd w:id="658"/>
    </w:p>
    <w:p w14:paraId="4A3EE811" w14:textId="77777777" w:rsidR="002565E6" w:rsidRPr="002565E6" w:rsidRDefault="002565E6" w:rsidP="002565E6">
      <w:pPr>
        <w:pStyle w:val="EndNoteBibliography"/>
        <w:spacing w:after="0"/>
      </w:pPr>
      <w:bookmarkStart w:id="659" w:name="_ENREF_60"/>
      <w:r w:rsidRPr="002565E6">
        <w:t>60.</w:t>
      </w:r>
      <w:r w:rsidRPr="002565E6">
        <w:tab/>
        <w:t>Treloar C, Lancaster K, Gendera S, Rhodes T, Shabhazi J, Byrne M, et al. How can a new formulation reduce stigma linked to opiate agonist treatment? Place, time and things in the experience of extended-release buprenorphine. . International Journal of Drug Policy. Under review.</w:t>
      </w:r>
      <w:bookmarkEnd w:id="659"/>
    </w:p>
    <w:p w14:paraId="724FC985" w14:textId="77777777" w:rsidR="002565E6" w:rsidRPr="002565E6" w:rsidRDefault="002565E6" w:rsidP="002565E6">
      <w:pPr>
        <w:pStyle w:val="EndNoteBibliography"/>
        <w:spacing w:after="0"/>
      </w:pPr>
      <w:bookmarkStart w:id="660" w:name="_ENREF_61"/>
      <w:r w:rsidRPr="002565E6">
        <w:t>61.</w:t>
      </w:r>
      <w:r w:rsidRPr="002565E6">
        <w:tab/>
        <w:t>Chetty M, Kenworthy JJ, Langham S, Walker A, WC D. A systematic review of health economic models of opioid agonist therapies in maintenance treatment of non-prescription opioid dependence. Addiction Science and Clinical Practice. 2017;12(6).</w:t>
      </w:r>
      <w:bookmarkEnd w:id="660"/>
    </w:p>
    <w:p w14:paraId="525F89D3" w14:textId="77777777" w:rsidR="002565E6" w:rsidRPr="002565E6" w:rsidRDefault="002565E6" w:rsidP="002565E6">
      <w:pPr>
        <w:pStyle w:val="EndNoteBibliography"/>
        <w:spacing w:after="0"/>
      </w:pPr>
      <w:bookmarkStart w:id="661" w:name="_ENREF_62"/>
      <w:r w:rsidRPr="002565E6">
        <w:t>62.</w:t>
      </w:r>
      <w:r w:rsidRPr="002565E6">
        <w:tab/>
        <w:t>Marsden J. Extended-release Pharmacotherapy for Opioid Use Disorder. (unpublished manuscript).</w:t>
      </w:r>
      <w:bookmarkEnd w:id="661"/>
    </w:p>
    <w:p w14:paraId="398461BF" w14:textId="77777777" w:rsidR="002565E6" w:rsidRPr="002565E6" w:rsidRDefault="002565E6" w:rsidP="002565E6">
      <w:pPr>
        <w:pStyle w:val="EndNoteBibliography"/>
        <w:spacing w:after="0"/>
      </w:pPr>
      <w:bookmarkStart w:id="662" w:name="_ENREF_63"/>
      <w:r w:rsidRPr="002565E6">
        <w:t>63.</w:t>
      </w:r>
      <w:r w:rsidRPr="002565E6">
        <w:tab/>
        <w:t>Marsden J, Kelleher M, Hoare Z, Hughes D, Bisla J, Cape A, et al. Extended-release pharmacotherapy for opioid use disorder (EXPO): protocol for an open-label randomised controlled trial of the effectiveness and cost-effectiveness of injectable buprenorphine versus sublingual tablet buprenorphine and oral liquid methadone. Trials. 2022;23(1):697.</w:t>
      </w:r>
      <w:bookmarkEnd w:id="662"/>
    </w:p>
    <w:p w14:paraId="0B0FA85C" w14:textId="77777777" w:rsidR="002565E6" w:rsidRPr="002565E6" w:rsidRDefault="002565E6" w:rsidP="002565E6">
      <w:pPr>
        <w:pStyle w:val="EndNoteBibliography"/>
        <w:spacing w:after="0"/>
      </w:pPr>
      <w:bookmarkStart w:id="663" w:name="_ENREF_64"/>
      <w:r w:rsidRPr="002565E6">
        <w:t>64.</w:t>
      </w:r>
      <w:r w:rsidRPr="002565E6">
        <w:tab/>
        <w:t>Gisev N, Campbell. G, Lalic S, Larney S, Peacock A, Nielsen S, et al. Current Opioid Access, Use and Problems in Australian Jurisdictions. Current Addiction Reports 2018;5(4):464-72.</w:t>
      </w:r>
      <w:bookmarkEnd w:id="663"/>
    </w:p>
    <w:p w14:paraId="10F70F7D" w14:textId="77777777" w:rsidR="002565E6" w:rsidRPr="002565E6" w:rsidRDefault="002565E6" w:rsidP="002565E6">
      <w:pPr>
        <w:pStyle w:val="EndNoteBibliography"/>
        <w:spacing w:after="0"/>
      </w:pPr>
      <w:bookmarkStart w:id="664" w:name="_ENREF_65"/>
      <w:r w:rsidRPr="002565E6">
        <w:t>65.</w:t>
      </w:r>
      <w:r w:rsidRPr="002565E6">
        <w:tab/>
        <w:t>Gowing L, Farrell MF, Bornemann R, Sullivan LE, Ali R. Oral substitution treatment of injecting opioid users for prevention of HIV infection. Cochrane Database Syst Rev. 2011(8):CD004145.</w:t>
      </w:r>
      <w:bookmarkEnd w:id="664"/>
    </w:p>
    <w:p w14:paraId="7D2ED7B0" w14:textId="77777777" w:rsidR="002565E6" w:rsidRPr="002565E6" w:rsidRDefault="002565E6" w:rsidP="002565E6">
      <w:pPr>
        <w:pStyle w:val="EndNoteBibliography"/>
        <w:spacing w:after="0"/>
      </w:pPr>
      <w:bookmarkStart w:id="665" w:name="_ENREF_66"/>
      <w:r w:rsidRPr="002565E6">
        <w:t>66.</w:t>
      </w:r>
      <w:r w:rsidRPr="002565E6">
        <w:tab/>
        <w:t>MacArthur GJ, Minozzi S, Martin N, Vickerman P, Deren S, Bruneau J, et al. Opiate substitution treatment and HIV transmission in people who inject drugs: Systematic review and meta-analysis. BMJ (Online). 2012;345 (7879) (no pagination)(e5945).</w:t>
      </w:r>
      <w:bookmarkEnd w:id="665"/>
    </w:p>
    <w:p w14:paraId="24841CAE" w14:textId="77777777" w:rsidR="002565E6" w:rsidRPr="002565E6" w:rsidRDefault="002565E6" w:rsidP="002565E6">
      <w:pPr>
        <w:pStyle w:val="EndNoteBibliography"/>
        <w:spacing w:after="0"/>
      </w:pPr>
      <w:bookmarkStart w:id="666" w:name="_ENREF_67"/>
      <w:r w:rsidRPr="002565E6">
        <w:t>67.</w:t>
      </w:r>
      <w:r w:rsidRPr="002565E6">
        <w:tab/>
        <w:t>Platt L, Minozzi S, Reed J, Vickerman P, Hagan H, French C, et al. Needle syringe programmes and opioid substitution therapy for preventing hepatitis C transmission in people who inject drugs. Cochrane Database Syst Rev. 2017;9:CD012021.</w:t>
      </w:r>
      <w:bookmarkEnd w:id="666"/>
    </w:p>
    <w:p w14:paraId="556B348D" w14:textId="77777777" w:rsidR="002565E6" w:rsidRPr="002565E6" w:rsidRDefault="002565E6" w:rsidP="002565E6">
      <w:pPr>
        <w:pStyle w:val="EndNoteBibliography"/>
        <w:spacing w:after="0"/>
      </w:pPr>
      <w:bookmarkStart w:id="667" w:name="_ENREF_68"/>
      <w:r w:rsidRPr="002565E6">
        <w:t>68.</w:t>
      </w:r>
      <w:r w:rsidRPr="002565E6">
        <w:tab/>
        <w:t>Low AJ, Mburu G, Welton NJ, May MT, Davies CF, French C, et al. Impact of Opioid Substitution Therapy on Antiretroviral Therapy Outcomes: A Systematic Review and Meta-Analysis. Clinical Infectious Diseases. 2016;63(8):1094-104.</w:t>
      </w:r>
      <w:bookmarkEnd w:id="667"/>
    </w:p>
    <w:p w14:paraId="3F8951D3" w14:textId="77777777" w:rsidR="002565E6" w:rsidRPr="002565E6" w:rsidRDefault="002565E6" w:rsidP="002565E6">
      <w:pPr>
        <w:pStyle w:val="EndNoteBibliography"/>
        <w:spacing w:after="0"/>
      </w:pPr>
      <w:bookmarkStart w:id="668" w:name="_ENREF_69"/>
      <w:r w:rsidRPr="002565E6">
        <w:t>69.</w:t>
      </w:r>
      <w:r w:rsidRPr="002565E6">
        <w:tab/>
        <w:t>Maglione MA, Raaen L, Chen C, Azhar G, Shahidinia N, Shen M, et al. Effects of medication assisted treatment (MAT) for opioid use disorder on functional outcomes: A systematic review. J Subst Abuse Treat. 2018;89:28-51.</w:t>
      </w:r>
      <w:bookmarkEnd w:id="668"/>
    </w:p>
    <w:p w14:paraId="4AA2649F" w14:textId="77777777" w:rsidR="002565E6" w:rsidRPr="002565E6" w:rsidRDefault="002565E6" w:rsidP="002565E6">
      <w:pPr>
        <w:pStyle w:val="EndNoteBibliography"/>
        <w:spacing w:after="0"/>
      </w:pPr>
      <w:bookmarkStart w:id="669" w:name="_ENREF_70"/>
      <w:r w:rsidRPr="002565E6">
        <w:lastRenderedPageBreak/>
        <w:t>70.</w:t>
      </w:r>
      <w:r w:rsidRPr="002565E6">
        <w:tab/>
        <w:t>Santo T, Jr, Clark B, Hickman M, Grebely J, Campbell G, Sordo L, et al. Association of Opioid Agonist Treatment With All-Cause Mortality and Specific Causes of Death Among People With Opioid Dependence: A Systematic Review and Meta-analysis. JAMA Psychiatry. 2021;78(9):979-93.</w:t>
      </w:r>
      <w:bookmarkEnd w:id="669"/>
    </w:p>
    <w:p w14:paraId="20A2E4E2" w14:textId="77777777" w:rsidR="002565E6" w:rsidRPr="002565E6" w:rsidRDefault="002565E6" w:rsidP="002565E6">
      <w:pPr>
        <w:pStyle w:val="EndNoteBibliography"/>
        <w:spacing w:after="0"/>
      </w:pPr>
      <w:bookmarkStart w:id="670" w:name="_ENREF_71"/>
      <w:r w:rsidRPr="002565E6">
        <w:t>71.</w:t>
      </w:r>
      <w:r w:rsidRPr="002565E6">
        <w:tab/>
        <w:t>Chetty M, Kenworthy JJ, Langham S, Walker A, Dunlop WC. A systematic review of health economic models of opioid agonist therapies in maintenance treatment of non-prescription opioid dependence. Addict Sci Clin Pract. 2017;12(1):6.</w:t>
      </w:r>
      <w:bookmarkEnd w:id="670"/>
    </w:p>
    <w:p w14:paraId="49BF6DA6" w14:textId="0555F348" w:rsidR="002565E6" w:rsidRPr="002565E6" w:rsidRDefault="002565E6" w:rsidP="002565E6">
      <w:pPr>
        <w:pStyle w:val="EndNoteBibliography"/>
        <w:spacing w:after="0"/>
      </w:pPr>
      <w:bookmarkStart w:id="671" w:name="_ENREF_72"/>
      <w:r w:rsidRPr="002565E6">
        <w:t>72.</w:t>
      </w:r>
      <w:r w:rsidRPr="002565E6">
        <w:tab/>
        <w:t xml:space="preserve">Mattick RP, Breen C, Kimber J, Davoli M. Buprenorphine maintenance versus placebo or methadone maintenance for opioid dependence2014; (2). Available from: </w:t>
      </w:r>
      <w:hyperlink r:id="rId35" w:history="1">
        <w:r w:rsidRPr="002565E6">
          <w:rPr>
            <w:rStyle w:val="Hyperlink"/>
          </w:rPr>
          <w:t>http://cochranelibrary-wiley.com/doi/10.1002/14651858.CD002207.pub4/abstract</w:t>
        </w:r>
      </w:hyperlink>
      <w:r w:rsidRPr="002565E6">
        <w:t>.</w:t>
      </w:r>
      <w:bookmarkEnd w:id="671"/>
    </w:p>
    <w:p w14:paraId="533E376E" w14:textId="77777777" w:rsidR="002565E6" w:rsidRPr="002565E6" w:rsidRDefault="002565E6" w:rsidP="002565E6">
      <w:pPr>
        <w:pStyle w:val="EndNoteBibliography"/>
        <w:spacing w:after="0"/>
      </w:pPr>
      <w:bookmarkStart w:id="672" w:name="_ENREF_73"/>
      <w:r w:rsidRPr="002565E6">
        <w:t>73.</w:t>
      </w:r>
      <w:r w:rsidRPr="002565E6">
        <w:tab/>
        <w:t>Bharat C, Larney S, Barbieri S, Dobbins T, Jones NR, Hickman M, et al. The effect of person, treatment and prescriber characteristics on retention in opioid agonist treatment: a 15-year retrospective cohort study. Addiction. 2021;116(11):3139-52.</w:t>
      </w:r>
      <w:bookmarkEnd w:id="672"/>
    </w:p>
    <w:p w14:paraId="2D81E960" w14:textId="77777777" w:rsidR="002565E6" w:rsidRPr="002565E6" w:rsidRDefault="002565E6" w:rsidP="002565E6">
      <w:pPr>
        <w:pStyle w:val="EndNoteBibliography"/>
        <w:spacing w:after="0"/>
      </w:pPr>
      <w:bookmarkStart w:id="673" w:name="_ENREF_74"/>
      <w:r w:rsidRPr="002565E6">
        <w:t>74.</w:t>
      </w:r>
      <w:r w:rsidRPr="002565E6">
        <w:tab/>
        <w:t>Sordo L, Barrio G, Bravo MJ, Indave BI, Degenhardt L, Wiessing L, et al. Mortality risk during and after opioid substitution treatment: systematic review and meta-analysis of cohort studies. BMJ. 2017;357:j1550.</w:t>
      </w:r>
      <w:bookmarkEnd w:id="673"/>
    </w:p>
    <w:p w14:paraId="2BDC483D" w14:textId="77777777" w:rsidR="002565E6" w:rsidRPr="002565E6" w:rsidRDefault="002565E6" w:rsidP="002565E6">
      <w:pPr>
        <w:pStyle w:val="EndNoteBibliography"/>
        <w:spacing w:after="0"/>
      </w:pPr>
      <w:bookmarkStart w:id="674" w:name="_ENREF_75"/>
      <w:r w:rsidRPr="002565E6">
        <w:t>75.</w:t>
      </w:r>
      <w:r w:rsidRPr="002565E6">
        <w:tab/>
        <w:t>Hickman M, Steer C, Tilling K, Lim AG, Marsden J, Millar T, et al. The impact of buprenorphine and methadone on mortality: a primary care cohort study in the United Kingdom. Addiction. 2018;113(8):1461-76.</w:t>
      </w:r>
      <w:bookmarkEnd w:id="674"/>
    </w:p>
    <w:p w14:paraId="26CDF595" w14:textId="77777777" w:rsidR="002565E6" w:rsidRPr="002565E6" w:rsidRDefault="002565E6" w:rsidP="002565E6">
      <w:pPr>
        <w:pStyle w:val="EndNoteBibliography"/>
        <w:spacing w:after="0"/>
      </w:pPr>
      <w:bookmarkStart w:id="675" w:name="_ENREF_76"/>
      <w:r w:rsidRPr="002565E6">
        <w:t>76.</w:t>
      </w:r>
      <w:r w:rsidRPr="002565E6">
        <w:tab/>
        <w:t>Zedler BK, Mann AL, Kim MM, Amick HR, Joyce AR, Murrelle EL, et al. Buprenorphine compared with methadone to treat pregnant women with opioid use disorder: a systematic review and meta-analysis of safety in the mother, fetus and child. Addiction. 2016;111(12):2115-28.</w:t>
      </w:r>
      <w:bookmarkEnd w:id="675"/>
    </w:p>
    <w:p w14:paraId="37210804" w14:textId="475B6F63" w:rsidR="002565E6" w:rsidRPr="002565E6" w:rsidRDefault="002565E6" w:rsidP="002565E6">
      <w:pPr>
        <w:pStyle w:val="EndNoteBibliography"/>
        <w:spacing w:after="0"/>
      </w:pPr>
      <w:bookmarkStart w:id="676" w:name="_ENREF_77"/>
      <w:r w:rsidRPr="002565E6">
        <w:t>77.</w:t>
      </w:r>
      <w:r w:rsidRPr="002565E6">
        <w:tab/>
        <w:t xml:space="preserve">Saulle R, Vecchi S, Gowing L. Supervised dosing with a long-acting opioid medication in the management of opioid dependence2017; (4). Available from: </w:t>
      </w:r>
      <w:hyperlink r:id="rId36" w:history="1">
        <w:r w:rsidRPr="002565E6">
          <w:rPr>
            <w:rStyle w:val="Hyperlink"/>
          </w:rPr>
          <w:t>http://cochranelibrary-wiley.com/doi/10.1002/14651858.CD011983.pub2/abstract</w:t>
        </w:r>
      </w:hyperlink>
      <w:r w:rsidRPr="002565E6">
        <w:t>.</w:t>
      </w:r>
      <w:bookmarkEnd w:id="676"/>
    </w:p>
    <w:p w14:paraId="26B592CB" w14:textId="77777777" w:rsidR="002565E6" w:rsidRPr="002565E6" w:rsidRDefault="002565E6" w:rsidP="002565E6">
      <w:pPr>
        <w:pStyle w:val="EndNoteBibliography"/>
        <w:spacing w:after="0"/>
      </w:pPr>
      <w:bookmarkStart w:id="677" w:name="_ENREF_78"/>
      <w:r w:rsidRPr="002565E6">
        <w:t>78.</w:t>
      </w:r>
      <w:r w:rsidRPr="002565E6">
        <w:tab/>
        <w:t>McEachern J, Adye-White L, Priest KC, Moss E, Gorfinkel L, Wood E, et al. Lacking evidence for the association between frequent urine drug screening and health outcomes of persons on opioid agonist therapy. International Journal of Drug Policy. in press.</w:t>
      </w:r>
      <w:bookmarkEnd w:id="677"/>
    </w:p>
    <w:p w14:paraId="0FCE87BF" w14:textId="77777777" w:rsidR="002565E6" w:rsidRPr="002565E6" w:rsidRDefault="002565E6" w:rsidP="002565E6">
      <w:pPr>
        <w:pStyle w:val="EndNoteBibliography"/>
        <w:spacing w:after="0"/>
      </w:pPr>
      <w:bookmarkStart w:id="678" w:name="_ENREF_79"/>
      <w:r w:rsidRPr="002565E6">
        <w:t>79.</w:t>
      </w:r>
      <w:r w:rsidRPr="002565E6">
        <w:tab/>
        <w:t>Haber PS, Elsayed M, Espinoza D, Lintzeris N, Veillard A-S, Hallinan R. Constipation and other common symptoms reported by women and men in methadone and buprenorphine maintenance treatment. Drug Alcohol Depend. 2017;181:132-9.</w:t>
      </w:r>
      <w:bookmarkEnd w:id="678"/>
    </w:p>
    <w:p w14:paraId="740A2BE4" w14:textId="77777777" w:rsidR="002565E6" w:rsidRPr="002565E6" w:rsidRDefault="002565E6" w:rsidP="002565E6">
      <w:pPr>
        <w:pStyle w:val="EndNoteBibliography"/>
        <w:spacing w:after="0"/>
      </w:pPr>
      <w:bookmarkStart w:id="679" w:name="_ENREF_80"/>
      <w:r w:rsidRPr="002565E6">
        <w:t>80.</w:t>
      </w:r>
      <w:r w:rsidRPr="002565E6">
        <w:tab/>
        <w:t>R. Ling BW, J. Roberts, M. Cretikos, M. V. Howard, P. S. Haber, N. Lintzeris, P. Reeves, A. J. Dunlop, A. Searles. Depot buprenorphine as an opioid agonist therapy in New South Wales correctional centres: a costing model. BMC Health Services Research. 2022;22(1):1326.</w:t>
      </w:r>
      <w:bookmarkEnd w:id="679"/>
    </w:p>
    <w:p w14:paraId="21D8F2BE" w14:textId="77777777" w:rsidR="002565E6" w:rsidRPr="002565E6" w:rsidRDefault="002565E6" w:rsidP="002565E6">
      <w:pPr>
        <w:pStyle w:val="EndNoteBibliography"/>
        <w:spacing w:after="0"/>
      </w:pPr>
      <w:bookmarkStart w:id="680" w:name="_ENREF_81"/>
      <w:r w:rsidRPr="002565E6">
        <w:t>81.</w:t>
      </w:r>
      <w:r w:rsidRPr="002565E6">
        <w:tab/>
        <w:t xml:space="preserve">Doran C, Shanahan M, Mattick R, Ali R, White J, Bell J. Buprenorphine versus methadone maintenance: a cost-effectiveness analysis Drug and Alcohol Dependence. 2003;71(3):295-302 </w:t>
      </w:r>
      <w:bookmarkEnd w:id="680"/>
    </w:p>
    <w:p w14:paraId="17E95EF0" w14:textId="77777777" w:rsidR="002565E6" w:rsidRPr="002565E6" w:rsidRDefault="002565E6" w:rsidP="002565E6">
      <w:pPr>
        <w:pStyle w:val="EndNoteBibliography"/>
        <w:spacing w:after="0"/>
      </w:pPr>
      <w:bookmarkStart w:id="681" w:name="_ENREF_82"/>
      <w:r w:rsidRPr="002565E6">
        <w:t>82.</w:t>
      </w:r>
      <w:r w:rsidRPr="002565E6">
        <w:tab/>
        <w:t>Bell J, Shanahan M, Mutch C, Rea F, Ryan A, Batey R, et al. A randomized trial of effectiveness and cost-effectiveness of observed versus unobserved administration of buprenorphine-naloxone for heroin dependence Addiction. 2007;102(12):1899-907.</w:t>
      </w:r>
      <w:bookmarkEnd w:id="681"/>
    </w:p>
    <w:p w14:paraId="6BEC8AAC" w14:textId="77777777" w:rsidR="002565E6" w:rsidRPr="002565E6" w:rsidRDefault="002565E6" w:rsidP="002565E6">
      <w:pPr>
        <w:pStyle w:val="EndNoteBibliography"/>
        <w:spacing w:after="0"/>
      </w:pPr>
      <w:bookmarkStart w:id="682" w:name="_ENREF_83"/>
      <w:r w:rsidRPr="002565E6">
        <w:t>83.</w:t>
      </w:r>
      <w:r w:rsidRPr="002565E6">
        <w:tab/>
        <w:t>Chaar BB, Wang H, Day CA, Hanrahan JR, Winstock AR, Fois R. Factors influencing pharmacy services in opioid substitution treatment. Drug Alcohol Rev. 2013;32(4):426-34.</w:t>
      </w:r>
      <w:bookmarkEnd w:id="682"/>
    </w:p>
    <w:p w14:paraId="1B348370" w14:textId="77777777" w:rsidR="002565E6" w:rsidRPr="002565E6" w:rsidRDefault="002565E6" w:rsidP="002565E6">
      <w:pPr>
        <w:pStyle w:val="EndNoteBibliography"/>
        <w:spacing w:after="0"/>
      </w:pPr>
      <w:bookmarkStart w:id="683" w:name="_ENREF_84"/>
      <w:r w:rsidRPr="002565E6">
        <w:t>84.</w:t>
      </w:r>
      <w:r w:rsidRPr="002565E6">
        <w:tab/>
        <w:t>Moore J, Ritter A, Caulkins J. The costs and consequences of three policy options for reducing heroin dependency. Drug Alcohol Rev. 2009;26(4):369-78.</w:t>
      </w:r>
      <w:bookmarkEnd w:id="683"/>
    </w:p>
    <w:p w14:paraId="2415D3D7" w14:textId="77777777" w:rsidR="002565E6" w:rsidRPr="002565E6" w:rsidRDefault="002565E6" w:rsidP="002565E6">
      <w:pPr>
        <w:pStyle w:val="EndNoteBibliography"/>
        <w:spacing w:after="0"/>
      </w:pPr>
      <w:bookmarkStart w:id="684" w:name="_ENREF_85"/>
      <w:r w:rsidRPr="002565E6">
        <w:lastRenderedPageBreak/>
        <w:t>85.</w:t>
      </w:r>
      <w:r w:rsidRPr="002565E6">
        <w:tab/>
        <w:t>Gisev N, Shanahan M, Weatherburn D, Mattick R, Larney S, Burns L, et al. A cost-effectiveness analysis of opioid substitution therapy upon prison release in reducing mortality among people with a history of opioid dependence Addiction. 2015;110(12):1975-84.</w:t>
      </w:r>
      <w:bookmarkEnd w:id="684"/>
    </w:p>
    <w:p w14:paraId="367CA4E8" w14:textId="77777777" w:rsidR="002565E6" w:rsidRPr="002565E6" w:rsidRDefault="002565E6" w:rsidP="002565E6">
      <w:pPr>
        <w:pStyle w:val="EndNoteBibliography"/>
        <w:spacing w:after="0"/>
      </w:pPr>
      <w:bookmarkStart w:id="685" w:name="_ENREF_86"/>
      <w:r w:rsidRPr="002565E6">
        <w:t>86.</w:t>
      </w:r>
      <w:r w:rsidRPr="002565E6">
        <w:tab/>
        <w:t>Dunlop AJ, Brown AL, Oldmeadow C, Harris A, Gill A, Sadler C, et al. Effectiveness and cost-effectiveness of unsupervised buprenorphine-naloxone for the treatment of heroin dependence in a randomized waitlist controlled trial. Drug and Alcohol Dependence. 2017;174:181-91.</w:t>
      </w:r>
      <w:bookmarkEnd w:id="685"/>
    </w:p>
    <w:p w14:paraId="4E26B42F" w14:textId="77777777" w:rsidR="002565E6" w:rsidRPr="002565E6" w:rsidRDefault="002565E6" w:rsidP="002565E6">
      <w:pPr>
        <w:pStyle w:val="EndNoteBibliography"/>
        <w:spacing w:after="0"/>
      </w:pPr>
      <w:bookmarkStart w:id="686" w:name="_ENREF_87"/>
      <w:r w:rsidRPr="002565E6">
        <w:t>87.</w:t>
      </w:r>
      <w:r w:rsidRPr="002565E6">
        <w:tab/>
        <w:t>Doran C. Buprenorphine, buprenorphine/naloxone and methadone maintenance: a cost effectiveness analysis Expert Review of Pharmaeconomics and Outcomes Research 2005;5(5):583-91.</w:t>
      </w:r>
      <w:bookmarkEnd w:id="686"/>
    </w:p>
    <w:p w14:paraId="18A2237D" w14:textId="77777777" w:rsidR="002565E6" w:rsidRPr="002565E6" w:rsidRDefault="002565E6" w:rsidP="002565E6">
      <w:pPr>
        <w:pStyle w:val="EndNoteBibliography"/>
        <w:spacing w:after="0"/>
      </w:pPr>
      <w:bookmarkStart w:id="687" w:name="_ENREF_88"/>
      <w:r w:rsidRPr="002565E6">
        <w:t>88.</w:t>
      </w:r>
      <w:r w:rsidRPr="002565E6">
        <w:tab/>
        <w:t>Larance B, Mattick R, Ali R, Lintzeris N, Jenkinson R, White N, et al. Diversion and injection of buprenorphine-naloxone film two years post-introduction in Australia. Drug Alcohol Rev. 2016;35(1):83-91.</w:t>
      </w:r>
      <w:bookmarkEnd w:id="687"/>
    </w:p>
    <w:p w14:paraId="47071E6F" w14:textId="77777777" w:rsidR="002565E6" w:rsidRPr="002565E6" w:rsidRDefault="002565E6" w:rsidP="002565E6">
      <w:pPr>
        <w:pStyle w:val="EndNoteBibliography"/>
        <w:spacing w:after="0"/>
      </w:pPr>
      <w:bookmarkStart w:id="688" w:name="_ENREF_89"/>
      <w:r w:rsidRPr="002565E6">
        <w:t>89.</w:t>
      </w:r>
      <w:r w:rsidRPr="002565E6">
        <w:tab/>
        <w:t>Nielsen S, Lintzeris N, Murnion B, Degenhardt L, Bruno R, Haber P, et al. Understanding an emerging treatment population: Protocol for and baseline characteristics of a prospective cohort of people receiving treatment for pharmaceutical opioid dependence. Drug Alcohol Rev. 2018;37(7):887-96.</w:t>
      </w:r>
      <w:bookmarkEnd w:id="688"/>
    </w:p>
    <w:p w14:paraId="23D1AD74" w14:textId="77777777" w:rsidR="002565E6" w:rsidRPr="002565E6" w:rsidRDefault="002565E6" w:rsidP="002565E6">
      <w:pPr>
        <w:pStyle w:val="EndNoteBibliography"/>
        <w:spacing w:after="0"/>
      </w:pPr>
      <w:bookmarkStart w:id="689" w:name="_ENREF_90"/>
      <w:r w:rsidRPr="002565E6">
        <w:t>90.</w:t>
      </w:r>
      <w:r w:rsidRPr="002565E6">
        <w:tab/>
        <w:t>Kelty E, Hulse G. Rates of hospital and emergency department attendances in opiate-dependent patients treated with implant naltrexone, methadone, or buprenorphine. Addict Disord Their Treat. 2017;16(2):39-48.</w:t>
      </w:r>
      <w:bookmarkEnd w:id="689"/>
    </w:p>
    <w:p w14:paraId="6C788A55" w14:textId="77777777" w:rsidR="002565E6" w:rsidRPr="002565E6" w:rsidRDefault="002565E6" w:rsidP="002565E6">
      <w:pPr>
        <w:pStyle w:val="EndNoteBibliography"/>
        <w:spacing w:after="0"/>
      </w:pPr>
      <w:bookmarkStart w:id="690" w:name="_ENREF_91"/>
      <w:r w:rsidRPr="002565E6">
        <w:t>91.</w:t>
      </w:r>
      <w:r w:rsidRPr="002565E6">
        <w:tab/>
        <w:t>Lintzeris N, Deacon RM, Hayes V, Cowan T, Mills L, Parvaresh L, et al. Opioid agonist treatment and patient outcomes during the COVID-19 pandemic in south east Sydney, Australia. Drug Alcohol Rev. 2021.</w:t>
      </w:r>
      <w:bookmarkEnd w:id="690"/>
    </w:p>
    <w:p w14:paraId="11A58352" w14:textId="77777777" w:rsidR="002565E6" w:rsidRPr="002565E6" w:rsidRDefault="002565E6" w:rsidP="002565E6">
      <w:pPr>
        <w:pStyle w:val="EndNoteBibliography"/>
        <w:spacing w:after="0"/>
      </w:pPr>
      <w:bookmarkStart w:id="691" w:name="_ENREF_92"/>
      <w:r w:rsidRPr="002565E6">
        <w:t>92.</w:t>
      </w:r>
      <w:r w:rsidRPr="002565E6">
        <w:tab/>
        <w:t>Lubman DI, Garfield JB, Gwini SM, Cheetham A, Cotton SM, Yücel M, et al. Dynamic associations between opioid use and anhedonia: A longitudinal study in opioid dependence. J Psychopharmacol. 2018;32(9):957-64.</w:t>
      </w:r>
      <w:bookmarkEnd w:id="691"/>
    </w:p>
    <w:p w14:paraId="64FE92FC" w14:textId="77777777" w:rsidR="002565E6" w:rsidRPr="002565E6" w:rsidRDefault="002565E6" w:rsidP="002565E6">
      <w:pPr>
        <w:pStyle w:val="EndNoteBibliography"/>
        <w:spacing w:after="0"/>
      </w:pPr>
      <w:bookmarkStart w:id="692" w:name="_ENREF_93"/>
      <w:r w:rsidRPr="002565E6">
        <w:t>93.</w:t>
      </w:r>
      <w:r w:rsidRPr="002565E6">
        <w:tab/>
        <w:t>Betts KS, Chan G, McIlwraith F, Dietze P, Whittaker E, Burns L, et al. Differences in polysubstance use patterns and drug-related outcomes between people who inject drugs receiving and not receiving opioid substitution therapies. Addiction. 2016;111(7):1214-23.</w:t>
      </w:r>
      <w:bookmarkEnd w:id="692"/>
    </w:p>
    <w:p w14:paraId="6290690A" w14:textId="77777777" w:rsidR="002565E6" w:rsidRPr="002565E6" w:rsidRDefault="002565E6" w:rsidP="002565E6">
      <w:pPr>
        <w:pStyle w:val="EndNoteBibliography"/>
        <w:spacing w:after="0"/>
      </w:pPr>
      <w:bookmarkStart w:id="693" w:name="_ENREF_94"/>
      <w:r w:rsidRPr="002565E6">
        <w:t>94.</w:t>
      </w:r>
      <w:r w:rsidRPr="002565E6">
        <w:tab/>
        <w:t>Geddes L, Iversen J, Wand H, Maher L. Incidence and factors associated with discontinuation of opioid agonist therapy among people who inject drugs in Australia. Addiction. 2021;116(3):525-35.</w:t>
      </w:r>
      <w:bookmarkEnd w:id="693"/>
    </w:p>
    <w:p w14:paraId="3EF99408" w14:textId="77777777" w:rsidR="002565E6" w:rsidRPr="002565E6" w:rsidRDefault="002565E6" w:rsidP="002565E6">
      <w:pPr>
        <w:pStyle w:val="EndNoteBibliography"/>
        <w:spacing w:after="0"/>
      </w:pPr>
      <w:bookmarkStart w:id="694" w:name="_ENREF_95"/>
      <w:r w:rsidRPr="002565E6">
        <w:t>95.</w:t>
      </w:r>
      <w:r w:rsidRPr="002565E6">
        <w:tab/>
        <w:t>Reece AS, Norman A, Hulse GK. Acceleration of cardiovascular-biological age by amphetamine exposure is a power function of chronological age. Heart Asia. 2017;9(1):30-8.</w:t>
      </w:r>
      <w:bookmarkEnd w:id="694"/>
    </w:p>
    <w:p w14:paraId="25398194" w14:textId="77777777" w:rsidR="002565E6" w:rsidRPr="002565E6" w:rsidRDefault="002565E6" w:rsidP="002565E6">
      <w:pPr>
        <w:pStyle w:val="EndNoteBibliography"/>
        <w:spacing w:after="0"/>
      </w:pPr>
      <w:bookmarkStart w:id="695" w:name="_ENREF_96"/>
      <w:r w:rsidRPr="002565E6">
        <w:t>96.</w:t>
      </w:r>
      <w:r w:rsidRPr="002565E6">
        <w:tab/>
        <w:t>Jamshidi N, Athavale A, Murnion B. Buprenorphine not detected on urine drug screening in supervised treatment. J Opioid Manag. 2021;17(7):69-76.</w:t>
      </w:r>
      <w:bookmarkEnd w:id="695"/>
    </w:p>
    <w:p w14:paraId="50883628" w14:textId="77777777" w:rsidR="002565E6" w:rsidRPr="002565E6" w:rsidRDefault="002565E6" w:rsidP="002565E6">
      <w:pPr>
        <w:pStyle w:val="EndNoteBibliography"/>
        <w:spacing w:after="0"/>
      </w:pPr>
      <w:bookmarkStart w:id="696" w:name="_ENREF_97"/>
      <w:r w:rsidRPr="002565E6">
        <w:t>97.</w:t>
      </w:r>
      <w:r w:rsidRPr="002565E6">
        <w:tab/>
        <w:t>Larney S, Lai W, Dolan K, Zador D. Monitoring a Prison Opioid Treatment Program Over a Period of Change to Clinical Governance Arrangements, 2007-2013. J Subst Abuse Treat. 2016;70:58-63.</w:t>
      </w:r>
      <w:bookmarkEnd w:id="696"/>
    </w:p>
    <w:p w14:paraId="509A9A48" w14:textId="77777777" w:rsidR="002565E6" w:rsidRPr="002565E6" w:rsidRDefault="002565E6" w:rsidP="002565E6">
      <w:pPr>
        <w:pStyle w:val="EndNoteBibliography"/>
        <w:spacing w:after="0"/>
      </w:pPr>
      <w:bookmarkStart w:id="697" w:name="_ENREF_98"/>
      <w:r w:rsidRPr="002565E6">
        <w:t>98.</w:t>
      </w:r>
      <w:r w:rsidRPr="002565E6">
        <w:tab/>
        <w:t>Committee PBA. Public Summary Document - March 2019 PBAC Meeting. 2019.</w:t>
      </w:r>
      <w:bookmarkEnd w:id="697"/>
    </w:p>
    <w:p w14:paraId="6A6B7809" w14:textId="77777777" w:rsidR="002565E6" w:rsidRPr="002565E6" w:rsidRDefault="002565E6" w:rsidP="002565E6">
      <w:pPr>
        <w:pStyle w:val="EndNoteBibliography"/>
        <w:spacing w:after="0"/>
      </w:pPr>
      <w:bookmarkStart w:id="698" w:name="_ENREF_99"/>
      <w:r w:rsidRPr="002565E6">
        <w:t>99.</w:t>
      </w:r>
      <w:r w:rsidRPr="002565E6">
        <w:tab/>
        <w:t>Larney S, Peacock A, Leung J, Colledge S, Hickman M, Vickerman P, et al. Global, regional, and country-level coverage of interventions to prevent and manage HIV and hepatitis C among people who inject drugs: a systematic review. The Lancet Global health. 2017;5(12):e1208-e20.</w:t>
      </w:r>
      <w:bookmarkEnd w:id="698"/>
    </w:p>
    <w:p w14:paraId="2D4E9395" w14:textId="77777777" w:rsidR="002565E6" w:rsidRPr="002565E6" w:rsidRDefault="002565E6" w:rsidP="002565E6">
      <w:pPr>
        <w:pStyle w:val="EndNoteBibliography"/>
        <w:spacing w:after="0"/>
      </w:pPr>
      <w:bookmarkStart w:id="699" w:name="_ENREF_100"/>
      <w:r w:rsidRPr="002565E6">
        <w:t>100.</w:t>
      </w:r>
      <w:r w:rsidRPr="002565E6">
        <w:tab/>
        <w:t>Lintzeris ND, A.; Masters, D. . Clinical guidelines for use of depot buprenorphine (Buvidal and Sublocade) in the treatment of opioid dependence Sydney, New South Wales 2019.</w:t>
      </w:r>
      <w:bookmarkEnd w:id="699"/>
    </w:p>
    <w:p w14:paraId="41E38906" w14:textId="77777777" w:rsidR="002565E6" w:rsidRPr="002565E6" w:rsidRDefault="002565E6" w:rsidP="002565E6">
      <w:pPr>
        <w:pStyle w:val="EndNoteBibliography"/>
        <w:spacing w:after="0"/>
      </w:pPr>
      <w:bookmarkStart w:id="700" w:name="_ENREF_101"/>
      <w:r w:rsidRPr="002565E6">
        <w:lastRenderedPageBreak/>
        <w:t>101.</w:t>
      </w:r>
      <w:r w:rsidRPr="002565E6">
        <w:tab/>
        <w:t>Department of Health V. Policy for maintenance pharmacotherapy for opioid dependence (addendum). Melbourne, Victoria; 2021.</w:t>
      </w:r>
      <w:bookmarkEnd w:id="700"/>
    </w:p>
    <w:p w14:paraId="2C572ED4" w14:textId="77777777" w:rsidR="002565E6" w:rsidRPr="002565E6" w:rsidRDefault="002565E6" w:rsidP="002565E6">
      <w:pPr>
        <w:pStyle w:val="EndNoteBibliography"/>
        <w:spacing w:after="0"/>
      </w:pPr>
      <w:bookmarkStart w:id="701" w:name="_ENREF_102"/>
      <w:r w:rsidRPr="002565E6">
        <w:t>102.</w:t>
      </w:r>
      <w:r w:rsidRPr="002565E6">
        <w:tab/>
        <w:t>McDonough M, Holmwood C, Scarborough J. Interim Brief: Clinical guidelines for use of depot buprenorphine (Buvidal and Sublocade) in the treatment of opioid dependence. For South Australian MATOD prescribers. SA Health 2020.</w:t>
      </w:r>
      <w:bookmarkEnd w:id="701"/>
    </w:p>
    <w:p w14:paraId="17156031" w14:textId="77777777" w:rsidR="002565E6" w:rsidRPr="002565E6" w:rsidRDefault="002565E6" w:rsidP="002565E6">
      <w:pPr>
        <w:pStyle w:val="EndNoteBibliography"/>
        <w:spacing w:after="0"/>
      </w:pPr>
      <w:bookmarkStart w:id="702" w:name="_ENREF_103"/>
      <w:r w:rsidRPr="002565E6">
        <w:t>103.</w:t>
      </w:r>
      <w:r w:rsidRPr="002565E6">
        <w:tab/>
        <w:t>WA Health. Clinical guidelines for use of depot buprenorphine (Buvidal and Sublocade) in the treatment of opioid dependence. For Western Australian CPOP prescribers. 2020.</w:t>
      </w:r>
      <w:bookmarkEnd w:id="702"/>
    </w:p>
    <w:p w14:paraId="6BC75446" w14:textId="77777777" w:rsidR="002565E6" w:rsidRPr="002565E6" w:rsidRDefault="002565E6" w:rsidP="002565E6">
      <w:pPr>
        <w:pStyle w:val="EndNoteBibliography"/>
        <w:spacing w:after="0"/>
      </w:pPr>
      <w:bookmarkStart w:id="703" w:name="_ENREF_104"/>
      <w:r w:rsidRPr="002565E6">
        <w:t>104.</w:t>
      </w:r>
      <w:r w:rsidRPr="002565E6">
        <w:tab/>
        <w:t>Queensland Health. Long-acting injection buprenorphine in the treatment of opioid dependence - Queensland Clinical Guidelines 2019 2019.</w:t>
      </w:r>
      <w:bookmarkEnd w:id="703"/>
    </w:p>
    <w:p w14:paraId="5FC123A3" w14:textId="77777777" w:rsidR="002565E6" w:rsidRPr="002565E6" w:rsidRDefault="002565E6" w:rsidP="002565E6">
      <w:pPr>
        <w:pStyle w:val="EndNoteBibliography"/>
        <w:spacing w:after="0"/>
      </w:pPr>
      <w:bookmarkStart w:id="704" w:name="_ENREF_105"/>
      <w:r w:rsidRPr="002565E6">
        <w:t>105.</w:t>
      </w:r>
      <w:r w:rsidRPr="002565E6">
        <w:tab/>
        <w:t>Queensland Health. Fact sheet: Long-acting injections of buprenorphine for opioid dependence treatment Queensland Government 2020.</w:t>
      </w:r>
      <w:bookmarkEnd w:id="704"/>
    </w:p>
    <w:p w14:paraId="7427A2CB" w14:textId="77777777" w:rsidR="002565E6" w:rsidRPr="002565E6" w:rsidRDefault="002565E6" w:rsidP="002565E6">
      <w:pPr>
        <w:pStyle w:val="EndNoteBibliography"/>
      </w:pPr>
      <w:bookmarkStart w:id="705" w:name="_ENREF_106"/>
      <w:r w:rsidRPr="002565E6">
        <w:t>106.</w:t>
      </w:r>
      <w:r w:rsidRPr="002565E6">
        <w:tab/>
        <w:t>Department of Health NT. Summary of Requirements for Prescriptions for Schedule 8 Substances (S8s) Nothern Territory Government 2021.</w:t>
      </w:r>
      <w:bookmarkEnd w:id="705"/>
    </w:p>
    <w:p w14:paraId="0AEB2334" w14:textId="64FDB578" w:rsidR="00934954" w:rsidRPr="009C7DB8" w:rsidRDefault="00934954" w:rsidP="009C7DB8">
      <w:r w:rsidRPr="00EA3458">
        <w:fldChar w:fldCharType="end"/>
      </w:r>
    </w:p>
    <w:p w14:paraId="42DBDE29" w14:textId="77777777" w:rsidR="00934954" w:rsidRDefault="00934954">
      <w:pPr>
        <w:spacing w:after="160" w:line="259" w:lineRule="auto"/>
        <w:jc w:val="left"/>
        <w:rPr>
          <w:rFonts w:asciiTheme="minorHAnsi" w:eastAsia="Calibri" w:hAnsiTheme="minorHAnsi" w:cstheme="majorBidi"/>
          <w:color w:val="2F5496" w:themeColor="accent1" w:themeShade="BF"/>
          <w:sz w:val="26"/>
          <w:szCs w:val="26"/>
        </w:rPr>
      </w:pPr>
      <w:r>
        <w:rPr>
          <w:rFonts w:eastAsia="Calibri"/>
        </w:rPr>
        <w:br w:type="page"/>
      </w:r>
    </w:p>
    <w:p w14:paraId="37520937" w14:textId="79B22900" w:rsidR="00DD4BC1" w:rsidRDefault="0021604E" w:rsidP="00934954">
      <w:pPr>
        <w:pStyle w:val="Heading2"/>
        <w:rPr>
          <w:rFonts w:eastAsia="Calibri"/>
        </w:rPr>
      </w:pPr>
      <w:bookmarkStart w:id="706" w:name="_Toc163221190"/>
      <w:r>
        <w:rPr>
          <w:rFonts w:eastAsia="Calibri"/>
        </w:rPr>
        <w:lastRenderedPageBreak/>
        <w:t xml:space="preserve">Appendix </w:t>
      </w:r>
      <w:r w:rsidR="00D06AA8">
        <w:rPr>
          <w:rFonts w:eastAsia="Calibri"/>
        </w:rPr>
        <w:t>1</w:t>
      </w:r>
      <w:r>
        <w:rPr>
          <w:rFonts w:eastAsia="Calibri"/>
        </w:rPr>
        <w:t xml:space="preserve">: ODTP PMR </w:t>
      </w:r>
      <w:r w:rsidR="0071712C">
        <w:rPr>
          <w:rFonts w:eastAsia="Calibri"/>
        </w:rPr>
        <w:t>Reference Group M</w:t>
      </w:r>
      <w:r>
        <w:rPr>
          <w:rFonts w:eastAsia="Calibri"/>
        </w:rPr>
        <w:t>embership</w:t>
      </w:r>
      <w:bookmarkEnd w:id="706"/>
    </w:p>
    <w:tbl>
      <w:tblPr>
        <w:tblStyle w:val="TableGrid"/>
        <w:tblW w:w="9493" w:type="dxa"/>
        <w:tblInd w:w="0" w:type="dxa"/>
        <w:tblLook w:val="04A0" w:firstRow="1" w:lastRow="0" w:firstColumn="1" w:lastColumn="0" w:noHBand="0" w:noVBand="1"/>
      </w:tblPr>
      <w:tblGrid>
        <w:gridCol w:w="2316"/>
        <w:gridCol w:w="5192"/>
        <w:gridCol w:w="1985"/>
      </w:tblGrid>
      <w:tr w:rsidR="00BD4AE0" w14:paraId="23D7506B" w14:textId="77777777" w:rsidTr="00BD4AE0">
        <w:trPr>
          <w:trHeight w:val="334"/>
        </w:trPr>
        <w:tc>
          <w:tcPr>
            <w:tcW w:w="2316" w:type="dxa"/>
            <w:tcBorders>
              <w:top w:val="single" w:sz="4" w:space="0" w:color="auto"/>
              <w:left w:val="single" w:sz="4" w:space="0" w:color="auto"/>
              <w:bottom w:val="single" w:sz="4" w:space="0" w:color="auto"/>
              <w:right w:val="single" w:sz="4" w:space="0" w:color="auto"/>
            </w:tcBorders>
            <w:hideMark/>
          </w:tcPr>
          <w:p w14:paraId="093DDA37" w14:textId="77777777" w:rsidR="00BD4AE0" w:rsidRDefault="00BD4AE0">
            <w:pPr>
              <w:jc w:val="left"/>
              <w:rPr>
                <w:rFonts w:ascii="Calibri" w:hAnsi="Calibri" w:cs="Calibri"/>
                <w:sz w:val="20"/>
                <w:szCs w:val="20"/>
              </w:rPr>
            </w:pPr>
            <w:r>
              <w:rPr>
                <w:rFonts w:ascii="Calibri" w:hAnsi="Calibri" w:cs="Calibri"/>
                <w:b/>
                <w:bCs/>
                <w:color w:val="000000"/>
                <w:sz w:val="20"/>
                <w:szCs w:val="20"/>
              </w:rPr>
              <w:t>Name</w:t>
            </w:r>
          </w:p>
        </w:tc>
        <w:tc>
          <w:tcPr>
            <w:tcW w:w="5192" w:type="dxa"/>
            <w:tcBorders>
              <w:top w:val="single" w:sz="4" w:space="0" w:color="auto"/>
              <w:left w:val="nil"/>
              <w:bottom w:val="single" w:sz="4" w:space="0" w:color="auto"/>
              <w:right w:val="single" w:sz="4" w:space="0" w:color="auto"/>
            </w:tcBorders>
            <w:hideMark/>
          </w:tcPr>
          <w:p w14:paraId="24E915F9" w14:textId="77777777" w:rsidR="00BD4AE0" w:rsidRDefault="00BD4AE0">
            <w:pPr>
              <w:jc w:val="left"/>
              <w:rPr>
                <w:rFonts w:ascii="Calibri" w:hAnsi="Calibri" w:cs="Calibri"/>
                <w:sz w:val="20"/>
                <w:szCs w:val="20"/>
              </w:rPr>
            </w:pPr>
            <w:r>
              <w:rPr>
                <w:rFonts w:ascii="Calibri" w:hAnsi="Calibri" w:cs="Calibri"/>
                <w:b/>
                <w:bCs/>
                <w:color w:val="000000"/>
                <w:sz w:val="20"/>
                <w:szCs w:val="20"/>
              </w:rPr>
              <w:t xml:space="preserve">Organisation </w:t>
            </w:r>
          </w:p>
        </w:tc>
        <w:tc>
          <w:tcPr>
            <w:tcW w:w="1985" w:type="dxa"/>
            <w:tcBorders>
              <w:top w:val="single" w:sz="4" w:space="0" w:color="auto"/>
              <w:left w:val="nil"/>
              <w:bottom w:val="single" w:sz="4" w:space="0" w:color="auto"/>
              <w:right w:val="single" w:sz="4" w:space="0" w:color="auto"/>
            </w:tcBorders>
            <w:hideMark/>
          </w:tcPr>
          <w:p w14:paraId="1CFCA875" w14:textId="77777777" w:rsidR="00BD4AE0" w:rsidRDefault="00BD4AE0">
            <w:pPr>
              <w:jc w:val="left"/>
              <w:rPr>
                <w:rFonts w:ascii="Calibri" w:hAnsi="Calibri" w:cs="Calibri"/>
                <w:sz w:val="20"/>
                <w:szCs w:val="20"/>
              </w:rPr>
            </w:pPr>
            <w:r>
              <w:rPr>
                <w:rFonts w:ascii="Calibri" w:hAnsi="Calibri" w:cs="Calibri"/>
                <w:b/>
                <w:bCs/>
                <w:color w:val="000000"/>
                <w:sz w:val="20"/>
                <w:szCs w:val="20"/>
              </w:rPr>
              <w:t>Capacity of Appointment</w:t>
            </w:r>
          </w:p>
        </w:tc>
      </w:tr>
      <w:tr w:rsidR="00BD4AE0" w14:paraId="037B9AD9" w14:textId="77777777" w:rsidTr="00BD4AE0">
        <w:tc>
          <w:tcPr>
            <w:tcW w:w="2316" w:type="dxa"/>
            <w:tcBorders>
              <w:top w:val="nil"/>
              <w:left w:val="single" w:sz="4" w:space="0" w:color="auto"/>
              <w:bottom w:val="single" w:sz="4" w:space="0" w:color="auto"/>
              <w:right w:val="single" w:sz="4" w:space="0" w:color="auto"/>
            </w:tcBorders>
            <w:shd w:val="clear" w:color="auto" w:fill="E7E6E6" w:themeFill="background2"/>
            <w:hideMark/>
          </w:tcPr>
          <w:p w14:paraId="1634F064" w14:textId="77777777" w:rsidR="00BD4AE0" w:rsidRDefault="00BD4AE0">
            <w:pPr>
              <w:jc w:val="left"/>
              <w:rPr>
                <w:rFonts w:ascii="Calibri" w:hAnsi="Calibri" w:cs="Calibri"/>
                <w:sz w:val="20"/>
                <w:szCs w:val="20"/>
              </w:rPr>
            </w:pPr>
            <w:r>
              <w:rPr>
                <w:rStyle w:val="null1"/>
                <w:rFonts w:ascii="Calibri" w:hAnsi="Calibri" w:cs="Calibri"/>
                <w:sz w:val="20"/>
                <w:szCs w:val="20"/>
              </w:rPr>
              <w:t>Dr Elizabeth Marles</w:t>
            </w:r>
          </w:p>
        </w:tc>
        <w:tc>
          <w:tcPr>
            <w:tcW w:w="5192" w:type="dxa"/>
            <w:tcBorders>
              <w:top w:val="nil"/>
              <w:left w:val="nil"/>
              <w:bottom w:val="single" w:sz="4" w:space="0" w:color="auto"/>
              <w:right w:val="single" w:sz="4" w:space="0" w:color="auto"/>
            </w:tcBorders>
            <w:shd w:val="clear" w:color="auto" w:fill="E7E6E6" w:themeFill="background2"/>
            <w:hideMark/>
          </w:tcPr>
          <w:p w14:paraId="07F6E5CD" w14:textId="77777777" w:rsidR="00BD4AE0" w:rsidRDefault="00BD4AE0">
            <w:pPr>
              <w:spacing w:after="0"/>
              <w:jc w:val="left"/>
              <w:rPr>
                <w:rStyle w:val="null1"/>
              </w:rPr>
            </w:pPr>
            <w:r>
              <w:rPr>
                <w:rStyle w:val="null1"/>
                <w:rFonts w:ascii="Calibri" w:hAnsi="Calibri" w:cs="Calibri"/>
                <w:sz w:val="20"/>
                <w:szCs w:val="20"/>
              </w:rPr>
              <w:t>General Practitioner</w:t>
            </w:r>
          </w:p>
          <w:p w14:paraId="25DAA92A" w14:textId="77777777" w:rsidR="00BD4AE0" w:rsidRDefault="00BD4AE0">
            <w:pPr>
              <w:spacing w:after="0"/>
              <w:jc w:val="left"/>
            </w:pPr>
            <w:r>
              <w:rPr>
                <w:rStyle w:val="null1"/>
                <w:rFonts w:ascii="Calibri" w:hAnsi="Calibri" w:cs="Calibri"/>
                <w:sz w:val="20"/>
                <w:szCs w:val="20"/>
              </w:rPr>
              <w:t xml:space="preserve">Member of the Pharmaceutical Benefits Advisory Committee </w:t>
            </w:r>
          </w:p>
        </w:tc>
        <w:tc>
          <w:tcPr>
            <w:tcW w:w="1985" w:type="dxa"/>
            <w:tcBorders>
              <w:top w:val="nil"/>
              <w:left w:val="nil"/>
              <w:bottom w:val="single" w:sz="4" w:space="0" w:color="auto"/>
              <w:right w:val="single" w:sz="4" w:space="0" w:color="auto"/>
            </w:tcBorders>
            <w:shd w:val="clear" w:color="auto" w:fill="E7E6E6" w:themeFill="background2"/>
            <w:hideMark/>
          </w:tcPr>
          <w:p w14:paraId="509872DE" w14:textId="77777777" w:rsidR="00BD4AE0" w:rsidRDefault="00BD4AE0">
            <w:pPr>
              <w:jc w:val="left"/>
              <w:rPr>
                <w:rFonts w:ascii="Calibri" w:hAnsi="Calibri" w:cs="Calibri"/>
                <w:color w:val="000000"/>
                <w:sz w:val="20"/>
                <w:szCs w:val="20"/>
              </w:rPr>
            </w:pPr>
            <w:r>
              <w:rPr>
                <w:rFonts w:ascii="Calibri" w:hAnsi="Calibri" w:cs="Calibri"/>
                <w:color w:val="000000"/>
                <w:sz w:val="20"/>
                <w:szCs w:val="20"/>
              </w:rPr>
              <w:t>Chair</w:t>
            </w:r>
          </w:p>
        </w:tc>
      </w:tr>
      <w:tr w:rsidR="00BD4AE0" w14:paraId="3195D24C" w14:textId="77777777" w:rsidTr="00BD4AE0">
        <w:tc>
          <w:tcPr>
            <w:tcW w:w="2316" w:type="dxa"/>
            <w:tcBorders>
              <w:top w:val="nil"/>
              <w:left w:val="single" w:sz="4" w:space="0" w:color="auto"/>
              <w:bottom w:val="single" w:sz="4" w:space="0" w:color="auto"/>
              <w:right w:val="single" w:sz="4" w:space="0" w:color="auto"/>
            </w:tcBorders>
            <w:hideMark/>
          </w:tcPr>
          <w:p w14:paraId="37F03566" w14:textId="77777777" w:rsidR="00BD4AE0" w:rsidRDefault="00BD4AE0">
            <w:pPr>
              <w:jc w:val="left"/>
              <w:rPr>
                <w:rFonts w:ascii="Calibri" w:hAnsi="Calibri" w:cs="Calibri"/>
                <w:sz w:val="20"/>
                <w:szCs w:val="20"/>
              </w:rPr>
            </w:pPr>
            <w:r>
              <w:rPr>
                <w:rFonts w:ascii="Calibri" w:hAnsi="Calibri" w:cs="Calibri"/>
                <w:color w:val="000000"/>
                <w:sz w:val="20"/>
                <w:szCs w:val="20"/>
              </w:rPr>
              <w:t>Professor Kirsten Howard</w:t>
            </w:r>
          </w:p>
        </w:tc>
        <w:tc>
          <w:tcPr>
            <w:tcW w:w="5192" w:type="dxa"/>
            <w:tcBorders>
              <w:top w:val="nil"/>
              <w:left w:val="nil"/>
              <w:bottom w:val="single" w:sz="4" w:space="0" w:color="auto"/>
              <w:right w:val="single" w:sz="4" w:space="0" w:color="auto"/>
            </w:tcBorders>
            <w:hideMark/>
          </w:tcPr>
          <w:p w14:paraId="153D573C" w14:textId="77777777" w:rsidR="00BD4AE0" w:rsidRDefault="00BD4AE0">
            <w:pPr>
              <w:spacing w:after="0"/>
              <w:jc w:val="left"/>
              <w:rPr>
                <w:rStyle w:val="null1"/>
              </w:rPr>
            </w:pPr>
            <w:r>
              <w:rPr>
                <w:rStyle w:val="null1"/>
                <w:rFonts w:ascii="Calibri" w:hAnsi="Calibri" w:cs="Calibri"/>
                <w:sz w:val="20"/>
                <w:szCs w:val="20"/>
              </w:rPr>
              <w:t>Member of the PBAC</w:t>
            </w:r>
          </w:p>
          <w:p w14:paraId="6D484FB8" w14:textId="77777777" w:rsidR="00BD4AE0" w:rsidRDefault="00BD4AE0">
            <w:pPr>
              <w:spacing w:after="0"/>
              <w:jc w:val="left"/>
              <w:rPr>
                <w:rStyle w:val="null1"/>
                <w:rFonts w:ascii="Calibri" w:hAnsi="Calibri" w:cs="Calibri"/>
                <w:sz w:val="20"/>
                <w:szCs w:val="20"/>
              </w:rPr>
            </w:pPr>
            <w:r>
              <w:rPr>
                <w:rStyle w:val="null1"/>
                <w:rFonts w:ascii="Calibri" w:hAnsi="Calibri" w:cs="Calibri"/>
                <w:sz w:val="20"/>
                <w:szCs w:val="20"/>
              </w:rPr>
              <w:t xml:space="preserve">Chair of the Economics Sub-Committee (ESC) of the PBAC </w:t>
            </w:r>
          </w:p>
          <w:p w14:paraId="0A272528" w14:textId="77777777" w:rsidR="00BD4AE0" w:rsidRDefault="00BD4AE0">
            <w:pPr>
              <w:jc w:val="left"/>
            </w:pPr>
            <w:r>
              <w:rPr>
                <w:rStyle w:val="null1"/>
                <w:rFonts w:ascii="Calibri" w:hAnsi="Calibri" w:cs="Calibri"/>
                <w:sz w:val="20"/>
                <w:szCs w:val="20"/>
              </w:rPr>
              <w:t>Professor of Health Economics, School of Public Health, University of Sydney</w:t>
            </w:r>
          </w:p>
        </w:tc>
        <w:tc>
          <w:tcPr>
            <w:tcW w:w="1985" w:type="dxa"/>
            <w:tcBorders>
              <w:top w:val="nil"/>
              <w:left w:val="nil"/>
              <w:bottom w:val="single" w:sz="4" w:space="0" w:color="auto"/>
              <w:right w:val="single" w:sz="4" w:space="0" w:color="auto"/>
            </w:tcBorders>
            <w:hideMark/>
          </w:tcPr>
          <w:p w14:paraId="1AC924CF" w14:textId="77777777" w:rsidR="00BD4AE0" w:rsidRDefault="00BD4AE0">
            <w:pPr>
              <w:jc w:val="left"/>
              <w:rPr>
                <w:rFonts w:ascii="Calibri" w:hAnsi="Calibri" w:cs="Calibri"/>
                <w:sz w:val="20"/>
                <w:szCs w:val="20"/>
              </w:rPr>
            </w:pPr>
            <w:r>
              <w:rPr>
                <w:rFonts w:ascii="Calibri" w:hAnsi="Calibri" w:cs="Calibri"/>
                <w:color w:val="000000"/>
                <w:sz w:val="20"/>
                <w:szCs w:val="20"/>
              </w:rPr>
              <w:t xml:space="preserve">Deputy Chair </w:t>
            </w:r>
          </w:p>
        </w:tc>
      </w:tr>
      <w:tr w:rsidR="00BD4AE0" w14:paraId="76391B9C" w14:textId="77777777" w:rsidTr="00BD4AE0">
        <w:tc>
          <w:tcPr>
            <w:tcW w:w="2316" w:type="dxa"/>
            <w:tcBorders>
              <w:top w:val="nil"/>
              <w:left w:val="single" w:sz="4" w:space="0" w:color="auto"/>
              <w:bottom w:val="single" w:sz="4" w:space="0" w:color="auto"/>
              <w:right w:val="single" w:sz="4" w:space="0" w:color="auto"/>
            </w:tcBorders>
            <w:hideMark/>
          </w:tcPr>
          <w:p w14:paraId="5BB170D2" w14:textId="77777777" w:rsidR="00BD4AE0" w:rsidRDefault="00BD4AE0">
            <w:pPr>
              <w:jc w:val="left"/>
              <w:rPr>
                <w:rFonts w:ascii="Calibri" w:hAnsi="Calibri" w:cs="Calibri"/>
                <w:sz w:val="20"/>
                <w:szCs w:val="20"/>
              </w:rPr>
            </w:pPr>
            <w:r>
              <w:rPr>
                <w:rFonts w:ascii="Calibri" w:hAnsi="Calibri" w:cs="Calibri"/>
                <w:color w:val="000000"/>
                <w:sz w:val="20"/>
                <w:szCs w:val="20"/>
              </w:rPr>
              <w:t>Associate Professor Robert Ali</w:t>
            </w:r>
          </w:p>
        </w:tc>
        <w:tc>
          <w:tcPr>
            <w:tcW w:w="5192" w:type="dxa"/>
            <w:tcBorders>
              <w:top w:val="nil"/>
              <w:left w:val="nil"/>
              <w:bottom w:val="single" w:sz="4" w:space="0" w:color="auto"/>
              <w:right w:val="single" w:sz="4" w:space="0" w:color="auto"/>
            </w:tcBorders>
            <w:hideMark/>
          </w:tcPr>
          <w:p w14:paraId="4141FF81" w14:textId="77777777" w:rsidR="00BD4AE0" w:rsidRDefault="00BD4AE0">
            <w:pPr>
              <w:spacing w:after="0"/>
              <w:jc w:val="left"/>
              <w:rPr>
                <w:rFonts w:ascii="Calibri" w:hAnsi="Calibri" w:cs="Calibri"/>
                <w:sz w:val="20"/>
                <w:szCs w:val="20"/>
              </w:rPr>
            </w:pPr>
            <w:r>
              <w:rPr>
                <w:rStyle w:val="null1"/>
                <w:rFonts w:ascii="Calibri" w:hAnsi="Calibri" w:cs="Calibri"/>
                <w:sz w:val="20"/>
                <w:szCs w:val="20"/>
              </w:rPr>
              <w:t>Discipline of Pharmacology, School of Biomedicine, Faculty of Health and Medical Sciences, The University of Adelaide</w:t>
            </w:r>
          </w:p>
        </w:tc>
        <w:tc>
          <w:tcPr>
            <w:tcW w:w="1985" w:type="dxa"/>
            <w:tcBorders>
              <w:top w:val="nil"/>
              <w:left w:val="nil"/>
              <w:bottom w:val="single" w:sz="4" w:space="0" w:color="auto"/>
              <w:right w:val="single" w:sz="4" w:space="0" w:color="auto"/>
            </w:tcBorders>
            <w:hideMark/>
          </w:tcPr>
          <w:p w14:paraId="1BF3E230" w14:textId="77777777" w:rsidR="00BD4AE0" w:rsidRDefault="00BD4AE0">
            <w:pPr>
              <w:jc w:val="left"/>
              <w:rPr>
                <w:rFonts w:ascii="Calibri" w:hAnsi="Calibri" w:cs="Calibri"/>
                <w:sz w:val="20"/>
                <w:szCs w:val="20"/>
              </w:rPr>
            </w:pPr>
            <w:r>
              <w:rPr>
                <w:rFonts w:ascii="Calibri" w:hAnsi="Calibri" w:cs="Calibri"/>
                <w:color w:val="000000"/>
                <w:sz w:val="20"/>
                <w:szCs w:val="20"/>
              </w:rPr>
              <w:t>Technical Expert</w:t>
            </w:r>
          </w:p>
        </w:tc>
      </w:tr>
      <w:tr w:rsidR="00BD4AE0" w14:paraId="2E9531F4" w14:textId="77777777" w:rsidTr="00BD4AE0">
        <w:tc>
          <w:tcPr>
            <w:tcW w:w="2316" w:type="dxa"/>
            <w:tcBorders>
              <w:top w:val="nil"/>
              <w:left w:val="single" w:sz="4" w:space="0" w:color="auto"/>
              <w:bottom w:val="single" w:sz="4" w:space="0" w:color="auto"/>
              <w:right w:val="single" w:sz="4" w:space="0" w:color="auto"/>
            </w:tcBorders>
            <w:hideMark/>
          </w:tcPr>
          <w:p w14:paraId="07E51727" w14:textId="77777777" w:rsidR="00BD4AE0" w:rsidRDefault="00BD4AE0">
            <w:pPr>
              <w:jc w:val="left"/>
              <w:rPr>
                <w:rFonts w:ascii="Calibri" w:hAnsi="Calibri" w:cs="Calibri"/>
                <w:sz w:val="20"/>
                <w:szCs w:val="20"/>
              </w:rPr>
            </w:pPr>
            <w:r>
              <w:rPr>
                <w:rFonts w:ascii="Calibri" w:hAnsi="Calibri" w:cs="Calibri"/>
                <w:color w:val="000000"/>
                <w:sz w:val="20"/>
                <w:szCs w:val="20"/>
              </w:rPr>
              <w:t>Renae Beardmore</w:t>
            </w:r>
          </w:p>
        </w:tc>
        <w:tc>
          <w:tcPr>
            <w:tcW w:w="5192" w:type="dxa"/>
            <w:tcBorders>
              <w:top w:val="nil"/>
              <w:left w:val="nil"/>
              <w:bottom w:val="single" w:sz="4" w:space="0" w:color="auto"/>
              <w:right w:val="single" w:sz="4" w:space="0" w:color="auto"/>
            </w:tcBorders>
            <w:hideMark/>
          </w:tcPr>
          <w:p w14:paraId="7AB5E0CC" w14:textId="77777777" w:rsidR="00BD4AE0" w:rsidRDefault="00BD4AE0">
            <w:pPr>
              <w:jc w:val="left"/>
              <w:rPr>
                <w:rFonts w:ascii="Calibri" w:hAnsi="Calibri" w:cs="Calibri"/>
                <w:sz w:val="20"/>
                <w:szCs w:val="20"/>
              </w:rPr>
            </w:pPr>
            <w:r>
              <w:rPr>
                <w:rStyle w:val="null1"/>
                <w:rFonts w:ascii="Calibri" w:hAnsi="Calibri" w:cs="Calibri"/>
                <w:sz w:val="20"/>
                <w:szCs w:val="20"/>
              </w:rPr>
              <w:t>Pharmaceutical Society of Australia</w:t>
            </w:r>
          </w:p>
        </w:tc>
        <w:tc>
          <w:tcPr>
            <w:tcW w:w="1985" w:type="dxa"/>
            <w:tcBorders>
              <w:top w:val="nil"/>
              <w:left w:val="nil"/>
              <w:bottom w:val="single" w:sz="4" w:space="0" w:color="auto"/>
              <w:right w:val="single" w:sz="4" w:space="0" w:color="auto"/>
            </w:tcBorders>
            <w:hideMark/>
          </w:tcPr>
          <w:p w14:paraId="2E7DE3B4" w14:textId="77777777" w:rsidR="00BD4AE0" w:rsidRDefault="00BD4AE0">
            <w:pPr>
              <w:jc w:val="left"/>
              <w:rPr>
                <w:rFonts w:ascii="Calibri" w:hAnsi="Calibri" w:cs="Calibri"/>
                <w:sz w:val="20"/>
                <w:szCs w:val="20"/>
              </w:rPr>
            </w:pPr>
            <w:r>
              <w:rPr>
                <w:rFonts w:ascii="Calibri" w:hAnsi="Calibri" w:cs="Calibri"/>
                <w:color w:val="000000"/>
                <w:sz w:val="20"/>
                <w:szCs w:val="20"/>
              </w:rPr>
              <w:t>Organisational representative</w:t>
            </w:r>
          </w:p>
        </w:tc>
      </w:tr>
      <w:tr w:rsidR="00BD4AE0" w14:paraId="6DC253F0" w14:textId="77777777" w:rsidTr="00BD4AE0">
        <w:tc>
          <w:tcPr>
            <w:tcW w:w="2316" w:type="dxa"/>
            <w:tcBorders>
              <w:top w:val="nil"/>
              <w:left w:val="single" w:sz="4" w:space="0" w:color="auto"/>
              <w:bottom w:val="single" w:sz="4" w:space="0" w:color="auto"/>
              <w:right w:val="single" w:sz="4" w:space="0" w:color="auto"/>
            </w:tcBorders>
            <w:hideMark/>
          </w:tcPr>
          <w:p w14:paraId="2CAA3502" w14:textId="77777777" w:rsidR="00BD4AE0" w:rsidRDefault="00BD4AE0">
            <w:pPr>
              <w:pStyle w:val="u-lead-text"/>
              <w:shd w:val="clear" w:color="auto" w:fill="FFFFFF"/>
              <w:spacing w:before="0" w:beforeAutospacing="0" w:after="0" w:afterAutospacing="0"/>
              <w:rPr>
                <w:rFonts w:ascii="Calibri" w:hAnsi="Calibri" w:cs="Calibri"/>
                <w:color w:val="000000"/>
                <w:sz w:val="20"/>
                <w:szCs w:val="20"/>
                <w:lang w:eastAsia="en-US"/>
              </w:rPr>
            </w:pPr>
            <w:r>
              <w:rPr>
                <w:rFonts w:ascii="Calibri" w:hAnsi="Calibri" w:cs="Calibri"/>
                <w:color w:val="000000"/>
                <w:sz w:val="20"/>
                <w:szCs w:val="20"/>
                <w:lang w:eastAsia="en-US"/>
              </w:rPr>
              <w:t>Dr Jonathan Brett</w:t>
            </w:r>
          </w:p>
        </w:tc>
        <w:tc>
          <w:tcPr>
            <w:tcW w:w="5192" w:type="dxa"/>
            <w:tcBorders>
              <w:top w:val="nil"/>
              <w:left w:val="nil"/>
              <w:bottom w:val="single" w:sz="4" w:space="0" w:color="auto"/>
              <w:right w:val="single" w:sz="4" w:space="0" w:color="auto"/>
            </w:tcBorders>
            <w:hideMark/>
          </w:tcPr>
          <w:p w14:paraId="18C05FA0" w14:textId="77777777" w:rsidR="00BD4AE0" w:rsidRDefault="00BD4AE0">
            <w:pPr>
              <w:spacing w:after="0"/>
              <w:jc w:val="left"/>
              <w:rPr>
                <w:rStyle w:val="null1"/>
              </w:rPr>
            </w:pPr>
            <w:r>
              <w:rPr>
                <w:rStyle w:val="null1"/>
                <w:rFonts w:ascii="Calibri" w:hAnsi="Calibri" w:cs="Calibri"/>
                <w:sz w:val="20"/>
                <w:szCs w:val="20"/>
              </w:rPr>
              <w:t>Staff specialist in clinical pharmacology, toxicology, and addiction medicine at St. Vincent's Hospital</w:t>
            </w:r>
          </w:p>
          <w:p w14:paraId="2721450F" w14:textId="77777777" w:rsidR="00BD4AE0" w:rsidRDefault="00BD4AE0">
            <w:pPr>
              <w:spacing w:after="0"/>
              <w:jc w:val="left"/>
              <w:rPr>
                <w:color w:val="000000"/>
              </w:rPr>
            </w:pPr>
            <w:r>
              <w:rPr>
                <w:rStyle w:val="null1"/>
                <w:rFonts w:ascii="Calibri" w:hAnsi="Calibri" w:cs="Calibri"/>
                <w:sz w:val="20"/>
                <w:szCs w:val="20"/>
              </w:rPr>
              <w:t>Clinical lecturer at the University of NSW and University of Sydney</w:t>
            </w:r>
          </w:p>
        </w:tc>
        <w:tc>
          <w:tcPr>
            <w:tcW w:w="1985" w:type="dxa"/>
            <w:tcBorders>
              <w:top w:val="nil"/>
              <w:left w:val="nil"/>
              <w:bottom w:val="single" w:sz="4" w:space="0" w:color="auto"/>
              <w:right w:val="single" w:sz="4" w:space="0" w:color="auto"/>
            </w:tcBorders>
            <w:hideMark/>
          </w:tcPr>
          <w:p w14:paraId="42631250" w14:textId="77777777" w:rsidR="00BD4AE0" w:rsidRDefault="00BD4AE0">
            <w:pPr>
              <w:jc w:val="left"/>
              <w:rPr>
                <w:rFonts w:ascii="Calibri" w:hAnsi="Calibri" w:cs="Calibri"/>
                <w:sz w:val="20"/>
                <w:szCs w:val="20"/>
              </w:rPr>
            </w:pPr>
            <w:r>
              <w:rPr>
                <w:rFonts w:ascii="Calibri" w:hAnsi="Calibri" w:cs="Calibri"/>
                <w:color w:val="000000"/>
                <w:sz w:val="20"/>
                <w:szCs w:val="20"/>
              </w:rPr>
              <w:t>Technical Expert</w:t>
            </w:r>
          </w:p>
        </w:tc>
      </w:tr>
      <w:tr w:rsidR="00BD4AE0" w14:paraId="1CF73B58" w14:textId="77777777" w:rsidTr="00BD4AE0">
        <w:tc>
          <w:tcPr>
            <w:tcW w:w="2316" w:type="dxa"/>
            <w:tcBorders>
              <w:top w:val="nil"/>
              <w:left w:val="single" w:sz="4" w:space="0" w:color="auto"/>
              <w:bottom w:val="single" w:sz="4" w:space="0" w:color="auto"/>
              <w:right w:val="single" w:sz="4" w:space="0" w:color="auto"/>
            </w:tcBorders>
            <w:hideMark/>
          </w:tcPr>
          <w:p w14:paraId="531B05F6" w14:textId="77777777" w:rsidR="00BD4AE0" w:rsidRDefault="00BD4AE0">
            <w:pPr>
              <w:pStyle w:val="u-lead-text"/>
              <w:shd w:val="clear" w:color="auto" w:fill="FFFFFF"/>
              <w:spacing w:before="0" w:beforeAutospacing="0" w:after="0" w:afterAutospacing="0"/>
              <w:rPr>
                <w:rFonts w:ascii="Calibri" w:hAnsi="Calibri" w:cs="Calibri"/>
                <w:color w:val="000000"/>
                <w:sz w:val="20"/>
                <w:szCs w:val="20"/>
                <w:lang w:eastAsia="en-US"/>
              </w:rPr>
            </w:pPr>
            <w:r>
              <w:rPr>
                <w:rFonts w:ascii="Calibri" w:hAnsi="Calibri" w:cs="Calibri"/>
                <w:color w:val="000000"/>
                <w:sz w:val="20"/>
                <w:szCs w:val="20"/>
                <w:lang w:eastAsia="en-US"/>
              </w:rPr>
              <w:t>Dr Dawn Casey</w:t>
            </w:r>
          </w:p>
        </w:tc>
        <w:tc>
          <w:tcPr>
            <w:tcW w:w="5192" w:type="dxa"/>
            <w:tcBorders>
              <w:top w:val="nil"/>
              <w:left w:val="nil"/>
              <w:bottom w:val="single" w:sz="4" w:space="0" w:color="auto"/>
              <w:right w:val="single" w:sz="4" w:space="0" w:color="auto"/>
            </w:tcBorders>
            <w:hideMark/>
          </w:tcPr>
          <w:p w14:paraId="4EC09E3C" w14:textId="77777777" w:rsidR="00BD4AE0" w:rsidRDefault="00BD4AE0">
            <w:pPr>
              <w:pStyle w:val="u-lead-text"/>
              <w:shd w:val="clear" w:color="auto" w:fill="FFFFFF"/>
              <w:spacing w:before="0" w:beforeAutospacing="0" w:after="0" w:afterAutospacing="0"/>
              <w:rPr>
                <w:rFonts w:ascii="Calibri" w:hAnsi="Calibri" w:cs="Calibri"/>
                <w:color w:val="000000"/>
                <w:sz w:val="20"/>
                <w:szCs w:val="20"/>
                <w:lang w:eastAsia="en-US"/>
              </w:rPr>
            </w:pPr>
            <w:r>
              <w:rPr>
                <w:rFonts w:ascii="Calibri" w:hAnsi="Calibri" w:cs="Calibri"/>
                <w:color w:val="000000"/>
                <w:sz w:val="20"/>
                <w:szCs w:val="20"/>
                <w:lang w:eastAsia="en-US"/>
              </w:rPr>
              <w:t>Deputy CEO, National Aboriginal Community Controlled Health Organisation</w:t>
            </w:r>
          </w:p>
        </w:tc>
        <w:tc>
          <w:tcPr>
            <w:tcW w:w="1985" w:type="dxa"/>
            <w:tcBorders>
              <w:top w:val="nil"/>
              <w:left w:val="nil"/>
              <w:bottom w:val="single" w:sz="4" w:space="0" w:color="auto"/>
              <w:right w:val="single" w:sz="4" w:space="0" w:color="auto"/>
            </w:tcBorders>
            <w:hideMark/>
          </w:tcPr>
          <w:p w14:paraId="4E8344E7" w14:textId="77777777" w:rsidR="00BD4AE0" w:rsidRDefault="00BD4AE0">
            <w:pPr>
              <w:jc w:val="left"/>
              <w:rPr>
                <w:rFonts w:ascii="Calibri" w:hAnsi="Calibri" w:cs="Calibri"/>
                <w:sz w:val="20"/>
                <w:szCs w:val="20"/>
              </w:rPr>
            </w:pPr>
            <w:r>
              <w:rPr>
                <w:rFonts w:ascii="Calibri" w:hAnsi="Calibri" w:cs="Calibri"/>
                <w:color w:val="000000"/>
                <w:sz w:val="20"/>
                <w:szCs w:val="20"/>
              </w:rPr>
              <w:t>Organisational representative</w:t>
            </w:r>
          </w:p>
        </w:tc>
      </w:tr>
      <w:tr w:rsidR="00BD4AE0" w14:paraId="05444C26" w14:textId="77777777" w:rsidTr="00BD4AE0">
        <w:tc>
          <w:tcPr>
            <w:tcW w:w="2316" w:type="dxa"/>
            <w:tcBorders>
              <w:top w:val="nil"/>
              <w:left w:val="single" w:sz="4" w:space="0" w:color="auto"/>
              <w:bottom w:val="single" w:sz="4" w:space="0" w:color="auto"/>
              <w:right w:val="single" w:sz="4" w:space="0" w:color="auto"/>
            </w:tcBorders>
            <w:hideMark/>
          </w:tcPr>
          <w:p w14:paraId="53AC683F" w14:textId="77777777" w:rsidR="00BD4AE0" w:rsidRDefault="00BD4AE0">
            <w:pPr>
              <w:pStyle w:val="u-lead-text"/>
              <w:shd w:val="clear" w:color="auto" w:fill="FFFFFF"/>
              <w:spacing w:before="0" w:beforeAutospacing="0" w:after="0" w:afterAutospacing="0"/>
              <w:rPr>
                <w:rFonts w:ascii="Calibri" w:hAnsi="Calibri" w:cs="Calibri"/>
                <w:color w:val="000000"/>
                <w:sz w:val="20"/>
                <w:szCs w:val="20"/>
                <w:lang w:eastAsia="en-US"/>
              </w:rPr>
            </w:pPr>
            <w:r>
              <w:rPr>
                <w:rFonts w:ascii="Calibri" w:hAnsi="Calibri" w:cs="Calibri"/>
                <w:color w:val="000000"/>
                <w:sz w:val="20"/>
                <w:szCs w:val="20"/>
                <w:lang w:eastAsia="en-US"/>
              </w:rPr>
              <w:t>Professor Diana Egerton-Warburton OAM</w:t>
            </w:r>
          </w:p>
        </w:tc>
        <w:tc>
          <w:tcPr>
            <w:tcW w:w="5192" w:type="dxa"/>
            <w:tcBorders>
              <w:top w:val="nil"/>
              <w:left w:val="nil"/>
              <w:bottom w:val="single" w:sz="4" w:space="0" w:color="auto"/>
              <w:right w:val="single" w:sz="4" w:space="0" w:color="auto"/>
            </w:tcBorders>
          </w:tcPr>
          <w:p w14:paraId="18282B74" w14:textId="77777777" w:rsidR="00BD4AE0" w:rsidRDefault="00BD4AE0">
            <w:pPr>
              <w:pStyle w:val="u-lead-text"/>
              <w:shd w:val="clear" w:color="auto" w:fill="FFFFFF"/>
              <w:spacing w:before="0" w:beforeAutospacing="0" w:after="0" w:afterAutospacing="0"/>
              <w:rPr>
                <w:rFonts w:ascii="Calibri" w:hAnsi="Calibri" w:cs="Calibri"/>
                <w:color w:val="000000"/>
                <w:sz w:val="20"/>
                <w:szCs w:val="20"/>
                <w:lang w:eastAsia="en-US"/>
              </w:rPr>
            </w:pPr>
            <w:r>
              <w:rPr>
                <w:rFonts w:ascii="Calibri" w:hAnsi="Calibri" w:cs="Calibri"/>
                <w:color w:val="000000"/>
                <w:sz w:val="20"/>
                <w:szCs w:val="20"/>
                <w:lang w:eastAsia="en-US"/>
              </w:rPr>
              <w:t xml:space="preserve">Emergency Medicine physician </w:t>
            </w:r>
          </w:p>
          <w:p w14:paraId="5817D090" w14:textId="77777777" w:rsidR="00BD4AE0" w:rsidRDefault="00BD4AE0">
            <w:pPr>
              <w:pStyle w:val="u-lead-text"/>
              <w:shd w:val="clear" w:color="auto" w:fill="FFFFFF"/>
              <w:spacing w:before="0" w:beforeAutospacing="0" w:after="0" w:afterAutospacing="0"/>
              <w:rPr>
                <w:rFonts w:ascii="Calibri" w:hAnsi="Calibri" w:cs="Calibri"/>
                <w:color w:val="000000"/>
                <w:sz w:val="20"/>
                <w:szCs w:val="20"/>
                <w:lang w:eastAsia="en-US"/>
              </w:rPr>
            </w:pPr>
          </w:p>
        </w:tc>
        <w:tc>
          <w:tcPr>
            <w:tcW w:w="1985" w:type="dxa"/>
            <w:tcBorders>
              <w:top w:val="nil"/>
              <w:left w:val="nil"/>
              <w:bottom w:val="single" w:sz="4" w:space="0" w:color="auto"/>
              <w:right w:val="single" w:sz="4" w:space="0" w:color="auto"/>
            </w:tcBorders>
            <w:hideMark/>
          </w:tcPr>
          <w:p w14:paraId="24A912D5" w14:textId="77777777" w:rsidR="00BD4AE0" w:rsidRDefault="00BD4AE0">
            <w:pPr>
              <w:jc w:val="left"/>
              <w:rPr>
                <w:rFonts w:ascii="Calibri" w:hAnsi="Calibri" w:cs="Calibri"/>
                <w:sz w:val="20"/>
                <w:szCs w:val="20"/>
              </w:rPr>
            </w:pPr>
            <w:r>
              <w:rPr>
                <w:rFonts w:ascii="Calibri" w:hAnsi="Calibri" w:cs="Calibri"/>
                <w:color w:val="000000"/>
                <w:sz w:val="20"/>
                <w:szCs w:val="20"/>
              </w:rPr>
              <w:t>Technical Expert</w:t>
            </w:r>
          </w:p>
        </w:tc>
      </w:tr>
      <w:tr w:rsidR="00BD4AE0" w14:paraId="1C36055D" w14:textId="77777777" w:rsidTr="00BD4AE0">
        <w:tc>
          <w:tcPr>
            <w:tcW w:w="2316" w:type="dxa"/>
            <w:tcBorders>
              <w:top w:val="nil"/>
              <w:left w:val="single" w:sz="4" w:space="0" w:color="auto"/>
              <w:bottom w:val="single" w:sz="4" w:space="0" w:color="auto"/>
              <w:right w:val="single" w:sz="4" w:space="0" w:color="auto"/>
            </w:tcBorders>
            <w:hideMark/>
          </w:tcPr>
          <w:p w14:paraId="282A0E52" w14:textId="77777777" w:rsidR="00BD4AE0" w:rsidRDefault="00BD4AE0">
            <w:pPr>
              <w:pStyle w:val="u-lead-text"/>
              <w:shd w:val="clear" w:color="auto" w:fill="FFFFFF"/>
              <w:spacing w:before="0" w:beforeAutospacing="0" w:after="0" w:afterAutospacing="0"/>
              <w:rPr>
                <w:rFonts w:ascii="Calibri" w:hAnsi="Calibri" w:cs="Calibri"/>
                <w:color w:val="000000"/>
                <w:sz w:val="20"/>
                <w:szCs w:val="20"/>
                <w:lang w:eastAsia="en-US"/>
              </w:rPr>
            </w:pPr>
            <w:r>
              <w:rPr>
                <w:rFonts w:ascii="Calibri" w:hAnsi="Calibri" w:cs="Calibri"/>
                <w:color w:val="000000"/>
                <w:sz w:val="20"/>
                <w:szCs w:val="20"/>
                <w:lang w:eastAsia="en-US"/>
              </w:rPr>
              <w:t>Chris Gough</w:t>
            </w:r>
          </w:p>
        </w:tc>
        <w:tc>
          <w:tcPr>
            <w:tcW w:w="5192" w:type="dxa"/>
            <w:tcBorders>
              <w:top w:val="nil"/>
              <w:left w:val="nil"/>
              <w:bottom w:val="single" w:sz="4" w:space="0" w:color="auto"/>
              <w:right w:val="single" w:sz="4" w:space="0" w:color="auto"/>
            </w:tcBorders>
            <w:hideMark/>
          </w:tcPr>
          <w:p w14:paraId="70742253" w14:textId="77777777" w:rsidR="00BD4AE0" w:rsidRDefault="00BD4AE0">
            <w:pPr>
              <w:pStyle w:val="u-lead-text"/>
              <w:shd w:val="clear" w:color="auto" w:fill="FFFFFF"/>
              <w:spacing w:before="0" w:beforeAutospacing="0" w:after="0" w:afterAutospacing="0"/>
              <w:rPr>
                <w:rFonts w:ascii="Calibri" w:hAnsi="Calibri" w:cs="Calibri"/>
                <w:color w:val="000000"/>
                <w:sz w:val="20"/>
                <w:szCs w:val="20"/>
                <w:lang w:eastAsia="en-US"/>
              </w:rPr>
            </w:pPr>
            <w:r>
              <w:rPr>
                <w:rFonts w:ascii="Calibri" w:hAnsi="Calibri" w:cs="Calibri"/>
                <w:color w:val="000000"/>
                <w:sz w:val="20"/>
                <w:szCs w:val="20"/>
                <w:lang w:eastAsia="en-US"/>
              </w:rPr>
              <w:t>Executive Director, Canberra Alliance for Harm Minimisation and Advocacy and The Connection Health Service</w:t>
            </w:r>
          </w:p>
        </w:tc>
        <w:tc>
          <w:tcPr>
            <w:tcW w:w="1985" w:type="dxa"/>
            <w:tcBorders>
              <w:top w:val="nil"/>
              <w:left w:val="nil"/>
              <w:bottom w:val="single" w:sz="4" w:space="0" w:color="auto"/>
              <w:right w:val="single" w:sz="4" w:space="0" w:color="auto"/>
            </w:tcBorders>
            <w:hideMark/>
          </w:tcPr>
          <w:p w14:paraId="3255AF62" w14:textId="77777777" w:rsidR="00BD4AE0" w:rsidRDefault="00BD4AE0">
            <w:pPr>
              <w:jc w:val="left"/>
              <w:rPr>
                <w:rFonts w:ascii="Calibri" w:hAnsi="Calibri" w:cs="Calibri"/>
                <w:sz w:val="20"/>
                <w:szCs w:val="20"/>
              </w:rPr>
            </w:pPr>
            <w:r>
              <w:rPr>
                <w:rStyle w:val="null1"/>
                <w:rFonts w:ascii="Calibri" w:hAnsi="Calibri" w:cs="Calibri"/>
                <w:sz w:val="20"/>
                <w:szCs w:val="20"/>
              </w:rPr>
              <w:t>Or</w:t>
            </w:r>
            <w:r>
              <w:rPr>
                <w:rFonts w:ascii="Calibri" w:hAnsi="Calibri" w:cs="Calibri"/>
                <w:color w:val="000000"/>
                <w:sz w:val="20"/>
                <w:szCs w:val="20"/>
              </w:rPr>
              <w:t>ganisational representative and consumer advocate</w:t>
            </w:r>
          </w:p>
        </w:tc>
      </w:tr>
      <w:tr w:rsidR="00BD4AE0" w14:paraId="231CC683" w14:textId="77777777" w:rsidTr="00BD4AE0">
        <w:tc>
          <w:tcPr>
            <w:tcW w:w="2316" w:type="dxa"/>
            <w:tcBorders>
              <w:top w:val="nil"/>
              <w:left w:val="single" w:sz="4" w:space="0" w:color="auto"/>
              <w:bottom w:val="single" w:sz="4" w:space="0" w:color="auto"/>
              <w:right w:val="single" w:sz="4" w:space="0" w:color="auto"/>
            </w:tcBorders>
            <w:hideMark/>
          </w:tcPr>
          <w:p w14:paraId="5F78948E" w14:textId="77777777" w:rsidR="00BD4AE0" w:rsidRDefault="00BD4AE0">
            <w:pPr>
              <w:pStyle w:val="u-lead-text"/>
              <w:shd w:val="clear" w:color="auto" w:fill="FFFFFF"/>
              <w:spacing w:before="0" w:beforeAutospacing="0" w:after="0" w:afterAutospacing="0"/>
              <w:rPr>
                <w:rFonts w:ascii="Calibri" w:hAnsi="Calibri" w:cs="Calibri"/>
                <w:color w:val="000000"/>
                <w:sz w:val="20"/>
                <w:szCs w:val="20"/>
                <w:lang w:eastAsia="en-US"/>
              </w:rPr>
            </w:pPr>
            <w:r>
              <w:rPr>
                <w:rFonts w:ascii="Calibri" w:hAnsi="Calibri" w:cs="Calibri"/>
                <w:color w:val="000000"/>
                <w:sz w:val="20"/>
                <w:szCs w:val="20"/>
                <w:lang w:eastAsia="en-US"/>
              </w:rPr>
              <w:t>Jason Harrison</w:t>
            </w:r>
          </w:p>
        </w:tc>
        <w:tc>
          <w:tcPr>
            <w:tcW w:w="5192" w:type="dxa"/>
            <w:tcBorders>
              <w:top w:val="nil"/>
              <w:left w:val="nil"/>
              <w:bottom w:val="single" w:sz="4" w:space="0" w:color="auto"/>
              <w:right w:val="single" w:sz="4" w:space="0" w:color="auto"/>
            </w:tcBorders>
            <w:hideMark/>
          </w:tcPr>
          <w:p w14:paraId="2FE7E846" w14:textId="77777777" w:rsidR="00BD4AE0" w:rsidRDefault="00BD4AE0">
            <w:pPr>
              <w:pStyle w:val="u-lead-text"/>
              <w:shd w:val="clear" w:color="auto" w:fill="FFFFFF"/>
              <w:spacing w:before="0" w:beforeAutospacing="0" w:after="0" w:afterAutospacing="0"/>
              <w:rPr>
                <w:rFonts w:ascii="Calibri" w:hAnsi="Calibri" w:cs="Calibri"/>
                <w:color w:val="000000"/>
                <w:sz w:val="20"/>
                <w:szCs w:val="20"/>
                <w:lang w:eastAsia="en-US"/>
              </w:rPr>
            </w:pPr>
            <w:r>
              <w:rPr>
                <w:rFonts w:ascii="Calibri" w:hAnsi="Calibri" w:cs="Calibri"/>
                <w:color w:val="000000"/>
                <w:sz w:val="20"/>
                <w:szCs w:val="20"/>
                <w:lang w:eastAsia="en-US"/>
              </w:rPr>
              <w:t>National Secretary, Australian College of Nurse Practitioners</w:t>
            </w:r>
          </w:p>
          <w:p w14:paraId="6EC6935A" w14:textId="77777777" w:rsidR="00BD4AE0" w:rsidRDefault="00BD4AE0">
            <w:pPr>
              <w:pStyle w:val="u-lead-text"/>
              <w:shd w:val="clear" w:color="auto" w:fill="FFFFFF"/>
              <w:spacing w:before="0" w:beforeAutospacing="0" w:after="0" w:afterAutospacing="0"/>
              <w:rPr>
                <w:rFonts w:ascii="Calibri" w:hAnsi="Calibri" w:cs="Calibri"/>
                <w:color w:val="000000"/>
                <w:sz w:val="20"/>
                <w:szCs w:val="20"/>
                <w:lang w:eastAsia="en-US"/>
              </w:rPr>
            </w:pPr>
            <w:r>
              <w:rPr>
                <w:rFonts w:ascii="Calibri" w:hAnsi="Calibri" w:cs="Calibri"/>
                <w:color w:val="000000"/>
                <w:sz w:val="20"/>
                <w:szCs w:val="20"/>
                <w:lang w:eastAsia="en-US"/>
              </w:rPr>
              <w:t>Drug and alcohol Nurse Practitioner</w:t>
            </w:r>
          </w:p>
        </w:tc>
        <w:tc>
          <w:tcPr>
            <w:tcW w:w="1985" w:type="dxa"/>
            <w:tcBorders>
              <w:top w:val="nil"/>
              <w:left w:val="nil"/>
              <w:bottom w:val="single" w:sz="4" w:space="0" w:color="auto"/>
              <w:right w:val="single" w:sz="4" w:space="0" w:color="auto"/>
            </w:tcBorders>
            <w:hideMark/>
          </w:tcPr>
          <w:p w14:paraId="530FE04D" w14:textId="77777777" w:rsidR="00BD4AE0" w:rsidRDefault="00BD4AE0">
            <w:pPr>
              <w:jc w:val="left"/>
              <w:rPr>
                <w:rFonts w:ascii="Calibri" w:hAnsi="Calibri" w:cs="Calibri"/>
                <w:sz w:val="20"/>
                <w:szCs w:val="20"/>
              </w:rPr>
            </w:pPr>
            <w:r>
              <w:rPr>
                <w:rFonts w:ascii="Calibri" w:hAnsi="Calibri" w:cs="Calibri"/>
                <w:color w:val="000000"/>
                <w:sz w:val="20"/>
                <w:szCs w:val="20"/>
              </w:rPr>
              <w:t>Technical Expert</w:t>
            </w:r>
          </w:p>
        </w:tc>
      </w:tr>
      <w:tr w:rsidR="00BD4AE0" w14:paraId="148B6534" w14:textId="77777777" w:rsidTr="00BD4AE0">
        <w:tc>
          <w:tcPr>
            <w:tcW w:w="2316" w:type="dxa"/>
            <w:tcBorders>
              <w:top w:val="nil"/>
              <w:left w:val="single" w:sz="4" w:space="0" w:color="auto"/>
              <w:bottom w:val="single" w:sz="4" w:space="0" w:color="auto"/>
              <w:right w:val="single" w:sz="4" w:space="0" w:color="auto"/>
            </w:tcBorders>
            <w:hideMark/>
          </w:tcPr>
          <w:p w14:paraId="21F84F95" w14:textId="77777777" w:rsidR="00BD4AE0" w:rsidRDefault="00BD4AE0">
            <w:pPr>
              <w:pStyle w:val="u-lead-text"/>
              <w:shd w:val="clear" w:color="auto" w:fill="FFFFFF"/>
              <w:spacing w:before="0" w:beforeAutospacing="0" w:after="0" w:afterAutospacing="0"/>
              <w:rPr>
                <w:rFonts w:ascii="Calibri" w:hAnsi="Calibri" w:cs="Calibri"/>
                <w:color w:val="000000"/>
                <w:sz w:val="20"/>
                <w:szCs w:val="20"/>
                <w:lang w:eastAsia="en-US"/>
              </w:rPr>
            </w:pPr>
            <w:r>
              <w:rPr>
                <w:rFonts w:ascii="Calibri" w:hAnsi="Calibri" w:cs="Calibri"/>
                <w:color w:val="000000"/>
                <w:sz w:val="20"/>
                <w:szCs w:val="20"/>
                <w:lang w:eastAsia="en-US"/>
              </w:rPr>
              <w:t>Dr Cameron Loy</w:t>
            </w:r>
          </w:p>
        </w:tc>
        <w:tc>
          <w:tcPr>
            <w:tcW w:w="5192" w:type="dxa"/>
            <w:tcBorders>
              <w:top w:val="nil"/>
              <w:left w:val="nil"/>
              <w:bottom w:val="single" w:sz="4" w:space="0" w:color="auto"/>
              <w:right w:val="single" w:sz="4" w:space="0" w:color="auto"/>
            </w:tcBorders>
            <w:hideMark/>
          </w:tcPr>
          <w:p w14:paraId="4E11BF40" w14:textId="77777777" w:rsidR="00BD4AE0" w:rsidRDefault="00BD4AE0">
            <w:pPr>
              <w:spacing w:after="0"/>
              <w:jc w:val="left"/>
              <w:rPr>
                <w:rStyle w:val="null1"/>
              </w:rPr>
            </w:pPr>
            <w:r>
              <w:rPr>
                <w:rStyle w:val="null1"/>
                <w:rFonts w:ascii="Calibri" w:hAnsi="Calibri" w:cs="Calibri"/>
                <w:sz w:val="20"/>
                <w:szCs w:val="20"/>
              </w:rPr>
              <w:t>General Practitioner</w:t>
            </w:r>
          </w:p>
          <w:p w14:paraId="19E2D5F7" w14:textId="77777777" w:rsidR="00BD4AE0" w:rsidRDefault="00BD4AE0">
            <w:pPr>
              <w:pStyle w:val="u-lead-text"/>
              <w:shd w:val="clear" w:color="auto" w:fill="FFFFFF"/>
              <w:spacing w:before="0" w:beforeAutospacing="0" w:after="0" w:afterAutospacing="0"/>
              <w:rPr>
                <w:color w:val="000000"/>
                <w:lang w:eastAsia="en-US"/>
              </w:rPr>
            </w:pPr>
            <w:r>
              <w:rPr>
                <w:rFonts w:ascii="Calibri" w:hAnsi="Calibri" w:cs="Calibri"/>
                <w:color w:val="000000"/>
                <w:sz w:val="20"/>
                <w:szCs w:val="20"/>
                <w:lang w:eastAsia="en-US"/>
              </w:rPr>
              <w:t xml:space="preserve">Principle Medical Officer, Justice Health, Department of Justice and Regulation, Victoria </w:t>
            </w:r>
          </w:p>
        </w:tc>
        <w:tc>
          <w:tcPr>
            <w:tcW w:w="1985" w:type="dxa"/>
            <w:tcBorders>
              <w:top w:val="nil"/>
              <w:left w:val="nil"/>
              <w:bottom w:val="single" w:sz="4" w:space="0" w:color="auto"/>
              <w:right w:val="single" w:sz="4" w:space="0" w:color="auto"/>
            </w:tcBorders>
            <w:hideMark/>
          </w:tcPr>
          <w:p w14:paraId="2E3724CC" w14:textId="77777777" w:rsidR="00BD4AE0" w:rsidRDefault="00BD4AE0">
            <w:pPr>
              <w:jc w:val="left"/>
              <w:rPr>
                <w:rFonts w:ascii="Calibri" w:hAnsi="Calibri" w:cs="Calibri"/>
                <w:sz w:val="20"/>
                <w:szCs w:val="20"/>
              </w:rPr>
            </w:pPr>
            <w:r>
              <w:rPr>
                <w:rFonts w:ascii="Calibri" w:hAnsi="Calibri" w:cs="Calibri"/>
                <w:color w:val="000000"/>
                <w:sz w:val="20"/>
                <w:szCs w:val="20"/>
              </w:rPr>
              <w:t>Technical Expert</w:t>
            </w:r>
          </w:p>
        </w:tc>
      </w:tr>
      <w:tr w:rsidR="00BD4AE0" w14:paraId="08068F86" w14:textId="77777777" w:rsidTr="00BD4AE0">
        <w:tc>
          <w:tcPr>
            <w:tcW w:w="2316" w:type="dxa"/>
            <w:tcBorders>
              <w:top w:val="nil"/>
              <w:left w:val="single" w:sz="4" w:space="0" w:color="auto"/>
              <w:bottom w:val="single" w:sz="4" w:space="0" w:color="auto"/>
              <w:right w:val="single" w:sz="4" w:space="0" w:color="auto"/>
            </w:tcBorders>
            <w:hideMark/>
          </w:tcPr>
          <w:p w14:paraId="42B62D1E" w14:textId="77777777" w:rsidR="00BD4AE0" w:rsidRDefault="00BD4AE0">
            <w:pPr>
              <w:pStyle w:val="u-lead-text"/>
              <w:shd w:val="clear" w:color="auto" w:fill="FFFFFF"/>
              <w:spacing w:before="0" w:beforeAutospacing="0" w:after="0" w:afterAutospacing="0"/>
              <w:rPr>
                <w:rFonts w:ascii="Calibri" w:hAnsi="Calibri" w:cs="Calibri"/>
                <w:color w:val="000000"/>
                <w:sz w:val="20"/>
                <w:szCs w:val="20"/>
                <w:lang w:eastAsia="en-US"/>
              </w:rPr>
            </w:pPr>
            <w:r>
              <w:rPr>
                <w:rFonts w:ascii="Calibri" w:hAnsi="Calibri" w:cs="Calibri"/>
                <w:color w:val="000000"/>
                <w:sz w:val="20"/>
                <w:szCs w:val="20"/>
                <w:lang w:eastAsia="en-US"/>
              </w:rPr>
              <w:t xml:space="preserve">Dr Annie Madden </w:t>
            </w:r>
          </w:p>
        </w:tc>
        <w:tc>
          <w:tcPr>
            <w:tcW w:w="5192" w:type="dxa"/>
            <w:tcBorders>
              <w:top w:val="nil"/>
              <w:left w:val="nil"/>
              <w:bottom w:val="single" w:sz="4" w:space="0" w:color="auto"/>
              <w:right w:val="single" w:sz="4" w:space="0" w:color="auto"/>
            </w:tcBorders>
          </w:tcPr>
          <w:p w14:paraId="61EDBEB3" w14:textId="77777777" w:rsidR="00BD4AE0" w:rsidRDefault="00BD4AE0">
            <w:pPr>
              <w:pStyle w:val="u-lead-text"/>
              <w:shd w:val="clear" w:color="auto" w:fill="FFFFFF"/>
              <w:spacing w:before="0" w:beforeAutospacing="0" w:after="0" w:afterAutospacing="0"/>
              <w:rPr>
                <w:rFonts w:ascii="Calibri" w:hAnsi="Calibri" w:cs="Calibri"/>
                <w:color w:val="000000"/>
                <w:sz w:val="20"/>
                <w:szCs w:val="20"/>
                <w:lang w:eastAsia="en-US"/>
              </w:rPr>
            </w:pPr>
            <w:r>
              <w:rPr>
                <w:rFonts w:ascii="Calibri" w:hAnsi="Calibri" w:cs="Calibri"/>
                <w:color w:val="000000"/>
                <w:sz w:val="20"/>
                <w:szCs w:val="20"/>
                <w:lang w:eastAsia="en-US"/>
              </w:rPr>
              <w:t>Executive Director, Harm Reduction Australia</w:t>
            </w:r>
          </w:p>
          <w:p w14:paraId="78B9BAF5" w14:textId="77777777" w:rsidR="00BD4AE0" w:rsidRDefault="00BD4AE0">
            <w:pPr>
              <w:pStyle w:val="u-lead-text"/>
              <w:shd w:val="clear" w:color="auto" w:fill="FFFFFF"/>
              <w:spacing w:before="0" w:beforeAutospacing="0" w:after="0" w:afterAutospacing="0"/>
              <w:rPr>
                <w:rFonts w:ascii="Calibri" w:hAnsi="Calibri" w:cs="Calibri"/>
                <w:color w:val="000000"/>
                <w:sz w:val="20"/>
                <w:szCs w:val="20"/>
                <w:lang w:eastAsia="en-US"/>
              </w:rPr>
            </w:pPr>
          </w:p>
        </w:tc>
        <w:tc>
          <w:tcPr>
            <w:tcW w:w="1985" w:type="dxa"/>
            <w:tcBorders>
              <w:top w:val="nil"/>
              <w:left w:val="nil"/>
              <w:bottom w:val="single" w:sz="4" w:space="0" w:color="auto"/>
              <w:right w:val="single" w:sz="4" w:space="0" w:color="auto"/>
            </w:tcBorders>
            <w:hideMark/>
          </w:tcPr>
          <w:p w14:paraId="0846325B" w14:textId="77777777" w:rsidR="00BD4AE0" w:rsidRDefault="00BD4AE0">
            <w:pPr>
              <w:jc w:val="left"/>
              <w:rPr>
                <w:rFonts w:ascii="Calibri" w:hAnsi="Calibri" w:cs="Calibri"/>
                <w:sz w:val="20"/>
                <w:szCs w:val="20"/>
              </w:rPr>
            </w:pPr>
            <w:r>
              <w:rPr>
                <w:rStyle w:val="null1"/>
                <w:rFonts w:ascii="Calibri" w:hAnsi="Calibri" w:cs="Calibri"/>
                <w:sz w:val="20"/>
                <w:szCs w:val="20"/>
              </w:rPr>
              <w:t xml:space="preserve">Organisational </w:t>
            </w:r>
            <w:r>
              <w:rPr>
                <w:rFonts w:ascii="Calibri" w:hAnsi="Calibri" w:cs="Calibri"/>
                <w:color w:val="000000"/>
                <w:sz w:val="20"/>
                <w:szCs w:val="20"/>
              </w:rPr>
              <w:t>representative</w:t>
            </w:r>
            <w:r>
              <w:rPr>
                <w:rStyle w:val="null1"/>
                <w:rFonts w:ascii="Calibri" w:hAnsi="Calibri" w:cs="Calibri"/>
                <w:sz w:val="20"/>
                <w:szCs w:val="20"/>
              </w:rPr>
              <w:t xml:space="preserve"> and consumer advocate</w:t>
            </w:r>
          </w:p>
        </w:tc>
      </w:tr>
      <w:tr w:rsidR="00BD4AE0" w14:paraId="26A57F38" w14:textId="77777777" w:rsidTr="00BD4AE0">
        <w:tc>
          <w:tcPr>
            <w:tcW w:w="2316" w:type="dxa"/>
            <w:tcBorders>
              <w:top w:val="nil"/>
              <w:left w:val="single" w:sz="4" w:space="0" w:color="auto"/>
              <w:bottom w:val="single" w:sz="4" w:space="0" w:color="auto"/>
              <w:right w:val="single" w:sz="4" w:space="0" w:color="auto"/>
            </w:tcBorders>
            <w:hideMark/>
          </w:tcPr>
          <w:p w14:paraId="7EBCBF93" w14:textId="77777777" w:rsidR="00BD4AE0" w:rsidRDefault="00BD4AE0">
            <w:pPr>
              <w:pStyle w:val="u-lead-text"/>
              <w:shd w:val="clear" w:color="auto" w:fill="FFFFFF"/>
              <w:spacing w:before="0" w:beforeAutospacing="0" w:after="0" w:afterAutospacing="0"/>
              <w:rPr>
                <w:rFonts w:ascii="Calibri" w:hAnsi="Calibri" w:cs="Calibri"/>
                <w:color w:val="000000"/>
                <w:sz w:val="20"/>
                <w:szCs w:val="20"/>
                <w:lang w:eastAsia="en-US"/>
              </w:rPr>
            </w:pPr>
            <w:r>
              <w:rPr>
                <w:rFonts w:ascii="Calibri" w:hAnsi="Calibri" w:cs="Calibri"/>
                <w:color w:val="000000"/>
                <w:sz w:val="20"/>
                <w:szCs w:val="20"/>
                <w:lang w:eastAsia="en-US"/>
              </w:rPr>
              <w:t>John Ryan</w:t>
            </w:r>
          </w:p>
        </w:tc>
        <w:tc>
          <w:tcPr>
            <w:tcW w:w="5192" w:type="dxa"/>
            <w:tcBorders>
              <w:top w:val="nil"/>
              <w:left w:val="nil"/>
              <w:bottom w:val="single" w:sz="4" w:space="0" w:color="auto"/>
              <w:right w:val="single" w:sz="4" w:space="0" w:color="auto"/>
            </w:tcBorders>
            <w:hideMark/>
          </w:tcPr>
          <w:p w14:paraId="2A0E5793" w14:textId="77777777" w:rsidR="00BD4AE0" w:rsidRDefault="00BD4AE0">
            <w:pPr>
              <w:pStyle w:val="u-lead-text"/>
              <w:shd w:val="clear" w:color="auto" w:fill="FFFFFF"/>
              <w:spacing w:before="0" w:beforeAutospacing="0" w:after="0" w:afterAutospacing="0"/>
              <w:rPr>
                <w:rFonts w:ascii="Calibri" w:hAnsi="Calibri" w:cs="Calibri"/>
                <w:color w:val="000000"/>
                <w:sz w:val="20"/>
                <w:szCs w:val="20"/>
                <w:lang w:eastAsia="en-US"/>
              </w:rPr>
            </w:pPr>
            <w:r>
              <w:rPr>
                <w:rFonts w:ascii="Calibri" w:hAnsi="Calibri" w:cs="Calibri"/>
                <w:color w:val="000000"/>
                <w:sz w:val="20"/>
                <w:szCs w:val="20"/>
                <w:lang w:eastAsia="en-US"/>
              </w:rPr>
              <w:t>CEO, Pennington Institute</w:t>
            </w:r>
          </w:p>
        </w:tc>
        <w:tc>
          <w:tcPr>
            <w:tcW w:w="1985" w:type="dxa"/>
            <w:tcBorders>
              <w:top w:val="nil"/>
              <w:left w:val="nil"/>
              <w:bottom w:val="single" w:sz="4" w:space="0" w:color="auto"/>
              <w:right w:val="single" w:sz="4" w:space="0" w:color="auto"/>
            </w:tcBorders>
            <w:hideMark/>
          </w:tcPr>
          <w:p w14:paraId="03426EE8" w14:textId="77777777" w:rsidR="00BD4AE0" w:rsidRDefault="00BD4AE0">
            <w:pPr>
              <w:jc w:val="left"/>
              <w:rPr>
                <w:rFonts w:ascii="Calibri" w:hAnsi="Calibri" w:cs="Calibri"/>
                <w:sz w:val="20"/>
                <w:szCs w:val="20"/>
              </w:rPr>
            </w:pPr>
            <w:r>
              <w:rPr>
                <w:rFonts w:ascii="Calibri" w:hAnsi="Calibri" w:cs="Calibri"/>
                <w:color w:val="000000"/>
                <w:sz w:val="20"/>
                <w:szCs w:val="20"/>
              </w:rPr>
              <w:t>Technical Expert</w:t>
            </w:r>
          </w:p>
        </w:tc>
      </w:tr>
      <w:tr w:rsidR="00BD4AE0" w14:paraId="56901D0E" w14:textId="77777777" w:rsidTr="00BD4AE0">
        <w:tc>
          <w:tcPr>
            <w:tcW w:w="2316" w:type="dxa"/>
            <w:tcBorders>
              <w:top w:val="nil"/>
              <w:left w:val="single" w:sz="4" w:space="0" w:color="auto"/>
              <w:bottom w:val="single" w:sz="4" w:space="0" w:color="auto"/>
              <w:right w:val="single" w:sz="4" w:space="0" w:color="auto"/>
            </w:tcBorders>
            <w:hideMark/>
          </w:tcPr>
          <w:p w14:paraId="360E3F05" w14:textId="77777777" w:rsidR="00BD4AE0" w:rsidRDefault="00BD4AE0">
            <w:pPr>
              <w:jc w:val="left"/>
              <w:rPr>
                <w:rFonts w:ascii="Calibri" w:hAnsi="Calibri" w:cs="Calibri"/>
                <w:sz w:val="20"/>
                <w:szCs w:val="20"/>
              </w:rPr>
            </w:pPr>
            <w:r>
              <w:rPr>
                <w:rFonts w:ascii="Calibri" w:hAnsi="Calibri" w:cs="Calibri"/>
                <w:color w:val="000000"/>
                <w:sz w:val="20"/>
                <w:szCs w:val="20"/>
              </w:rPr>
              <w:t>Dr Hester Wilson</w:t>
            </w:r>
          </w:p>
        </w:tc>
        <w:tc>
          <w:tcPr>
            <w:tcW w:w="5192" w:type="dxa"/>
            <w:tcBorders>
              <w:top w:val="nil"/>
              <w:left w:val="nil"/>
              <w:bottom w:val="single" w:sz="4" w:space="0" w:color="auto"/>
              <w:right w:val="single" w:sz="4" w:space="0" w:color="auto"/>
            </w:tcBorders>
            <w:hideMark/>
          </w:tcPr>
          <w:p w14:paraId="5B946BB8" w14:textId="77777777" w:rsidR="00BD4AE0" w:rsidRDefault="00BD4AE0">
            <w:pPr>
              <w:pStyle w:val="null"/>
              <w:spacing w:before="0" w:beforeAutospacing="0" w:after="0" w:afterAutospacing="0"/>
              <w:rPr>
                <w:rStyle w:val="null1"/>
                <w:lang w:eastAsia="en-US"/>
              </w:rPr>
            </w:pPr>
            <w:r>
              <w:rPr>
                <w:rStyle w:val="null1"/>
                <w:rFonts w:ascii="Calibri" w:hAnsi="Calibri" w:cs="Calibri"/>
                <w:sz w:val="20"/>
                <w:szCs w:val="20"/>
                <w:lang w:eastAsia="en-US"/>
              </w:rPr>
              <w:t>General Practitioner/Addiction Medicine Specialist</w:t>
            </w:r>
          </w:p>
          <w:p w14:paraId="67F567EE" w14:textId="77777777" w:rsidR="00BD4AE0" w:rsidRDefault="00BD4AE0">
            <w:pPr>
              <w:jc w:val="left"/>
            </w:pPr>
            <w:r>
              <w:rPr>
                <w:rStyle w:val="null1"/>
                <w:rFonts w:ascii="Calibri" w:hAnsi="Calibri" w:cs="Calibri"/>
                <w:sz w:val="20"/>
                <w:szCs w:val="20"/>
              </w:rPr>
              <w:t>Chair of the RACGP GP Specific Interests Addiction Medicine Group</w:t>
            </w:r>
          </w:p>
        </w:tc>
        <w:tc>
          <w:tcPr>
            <w:tcW w:w="1985" w:type="dxa"/>
            <w:tcBorders>
              <w:top w:val="nil"/>
              <w:left w:val="nil"/>
              <w:bottom w:val="single" w:sz="4" w:space="0" w:color="auto"/>
              <w:right w:val="single" w:sz="4" w:space="0" w:color="auto"/>
            </w:tcBorders>
            <w:hideMark/>
          </w:tcPr>
          <w:p w14:paraId="4CA0F97D" w14:textId="77777777" w:rsidR="00BD4AE0" w:rsidRDefault="00BD4AE0">
            <w:pPr>
              <w:jc w:val="left"/>
              <w:rPr>
                <w:rFonts w:ascii="Calibri" w:hAnsi="Calibri" w:cs="Calibri"/>
                <w:sz w:val="20"/>
                <w:szCs w:val="20"/>
              </w:rPr>
            </w:pPr>
            <w:r>
              <w:rPr>
                <w:rFonts w:ascii="Calibri" w:hAnsi="Calibri" w:cs="Calibri"/>
                <w:color w:val="000000"/>
                <w:sz w:val="20"/>
                <w:szCs w:val="20"/>
              </w:rPr>
              <w:t>Technical Expert</w:t>
            </w:r>
          </w:p>
        </w:tc>
      </w:tr>
    </w:tbl>
    <w:p w14:paraId="07C25E77" w14:textId="032B8320" w:rsidR="004139FC" w:rsidRDefault="004139FC" w:rsidP="00DD4BC1">
      <w:r>
        <w:br w:type="page"/>
      </w:r>
    </w:p>
    <w:p w14:paraId="37C98BC2" w14:textId="77777777" w:rsidR="004D277D" w:rsidRDefault="004D277D" w:rsidP="004D277D">
      <w:pPr>
        <w:pStyle w:val="Heading2"/>
        <w:rPr>
          <w:rFonts w:eastAsia="MS Gothic"/>
          <w:highlight w:val="yellow"/>
        </w:rPr>
        <w:sectPr w:rsidR="004D277D" w:rsidSect="00055AA6">
          <w:pgSz w:w="11906" w:h="16838"/>
          <w:pgMar w:top="1440" w:right="1440" w:bottom="1440" w:left="1440" w:header="708" w:footer="708" w:gutter="0"/>
          <w:cols w:space="708"/>
          <w:docGrid w:linePitch="360"/>
        </w:sectPr>
      </w:pPr>
    </w:p>
    <w:p w14:paraId="17E9BB83" w14:textId="5ECFD08E" w:rsidR="004D277D" w:rsidRPr="00147E18" w:rsidRDefault="004D277D" w:rsidP="004D277D">
      <w:pPr>
        <w:pStyle w:val="Heading2"/>
        <w:rPr>
          <w:rFonts w:eastAsia="MS Gothic"/>
        </w:rPr>
      </w:pPr>
      <w:bookmarkStart w:id="707" w:name="_Toc163221191"/>
      <w:r w:rsidRPr="006C247E">
        <w:rPr>
          <w:rFonts w:eastAsia="MS Gothic"/>
        </w:rPr>
        <w:lastRenderedPageBreak/>
        <w:t xml:space="preserve">Appendix </w:t>
      </w:r>
      <w:r w:rsidR="00D06AA8" w:rsidRPr="006C247E">
        <w:rPr>
          <w:rFonts w:eastAsia="MS Gothic"/>
        </w:rPr>
        <w:t>2</w:t>
      </w:r>
      <w:r w:rsidRPr="006C247E">
        <w:rPr>
          <w:rFonts w:eastAsia="MS Gothic"/>
        </w:rPr>
        <w:t xml:space="preserve">: </w:t>
      </w:r>
      <w:r w:rsidR="007C66EA">
        <w:rPr>
          <w:rFonts w:eastAsia="MS Gothic"/>
        </w:rPr>
        <w:t>S</w:t>
      </w:r>
      <w:r w:rsidRPr="00147E18">
        <w:rPr>
          <w:rFonts w:eastAsia="MS Gothic"/>
        </w:rPr>
        <w:t xml:space="preserve">tate and territory policy on administration of long-acting </w:t>
      </w:r>
      <w:r w:rsidR="00666385">
        <w:rPr>
          <w:rFonts w:eastAsia="MS Gothic"/>
        </w:rPr>
        <w:t xml:space="preserve">(depot) </w:t>
      </w:r>
      <w:r w:rsidRPr="00147E18">
        <w:rPr>
          <w:rFonts w:eastAsia="MS Gothic"/>
        </w:rPr>
        <w:t>buprenorphine</w:t>
      </w:r>
      <w:r w:rsidR="002F6C93">
        <w:rPr>
          <w:rFonts w:eastAsia="MS Gothic"/>
          <w:vertAlign w:val="superscript"/>
        </w:rPr>
        <w:t>*</w:t>
      </w:r>
      <w:bookmarkEnd w:id="707"/>
    </w:p>
    <w:tbl>
      <w:tblPr>
        <w:tblW w:w="15016" w:type="dxa"/>
        <w:tblCellMar>
          <w:left w:w="0" w:type="dxa"/>
          <w:right w:w="0" w:type="dxa"/>
        </w:tblCellMar>
        <w:tblLook w:val="04A0" w:firstRow="1" w:lastRow="0" w:firstColumn="1" w:lastColumn="0" w:noHBand="0" w:noVBand="1"/>
      </w:tblPr>
      <w:tblGrid>
        <w:gridCol w:w="1266"/>
        <w:gridCol w:w="2750"/>
        <w:gridCol w:w="2750"/>
        <w:gridCol w:w="2750"/>
        <w:gridCol w:w="2750"/>
        <w:gridCol w:w="2750"/>
      </w:tblGrid>
      <w:tr w:rsidR="004D277D" w:rsidRPr="00147E18" w14:paraId="1069A71B" w14:textId="77777777" w:rsidTr="00EB0FBD">
        <w:trPr>
          <w:cantSplit/>
          <w:trHeight w:val="827"/>
          <w:tblHeader/>
        </w:trPr>
        <w:tc>
          <w:tcPr>
            <w:tcW w:w="1266"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1C471A21" w14:textId="76CF578C" w:rsidR="004D277D" w:rsidRPr="00147E18" w:rsidRDefault="007C66EA" w:rsidP="009367A6">
            <w:pPr>
              <w:spacing w:after="200" w:line="276" w:lineRule="auto"/>
              <w:jc w:val="left"/>
              <w:rPr>
                <w:rFonts w:eastAsia="Calibri" w:cs="Arial"/>
                <w:b/>
                <w:bCs/>
                <w:color w:val="000000"/>
                <w:sz w:val="20"/>
                <w:szCs w:val="20"/>
                <w:lang w:eastAsia="en-AU"/>
              </w:rPr>
            </w:pPr>
            <w:r>
              <w:rPr>
                <w:rFonts w:eastAsia="Calibri" w:cs="Arial"/>
                <w:b/>
                <w:bCs/>
                <w:color w:val="000000"/>
                <w:sz w:val="20"/>
                <w:szCs w:val="20"/>
                <w:lang w:eastAsia="en-AU"/>
              </w:rPr>
              <w:t>STATE</w:t>
            </w:r>
          </w:p>
        </w:tc>
        <w:tc>
          <w:tcPr>
            <w:tcW w:w="275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6EC2125E" w14:textId="5F12D0F7" w:rsidR="004D277D" w:rsidRPr="00147E18" w:rsidRDefault="004D277D" w:rsidP="009367A6">
            <w:pPr>
              <w:spacing w:after="200" w:line="276" w:lineRule="auto"/>
              <w:jc w:val="left"/>
              <w:rPr>
                <w:rFonts w:eastAsia="Calibri" w:cs="Arial"/>
                <w:sz w:val="20"/>
                <w:szCs w:val="20"/>
                <w:lang w:eastAsia="en-AU"/>
              </w:rPr>
            </w:pPr>
            <w:r w:rsidRPr="00147E18">
              <w:rPr>
                <w:rFonts w:eastAsia="Calibri" w:cs="Arial"/>
                <w:b/>
                <w:bCs/>
                <w:color w:val="000000"/>
                <w:sz w:val="20"/>
                <w:szCs w:val="20"/>
                <w:lang w:eastAsia="en-AU"/>
              </w:rPr>
              <w:t xml:space="preserve">Where can depot be accessed? </w:t>
            </w:r>
            <w:r w:rsidR="00787908" w:rsidRPr="00147E18">
              <w:rPr>
                <w:rFonts w:eastAsia="Calibri" w:cs="Arial"/>
                <w:b/>
                <w:bCs/>
                <w:color w:val="000000"/>
                <w:sz w:val="20"/>
                <w:szCs w:val="20"/>
                <w:lang w:eastAsia="en-AU"/>
              </w:rPr>
              <w:t>i.e.,</w:t>
            </w:r>
            <w:r w:rsidRPr="00147E18">
              <w:rPr>
                <w:rFonts w:eastAsia="Calibri" w:cs="Arial"/>
                <w:b/>
                <w:bCs/>
                <w:color w:val="000000"/>
                <w:sz w:val="20"/>
                <w:szCs w:val="20"/>
                <w:lang w:eastAsia="en-AU"/>
              </w:rPr>
              <w:t xml:space="preserve"> clinic or GPs or pharmacies.</w:t>
            </w:r>
          </w:p>
        </w:tc>
        <w:tc>
          <w:tcPr>
            <w:tcW w:w="275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26478AB3" w14:textId="77777777" w:rsidR="004D277D" w:rsidRPr="00147E18" w:rsidRDefault="004D277D" w:rsidP="009367A6">
            <w:pPr>
              <w:spacing w:after="200" w:line="276" w:lineRule="auto"/>
              <w:jc w:val="left"/>
              <w:rPr>
                <w:rFonts w:eastAsia="Calibri" w:cs="Arial"/>
                <w:sz w:val="20"/>
                <w:szCs w:val="20"/>
                <w:lang w:eastAsia="en-AU"/>
              </w:rPr>
            </w:pPr>
            <w:r w:rsidRPr="00147E18">
              <w:rPr>
                <w:rFonts w:eastAsia="Calibri" w:cs="Arial"/>
                <w:b/>
                <w:bCs/>
                <w:color w:val="000000"/>
                <w:sz w:val="20"/>
                <w:szCs w:val="20"/>
                <w:lang w:eastAsia="en-AU"/>
              </w:rPr>
              <w:t>What is the cost to access depot?</w:t>
            </w:r>
          </w:p>
        </w:tc>
        <w:tc>
          <w:tcPr>
            <w:tcW w:w="275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21A0B3E5" w14:textId="77777777" w:rsidR="004D277D" w:rsidRPr="00147E18" w:rsidRDefault="004D277D" w:rsidP="009367A6">
            <w:pPr>
              <w:spacing w:after="200" w:line="276" w:lineRule="auto"/>
              <w:jc w:val="left"/>
              <w:rPr>
                <w:rFonts w:eastAsia="Calibri" w:cs="Arial"/>
                <w:sz w:val="20"/>
                <w:szCs w:val="20"/>
                <w:lang w:eastAsia="en-AU"/>
              </w:rPr>
            </w:pPr>
            <w:r w:rsidRPr="00147E18">
              <w:rPr>
                <w:rFonts w:eastAsia="Calibri" w:cs="Arial"/>
                <w:b/>
                <w:bCs/>
                <w:color w:val="000000"/>
                <w:sz w:val="20"/>
                <w:szCs w:val="20"/>
                <w:lang w:eastAsia="en-AU"/>
              </w:rPr>
              <w:t>Who can prescribe depot?</w:t>
            </w:r>
          </w:p>
        </w:tc>
        <w:tc>
          <w:tcPr>
            <w:tcW w:w="2750"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106DF68B" w14:textId="6BBB9515" w:rsidR="004D277D" w:rsidRPr="00147E18" w:rsidRDefault="004D277D" w:rsidP="006F07A1">
            <w:pPr>
              <w:spacing w:after="200" w:line="276" w:lineRule="auto"/>
              <w:jc w:val="left"/>
              <w:rPr>
                <w:rFonts w:eastAsia="Calibri" w:cs="Arial"/>
                <w:b/>
                <w:bCs/>
                <w:sz w:val="20"/>
                <w:szCs w:val="20"/>
                <w:lang w:eastAsia="en-AU"/>
              </w:rPr>
            </w:pPr>
            <w:r w:rsidRPr="00147E18">
              <w:rPr>
                <w:rFonts w:eastAsia="Calibri" w:cs="Arial"/>
                <w:b/>
                <w:bCs/>
                <w:color w:val="000000"/>
                <w:sz w:val="20"/>
                <w:szCs w:val="20"/>
                <w:lang w:eastAsia="en-AU"/>
              </w:rPr>
              <w:t>Who can administer depot?</w:t>
            </w:r>
          </w:p>
        </w:tc>
        <w:tc>
          <w:tcPr>
            <w:tcW w:w="2750" w:type="dxa"/>
            <w:tcBorders>
              <w:top w:val="single" w:sz="8" w:space="0" w:color="auto"/>
              <w:left w:val="nil"/>
              <w:bottom w:val="single" w:sz="4" w:space="0" w:color="auto"/>
              <w:right w:val="single" w:sz="8" w:space="0" w:color="auto"/>
            </w:tcBorders>
            <w:hideMark/>
          </w:tcPr>
          <w:p w14:paraId="6597ECF0" w14:textId="77777777" w:rsidR="004D277D" w:rsidRPr="00147E18" w:rsidRDefault="004D277D" w:rsidP="009367A6">
            <w:pPr>
              <w:spacing w:after="200" w:line="276" w:lineRule="auto"/>
              <w:jc w:val="left"/>
              <w:rPr>
                <w:rFonts w:eastAsia="Calibri" w:cs="Arial"/>
                <w:b/>
                <w:bCs/>
                <w:color w:val="000000"/>
                <w:sz w:val="20"/>
                <w:szCs w:val="20"/>
                <w:lang w:eastAsia="en-AU"/>
              </w:rPr>
            </w:pPr>
            <w:r w:rsidRPr="00147E18">
              <w:rPr>
                <w:rFonts w:eastAsia="Calibri" w:cs="Arial"/>
                <w:b/>
                <w:bCs/>
                <w:color w:val="000000"/>
                <w:sz w:val="20"/>
                <w:szCs w:val="20"/>
                <w:lang w:eastAsia="en-AU"/>
              </w:rPr>
              <w:t>Comments</w:t>
            </w:r>
          </w:p>
        </w:tc>
      </w:tr>
      <w:tr w:rsidR="004D277D" w:rsidRPr="00147E18" w14:paraId="6268B47A" w14:textId="77777777" w:rsidTr="00666385">
        <w:trPr>
          <w:trHeight w:val="619"/>
        </w:trPr>
        <w:tc>
          <w:tcPr>
            <w:tcW w:w="1266"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403C6A36" w14:textId="5388710C" w:rsidR="004D277D" w:rsidRPr="00147E18" w:rsidRDefault="004D277D" w:rsidP="009367A6">
            <w:pPr>
              <w:spacing w:after="200" w:line="276" w:lineRule="auto"/>
              <w:jc w:val="left"/>
              <w:rPr>
                <w:rFonts w:eastAsia="Calibri" w:cs="Arial"/>
                <w:b/>
                <w:bCs/>
                <w:color w:val="000000"/>
                <w:sz w:val="20"/>
                <w:szCs w:val="20"/>
                <w:lang w:eastAsia="en-AU"/>
              </w:rPr>
            </w:pPr>
            <w:r w:rsidRPr="00147E18">
              <w:rPr>
                <w:rFonts w:eastAsia="Calibri" w:cs="Arial"/>
                <w:b/>
                <w:bCs/>
                <w:color w:val="000000"/>
                <w:sz w:val="20"/>
                <w:szCs w:val="20"/>
                <w:lang w:eastAsia="en-AU"/>
              </w:rPr>
              <w:t>NSW</w:t>
            </w:r>
            <w:hyperlink w:anchor="_ENREF_100" w:tooltip="Lintzeris, 2019 #3564" w:history="1">
              <w:r w:rsidR="002565E6" w:rsidRPr="00147E18">
                <w:rPr>
                  <w:rFonts w:eastAsia="Calibri" w:cs="Arial"/>
                  <w:b/>
                  <w:bCs/>
                  <w:color w:val="000000"/>
                  <w:sz w:val="20"/>
                  <w:szCs w:val="20"/>
                  <w:lang w:eastAsia="en-AU"/>
                </w:rPr>
                <w:fldChar w:fldCharType="begin"/>
              </w:r>
              <w:r w:rsidR="002565E6">
                <w:rPr>
                  <w:rFonts w:eastAsia="Calibri" w:cs="Arial"/>
                  <w:b/>
                  <w:bCs/>
                  <w:color w:val="000000"/>
                  <w:sz w:val="20"/>
                  <w:szCs w:val="20"/>
                  <w:lang w:eastAsia="en-AU"/>
                </w:rPr>
                <w:instrText xml:space="preserve"> ADDIN EN.CITE &lt;EndNote&gt;&lt;Cite&gt;&lt;Author&gt;Lintzeris&lt;/Author&gt;&lt;Year&gt;2019&lt;/Year&gt;&lt;RecNum&gt;3564&lt;/RecNum&gt;&lt;DisplayText&gt;&lt;style face="superscript"&gt;100&lt;/style&gt;&lt;/DisplayText&gt;&lt;record&gt;&lt;rec-number&gt;3564&lt;/rec-number&gt;&lt;foreign-keys&gt;&lt;key app="EN" db-id="pdp2v9rwnsez9qedfx2xtwa7tsw99rvd5zxv" timestamp="1646101623"&gt;3564&lt;/key&gt;&lt;/foreign-keys&gt;&lt;ref-type name="Report"&gt;27&lt;/ref-type&gt;&lt;contributors&gt;&lt;authors&gt;&lt;author&gt;Lintzeris, N.; Dunlop, A.; Masters, D. &lt;/author&gt;&lt;/authors&gt;&lt;tertiary-authors&gt;&lt;author&gt;NSW Ministry of Health &lt;/author&gt;&lt;/tertiary-authors&gt;&lt;/contributors&gt;&lt;titles&gt;&lt;title&gt;Clinical guidelines for use of depot buprenorphine (Buvidal and Sublocade) in the treatment of opioid dependence &lt;/title&gt;&lt;/titles&gt;&lt;dates&gt;&lt;year&gt;2019&lt;/year&gt;&lt;/dates&gt;&lt;pub-location&gt;Sydney, New South Wales &lt;/pub-location&gt;&lt;urls&gt;&lt;/urls&gt;&lt;/record&gt;&lt;/Cite&gt;&lt;/EndNote&gt;</w:instrText>
              </w:r>
              <w:r w:rsidR="002565E6" w:rsidRPr="00147E18">
                <w:rPr>
                  <w:rFonts w:eastAsia="Calibri" w:cs="Arial"/>
                  <w:b/>
                  <w:bCs/>
                  <w:color w:val="000000"/>
                  <w:sz w:val="20"/>
                  <w:szCs w:val="20"/>
                  <w:lang w:eastAsia="en-AU"/>
                </w:rPr>
                <w:fldChar w:fldCharType="separate"/>
              </w:r>
              <w:r w:rsidR="002565E6" w:rsidRPr="002565E6">
                <w:rPr>
                  <w:rFonts w:eastAsia="Calibri" w:cs="Arial"/>
                  <w:b/>
                  <w:bCs/>
                  <w:noProof/>
                  <w:color w:val="000000"/>
                  <w:sz w:val="20"/>
                  <w:szCs w:val="20"/>
                  <w:vertAlign w:val="superscript"/>
                  <w:lang w:eastAsia="en-AU"/>
                </w:rPr>
                <w:t>100</w:t>
              </w:r>
              <w:r w:rsidR="002565E6" w:rsidRPr="00147E18">
                <w:rPr>
                  <w:rFonts w:eastAsia="Calibri" w:cs="Arial"/>
                  <w:b/>
                  <w:bCs/>
                  <w:color w:val="000000"/>
                  <w:sz w:val="20"/>
                  <w:szCs w:val="20"/>
                  <w:lang w:eastAsia="en-AU"/>
                </w:rPr>
                <w:fldChar w:fldCharType="end"/>
              </w:r>
            </w:hyperlink>
          </w:p>
        </w:tc>
        <w:tc>
          <w:tcPr>
            <w:tcW w:w="275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68C36452" w14:textId="77777777" w:rsidR="004D277D" w:rsidRPr="00147E18" w:rsidRDefault="004D277D" w:rsidP="009367A6">
            <w:pPr>
              <w:spacing w:after="200" w:line="276" w:lineRule="auto"/>
              <w:jc w:val="left"/>
              <w:rPr>
                <w:rFonts w:eastAsia="Calibri" w:cs="Calibri"/>
                <w:color w:val="000000"/>
                <w:sz w:val="20"/>
                <w:szCs w:val="20"/>
                <w:lang w:eastAsia="en-AU"/>
              </w:rPr>
            </w:pPr>
            <w:r w:rsidRPr="00147E18">
              <w:rPr>
                <w:rFonts w:eastAsia="Calibri" w:cs="Calibri"/>
                <w:color w:val="000000"/>
                <w:sz w:val="20"/>
                <w:szCs w:val="20"/>
                <w:lang w:eastAsia="en-AU"/>
              </w:rPr>
              <w:t>GP practices, public clinics, private hospitals or private clinics, dispensing clinics, pharmacy</w:t>
            </w:r>
          </w:p>
        </w:tc>
        <w:tc>
          <w:tcPr>
            <w:tcW w:w="2750"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2AEC7B4D" w14:textId="77777777" w:rsidR="004D277D" w:rsidRPr="00147E18" w:rsidRDefault="004D277D" w:rsidP="009367A6">
            <w:pPr>
              <w:spacing w:after="200" w:line="276" w:lineRule="auto"/>
              <w:jc w:val="left"/>
              <w:rPr>
                <w:rFonts w:eastAsia="Calibri" w:cs="Calibri"/>
                <w:color w:val="000000"/>
                <w:sz w:val="20"/>
                <w:szCs w:val="20"/>
                <w:lang w:eastAsia="en-AU"/>
              </w:rPr>
            </w:pPr>
            <w:r w:rsidRPr="00147E18">
              <w:rPr>
                <w:rFonts w:eastAsia="Calibri" w:cs="Calibri"/>
                <w:color w:val="000000"/>
                <w:sz w:val="20"/>
                <w:szCs w:val="20"/>
                <w:lang w:eastAsia="en-AU"/>
              </w:rPr>
              <w:t xml:space="preserve">Public clinics and bulk billing GPs- free of charge. Private, non-bulk billing GPs and pharmacies can charge what they wish. </w:t>
            </w:r>
          </w:p>
          <w:p w14:paraId="4D4306D3" w14:textId="77777777" w:rsidR="004D277D" w:rsidRPr="00147E18" w:rsidRDefault="004D277D" w:rsidP="009367A6">
            <w:pPr>
              <w:spacing w:after="200" w:line="276" w:lineRule="auto"/>
              <w:jc w:val="left"/>
              <w:rPr>
                <w:rFonts w:eastAsia="Calibri" w:cs="Calibri"/>
                <w:sz w:val="20"/>
                <w:szCs w:val="20"/>
                <w:lang w:eastAsia="en-AU"/>
              </w:rPr>
            </w:pPr>
            <w:r w:rsidRPr="00147E18">
              <w:rPr>
                <w:rFonts w:eastAsia="Calibri" w:cs="Calibri"/>
                <w:sz w:val="20"/>
                <w:szCs w:val="20"/>
                <w:lang w:eastAsia="en-AU"/>
              </w:rPr>
              <w:t>Pharmacists can charge what they wish to handle and administer.</w:t>
            </w:r>
          </w:p>
          <w:p w14:paraId="1F699BEE" w14:textId="77777777" w:rsidR="004D277D" w:rsidRPr="00147E18" w:rsidRDefault="004D277D" w:rsidP="009367A6">
            <w:pPr>
              <w:spacing w:after="200" w:line="276" w:lineRule="auto"/>
              <w:jc w:val="left"/>
              <w:rPr>
                <w:rFonts w:eastAsia="Calibri" w:cs="Calibri"/>
                <w:color w:val="000000"/>
                <w:sz w:val="20"/>
                <w:szCs w:val="20"/>
                <w:lang w:eastAsia="en-AU"/>
              </w:rPr>
            </w:pPr>
          </w:p>
        </w:tc>
        <w:tc>
          <w:tcPr>
            <w:tcW w:w="275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318FB3AE" w14:textId="77777777" w:rsidR="004D277D" w:rsidRPr="00147E18" w:rsidRDefault="004D277D" w:rsidP="009367A6">
            <w:pPr>
              <w:spacing w:after="200" w:line="276" w:lineRule="auto"/>
              <w:jc w:val="left"/>
              <w:rPr>
                <w:rFonts w:eastAsia="Calibri" w:cs="Calibri"/>
                <w:sz w:val="20"/>
                <w:szCs w:val="20"/>
                <w:lang w:eastAsia="en-AU"/>
              </w:rPr>
            </w:pPr>
            <w:r w:rsidRPr="00147E18">
              <w:rPr>
                <w:rFonts w:eastAsia="Calibri" w:cs="Calibri"/>
                <w:sz w:val="20"/>
                <w:szCs w:val="20"/>
                <w:lang w:eastAsia="en-AU"/>
              </w:rPr>
              <w:t xml:space="preserve">Any medical practitioners who are not accredited OTP prescribers can manage up to 20 patients using depot buprenorphine </w:t>
            </w:r>
          </w:p>
        </w:tc>
        <w:tc>
          <w:tcPr>
            <w:tcW w:w="2750"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70ECF938" w14:textId="77777777" w:rsidR="004D277D" w:rsidRPr="00147E18" w:rsidRDefault="004D277D" w:rsidP="009367A6">
            <w:pPr>
              <w:spacing w:after="200" w:line="276" w:lineRule="auto"/>
              <w:jc w:val="left"/>
              <w:rPr>
                <w:rFonts w:eastAsia="Calibri" w:cs="Calibri"/>
                <w:sz w:val="20"/>
                <w:szCs w:val="20"/>
              </w:rPr>
            </w:pPr>
            <w:r w:rsidRPr="00147E18">
              <w:rPr>
                <w:rFonts w:eastAsia="Calibri" w:cs="Calibri"/>
                <w:sz w:val="20"/>
                <w:szCs w:val="20"/>
              </w:rPr>
              <w:t xml:space="preserve">Any medical practitioner or nurse practitioner who is an accredited Opioid Treatment Program (OTP) prescriber can administer depot buprenorphine. </w:t>
            </w:r>
          </w:p>
          <w:p w14:paraId="4E21BF78" w14:textId="01D4C629" w:rsidR="004D277D" w:rsidRDefault="004D277D" w:rsidP="009367A6">
            <w:pPr>
              <w:spacing w:after="200" w:line="276" w:lineRule="auto"/>
              <w:jc w:val="left"/>
              <w:rPr>
                <w:rFonts w:eastAsia="Calibri" w:cs="Calibri"/>
                <w:sz w:val="20"/>
                <w:szCs w:val="20"/>
              </w:rPr>
            </w:pPr>
            <w:r w:rsidRPr="00147E18">
              <w:rPr>
                <w:rFonts w:eastAsia="Calibri" w:cs="Calibri"/>
                <w:sz w:val="20"/>
                <w:szCs w:val="20"/>
              </w:rPr>
              <w:t>RN’s (or ENs) may administer Depot BPN in a community setting provided it is within their scope of practice</w:t>
            </w:r>
          </w:p>
          <w:p w14:paraId="7FBB4E9C" w14:textId="79FAA886" w:rsidR="004D277D" w:rsidRPr="00147E18" w:rsidRDefault="004D277D" w:rsidP="009367A6">
            <w:pPr>
              <w:spacing w:after="200" w:line="276" w:lineRule="auto"/>
              <w:jc w:val="left"/>
              <w:rPr>
                <w:rFonts w:eastAsia="Calibri" w:cs="Calibri"/>
                <w:sz w:val="20"/>
                <w:szCs w:val="20"/>
              </w:rPr>
            </w:pPr>
            <w:r w:rsidRPr="00CE2F80">
              <w:rPr>
                <w:rFonts w:eastAsia="Calibri" w:cs="Calibri"/>
                <w:sz w:val="20"/>
                <w:szCs w:val="20"/>
              </w:rPr>
              <w:t xml:space="preserve">Pharmacists can administer a </w:t>
            </w:r>
            <w:r w:rsidR="00513FE4">
              <w:rPr>
                <w:rFonts w:eastAsia="Calibri" w:cs="Calibri"/>
                <w:sz w:val="20"/>
                <w:szCs w:val="20"/>
              </w:rPr>
              <w:t>controlled</w:t>
            </w:r>
            <w:r w:rsidRPr="00CE2F80">
              <w:rPr>
                <w:rFonts w:eastAsia="Calibri" w:cs="Calibri"/>
                <w:sz w:val="20"/>
                <w:szCs w:val="20"/>
              </w:rPr>
              <w:t xml:space="preserve"> </w:t>
            </w:r>
            <w:r w:rsidR="00513FE4">
              <w:rPr>
                <w:rFonts w:eastAsia="Calibri" w:cs="Calibri"/>
                <w:sz w:val="20"/>
                <w:szCs w:val="20"/>
              </w:rPr>
              <w:t>drug</w:t>
            </w:r>
            <w:r w:rsidRPr="00CE2F80">
              <w:rPr>
                <w:rFonts w:eastAsia="Calibri" w:cs="Calibri"/>
                <w:sz w:val="20"/>
                <w:szCs w:val="20"/>
              </w:rPr>
              <w:t xml:space="preserve"> by injection when dispensed on a prescription lawfully issued by a medical practitioner, </w:t>
            </w:r>
            <w:r w:rsidR="00787908" w:rsidRPr="00CE2F80">
              <w:rPr>
                <w:rFonts w:eastAsia="Calibri" w:cs="Calibri"/>
                <w:sz w:val="20"/>
                <w:szCs w:val="20"/>
              </w:rPr>
              <w:t>dentist,</w:t>
            </w:r>
            <w:r>
              <w:rPr>
                <w:rFonts w:eastAsia="Calibri" w:cs="Calibri"/>
                <w:sz w:val="20"/>
                <w:szCs w:val="20"/>
              </w:rPr>
              <w:t xml:space="preserve"> or</w:t>
            </w:r>
            <w:r w:rsidRPr="00CE2F80">
              <w:rPr>
                <w:rFonts w:eastAsia="Calibri" w:cs="Calibri"/>
                <w:sz w:val="20"/>
                <w:szCs w:val="20"/>
              </w:rPr>
              <w:t xml:space="preserve"> nurse practitioner.</w:t>
            </w:r>
          </w:p>
          <w:p w14:paraId="4FC3A5B7" w14:textId="77777777" w:rsidR="004D277D" w:rsidRPr="00147E18" w:rsidRDefault="004D277D" w:rsidP="009367A6">
            <w:pPr>
              <w:spacing w:after="200" w:line="276" w:lineRule="auto"/>
              <w:jc w:val="left"/>
              <w:rPr>
                <w:rFonts w:eastAsia="Calibri" w:cs="Calibri"/>
                <w:sz w:val="20"/>
                <w:szCs w:val="20"/>
                <w:lang w:eastAsia="en-AU"/>
              </w:rPr>
            </w:pPr>
            <w:r w:rsidRPr="00147E18">
              <w:rPr>
                <w:rFonts w:eastAsia="Calibri" w:cs="Calibri"/>
                <w:sz w:val="20"/>
                <w:szCs w:val="20"/>
                <w:lang w:eastAsia="en-AU"/>
              </w:rPr>
              <w:t>“</w:t>
            </w:r>
            <w:r w:rsidRPr="00147E18">
              <w:rPr>
                <w:rFonts w:eastAsia="Calibri" w:cs="Calibri"/>
                <w:sz w:val="20"/>
                <w:szCs w:val="20"/>
              </w:rPr>
              <w:t>Injections should only be by an Australian Health Practitioner Regulation Agency (AHPRA) registered healthcare professional who has injection of schedule 8 medications within their scope of practice.</w:t>
            </w:r>
            <w:r w:rsidRPr="00147E18">
              <w:rPr>
                <w:rFonts w:eastAsia="Calibri" w:cs="Calibri"/>
                <w:sz w:val="20"/>
                <w:szCs w:val="20"/>
                <w:lang w:eastAsia="en-AU"/>
              </w:rPr>
              <w:t xml:space="preserve">” </w:t>
            </w:r>
          </w:p>
        </w:tc>
        <w:tc>
          <w:tcPr>
            <w:tcW w:w="2750" w:type="dxa"/>
            <w:tcBorders>
              <w:top w:val="single" w:sz="8" w:space="0" w:color="auto"/>
              <w:left w:val="nil"/>
              <w:bottom w:val="single" w:sz="4" w:space="0" w:color="auto"/>
              <w:right w:val="single" w:sz="8" w:space="0" w:color="auto"/>
            </w:tcBorders>
          </w:tcPr>
          <w:p w14:paraId="1FB93ED1" w14:textId="77777777" w:rsidR="004D277D" w:rsidRPr="00147E18" w:rsidRDefault="004D277D" w:rsidP="009367A6">
            <w:pPr>
              <w:spacing w:after="200" w:line="276" w:lineRule="auto"/>
              <w:jc w:val="left"/>
              <w:rPr>
                <w:rFonts w:eastAsia="Calibri" w:cs="Calibri"/>
                <w:color w:val="000000"/>
                <w:sz w:val="20"/>
                <w:szCs w:val="20"/>
                <w:lang w:eastAsia="en-AU"/>
              </w:rPr>
            </w:pPr>
            <w:r w:rsidRPr="00147E18">
              <w:rPr>
                <w:rFonts w:eastAsia="Calibri" w:cs="Calibri"/>
                <w:color w:val="000000"/>
                <w:sz w:val="20"/>
                <w:szCs w:val="20"/>
                <w:lang w:eastAsia="en-AU"/>
              </w:rPr>
              <w:t>“Any medical practitioner or nurse practitioner who is an accredited Opioid Treatment Program (OTP) prescriber may prescribe depot buprenorphine as part of their patient limit of 200.”</w:t>
            </w:r>
          </w:p>
          <w:p w14:paraId="20AB8988" w14:textId="77777777" w:rsidR="004D277D" w:rsidRPr="00147E18" w:rsidRDefault="004D277D" w:rsidP="009367A6">
            <w:pPr>
              <w:spacing w:after="200" w:line="276" w:lineRule="auto"/>
              <w:jc w:val="left"/>
              <w:rPr>
                <w:rFonts w:eastAsia="Calibri" w:cs="Calibri"/>
                <w:color w:val="000000"/>
                <w:sz w:val="20"/>
                <w:szCs w:val="20"/>
                <w:lang w:eastAsia="en-AU"/>
              </w:rPr>
            </w:pPr>
            <w:r w:rsidRPr="00147E18">
              <w:rPr>
                <w:rFonts w:eastAsia="Calibri" w:cs="Calibri"/>
                <w:sz w:val="20"/>
                <w:szCs w:val="20"/>
                <w:lang w:eastAsia="en-AU"/>
              </w:rPr>
              <w:t>Any pharmacy and “</w:t>
            </w:r>
            <w:r w:rsidRPr="00147E18">
              <w:rPr>
                <w:rFonts w:eastAsia="Calibri" w:cs="Calibri"/>
                <w:sz w:val="20"/>
                <w:szCs w:val="20"/>
              </w:rPr>
              <w:t>registered medical practitioner can obtain depot BPN from a licensed wholesaler on a signed and dated order (on the letterhead) of the medical practitioner. Provision is also made to order stock electronically or by telephone from a licensed wholesaler, providing that a signed confirmation of order and receipt of order is returned to the licensed wholesaler after delivery of the stock.”</w:t>
            </w:r>
          </w:p>
          <w:p w14:paraId="6FC7E352" w14:textId="77777777" w:rsidR="004D277D" w:rsidRPr="00147E18" w:rsidRDefault="004D277D" w:rsidP="009367A6">
            <w:pPr>
              <w:spacing w:after="200" w:line="276" w:lineRule="auto"/>
              <w:jc w:val="left"/>
              <w:rPr>
                <w:rFonts w:eastAsia="Calibri" w:cs="Calibri"/>
                <w:color w:val="000000"/>
                <w:sz w:val="20"/>
                <w:szCs w:val="20"/>
                <w:lang w:eastAsia="en-AU"/>
              </w:rPr>
            </w:pPr>
          </w:p>
        </w:tc>
      </w:tr>
      <w:tr w:rsidR="004D277D" w:rsidRPr="00147E18" w14:paraId="676F502D" w14:textId="77777777" w:rsidTr="00603EE2">
        <w:trPr>
          <w:trHeight w:val="1965"/>
        </w:trPr>
        <w:tc>
          <w:tcPr>
            <w:tcW w:w="1266"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5E0978A" w14:textId="698B85BA" w:rsidR="004D277D" w:rsidRPr="00147E18" w:rsidRDefault="004D277D" w:rsidP="009367A6">
            <w:pPr>
              <w:spacing w:after="200" w:line="276" w:lineRule="auto"/>
              <w:jc w:val="left"/>
              <w:rPr>
                <w:rFonts w:eastAsia="Calibri" w:cs="Arial"/>
                <w:b/>
                <w:bCs/>
                <w:color w:val="000000"/>
                <w:sz w:val="20"/>
                <w:szCs w:val="20"/>
                <w:lang w:eastAsia="en-AU"/>
              </w:rPr>
            </w:pPr>
            <w:r w:rsidRPr="00147E18">
              <w:rPr>
                <w:rFonts w:eastAsia="Calibri" w:cs="Arial"/>
                <w:b/>
                <w:bCs/>
                <w:color w:val="000000"/>
                <w:szCs w:val="22"/>
                <w:lang w:eastAsia="en-AU"/>
              </w:rPr>
              <w:lastRenderedPageBreak/>
              <w:t xml:space="preserve">Victoria </w:t>
            </w:r>
            <w:hyperlink w:anchor="_ENREF_101" w:tooltip="Department of Health, 2021 #3565" w:history="1">
              <w:r w:rsidR="002565E6" w:rsidRPr="00147E18">
                <w:rPr>
                  <w:rFonts w:eastAsia="Calibri" w:cs="Arial"/>
                  <w:b/>
                  <w:bCs/>
                  <w:color w:val="000000"/>
                  <w:szCs w:val="22"/>
                  <w:lang w:eastAsia="en-AU"/>
                </w:rPr>
                <w:fldChar w:fldCharType="begin"/>
              </w:r>
              <w:r w:rsidR="002565E6">
                <w:rPr>
                  <w:rFonts w:eastAsia="Calibri" w:cs="Arial"/>
                  <w:b/>
                  <w:bCs/>
                  <w:color w:val="000000"/>
                  <w:szCs w:val="22"/>
                  <w:lang w:eastAsia="en-AU"/>
                </w:rPr>
                <w:instrText xml:space="preserve"> ADDIN EN.CITE &lt;EndNote&gt;&lt;Cite&gt;&lt;Author&gt;Department of Health&lt;/Author&gt;&lt;Year&gt;2021&lt;/Year&gt;&lt;RecNum&gt;3565&lt;/RecNum&gt;&lt;DisplayText&gt;&lt;style face="superscript"&gt;101&lt;/style&gt;&lt;/DisplayText&gt;&lt;record&gt;&lt;rec-number&gt;3565&lt;/rec-number&gt;&lt;foreign-keys&gt;&lt;key app="EN" db-id="pdp2v9rwnsez9qedfx2xtwa7tsw99rvd5zxv" timestamp="1646101927"&gt;3565&lt;/key&gt;&lt;/foreign-keys&gt;&lt;ref-type name="Report"&gt;27&lt;/ref-type&gt;&lt;contributors&gt;&lt;authors&gt;&lt;author&gt;Department of Health, Victoria,&lt;/author&gt;&lt;/authors&gt;&lt;/contributors&gt;&lt;titles&gt;&lt;title&gt;Policy for maintenance pharmacotherapy for opioid dependence (addendum)&lt;/title&gt;&lt;/titles&gt;&lt;dates&gt;&lt;year&gt;2021&lt;/year&gt;&lt;/dates&gt;&lt;pub-location&gt;Melbourne, Victoria&lt;/pub-location&gt;&lt;urls&gt;&lt;/urls&gt;&lt;/record&gt;&lt;/Cite&gt;&lt;/EndNote&gt;</w:instrText>
              </w:r>
              <w:r w:rsidR="002565E6" w:rsidRPr="00147E18">
                <w:rPr>
                  <w:rFonts w:eastAsia="Calibri" w:cs="Arial"/>
                  <w:b/>
                  <w:bCs/>
                  <w:color w:val="000000"/>
                  <w:szCs w:val="22"/>
                  <w:lang w:eastAsia="en-AU"/>
                </w:rPr>
                <w:fldChar w:fldCharType="separate"/>
              </w:r>
              <w:r w:rsidR="002565E6" w:rsidRPr="002565E6">
                <w:rPr>
                  <w:rFonts w:eastAsia="Calibri" w:cs="Arial"/>
                  <w:b/>
                  <w:bCs/>
                  <w:noProof/>
                  <w:color w:val="000000"/>
                  <w:szCs w:val="22"/>
                  <w:vertAlign w:val="superscript"/>
                  <w:lang w:eastAsia="en-AU"/>
                </w:rPr>
                <w:t>101</w:t>
              </w:r>
              <w:r w:rsidR="002565E6" w:rsidRPr="00147E18">
                <w:rPr>
                  <w:rFonts w:eastAsia="Calibri" w:cs="Arial"/>
                  <w:b/>
                  <w:bCs/>
                  <w:color w:val="000000"/>
                  <w:szCs w:val="22"/>
                  <w:lang w:eastAsia="en-AU"/>
                </w:rPr>
                <w:fldChar w:fldCharType="end"/>
              </w:r>
            </w:hyperlink>
          </w:p>
        </w:tc>
        <w:tc>
          <w:tcPr>
            <w:tcW w:w="275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422868F" w14:textId="77777777" w:rsidR="004D277D" w:rsidRPr="00147E18" w:rsidRDefault="004D277D" w:rsidP="009367A6">
            <w:pPr>
              <w:spacing w:after="200" w:line="276" w:lineRule="auto"/>
              <w:jc w:val="left"/>
              <w:rPr>
                <w:rFonts w:eastAsia="Calibri" w:cs="Calibri"/>
                <w:color w:val="000000"/>
                <w:sz w:val="20"/>
                <w:szCs w:val="20"/>
                <w:lang w:eastAsia="en-AU"/>
              </w:rPr>
            </w:pPr>
            <w:r w:rsidRPr="00147E18">
              <w:rPr>
                <w:rFonts w:eastAsia="Calibri" w:cs="Calibri"/>
                <w:color w:val="000000"/>
                <w:sz w:val="20"/>
                <w:szCs w:val="20"/>
                <w:lang w:eastAsia="en-AU"/>
              </w:rPr>
              <w:t>GP practices, public clinics, private hospitals or private clinics, pharmacy</w:t>
            </w:r>
          </w:p>
        </w:tc>
        <w:tc>
          <w:tcPr>
            <w:tcW w:w="275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B911EB2" w14:textId="77777777" w:rsidR="004D277D" w:rsidRPr="00147E18" w:rsidRDefault="004D277D" w:rsidP="009367A6">
            <w:pPr>
              <w:spacing w:after="200" w:line="276" w:lineRule="auto"/>
              <w:jc w:val="left"/>
              <w:rPr>
                <w:rFonts w:eastAsia="Calibri" w:cs="Calibri"/>
                <w:color w:val="000000"/>
                <w:sz w:val="20"/>
                <w:szCs w:val="20"/>
                <w:lang w:eastAsia="en-AU"/>
              </w:rPr>
            </w:pPr>
            <w:r w:rsidRPr="00147E18">
              <w:rPr>
                <w:rFonts w:eastAsia="Calibri" w:cs="Calibri"/>
                <w:color w:val="000000"/>
                <w:sz w:val="20"/>
                <w:szCs w:val="20"/>
                <w:lang w:eastAsia="en-AU"/>
              </w:rPr>
              <w:t>Public clinics and bulk billing GPs are free of charge. Private, non-bulk billing GPs and pharmacies can charge what they wish.</w:t>
            </w:r>
            <w:r w:rsidRPr="00147E18">
              <w:rPr>
                <w:rFonts w:eastAsia="Calibri" w:cs="Calibri"/>
                <w:sz w:val="20"/>
                <w:szCs w:val="20"/>
                <w:lang w:eastAsia="en-AU"/>
              </w:rPr>
              <w:t xml:space="preserve"> Pharmacists can charge what they wish to handle and administer.</w:t>
            </w:r>
          </w:p>
        </w:tc>
        <w:tc>
          <w:tcPr>
            <w:tcW w:w="275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9539185" w14:textId="77777777" w:rsidR="004D277D" w:rsidRPr="00147E18" w:rsidRDefault="004D277D" w:rsidP="009367A6">
            <w:pPr>
              <w:spacing w:after="200" w:line="276" w:lineRule="auto"/>
              <w:jc w:val="left"/>
              <w:rPr>
                <w:rFonts w:eastAsia="Calibri" w:cs="Calibri"/>
                <w:color w:val="000000"/>
                <w:sz w:val="20"/>
                <w:szCs w:val="20"/>
                <w:lang w:eastAsia="en-AU"/>
              </w:rPr>
            </w:pPr>
            <w:r w:rsidRPr="00147E18">
              <w:rPr>
                <w:rFonts w:eastAsia="Calibri" w:cs="Calibri"/>
                <w:color w:val="000000"/>
                <w:sz w:val="20"/>
                <w:szCs w:val="20"/>
                <w:lang w:eastAsia="en-AU"/>
              </w:rPr>
              <w:t>Medical or nurse practitioners (patient limits outlined in comments column)</w:t>
            </w:r>
          </w:p>
        </w:tc>
        <w:tc>
          <w:tcPr>
            <w:tcW w:w="275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560262B9" w14:textId="55EA9E5F" w:rsidR="004D277D" w:rsidRPr="00147E18" w:rsidRDefault="004D277D" w:rsidP="009367A6">
            <w:pPr>
              <w:spacing w:after="200" w:line="276" w:lineRule="auto"/>
              <w:jc w:val="left"/>
              <w:rPr>
                <w:rFonts w:eastAsia="Calibri" w:cs="Calibri"/>
                <w:sz w:val="20"/>
                <w:szCs w:val="20"/>
                <w:lang w:eastAsia="en-AU"/>
              </w:rPr>
            </w:pPr>
            <w:r w:rsidRPr="00147E18">
              <w:rPr>
                <w:rFonts w:eastAsia="Calibri" w:cs="Calibri"/>
                <w:sz w:val="20"/>
                <w:szCs w:val="20"/>
                <w:lang w:eastAsia="en-AU"/>
              </w:rPr>
              <w:t xml:space="preserve">Medical or nurse practitioners, registered </w:t>
            </w:r>
            <w:r w:rsidR="00787908" w:rsidRPr="00147E18">
              <w:rPr>
                <w:rFonts w:eastAsia="Calibri" w:cs="Calibri"/>
                <w:sz w:val="20"/>
                <w:szCs w:val="20"/>
                <w:lang w:eastAsia="en-AU"/>
              </w:rPr>
              <w:t>nurses,</w:t>
            </w:r>
            <w:r w:rsidRPr="00147E18">
              <w:rPr>
                <w:rFonts w:eastAsia="Calibri" w:cs="Calibri"/>
                <w:sz w:val="20"/>
                <w:szCs w:val="20"/>
                <w:lang w:eastAsia="en-AU"/>
              </w:rPr>
              <w:t xml:space="preserve"> or pharmacists. In addition to required competencies, pharmacists must administer an initial LAIB injection under the supervision of a medical or nurse practitioner. </w:t>
            </w:r>
          </w:p>
        </w:tc>
        <w:tc>
          <w:tcPr>
            <w:tcW w:w="2750" w:type="dxa"/>
            <w:tcBorders>
              <w:top w:val="single" w:sz="4" w:space="0" w:color="auto"/>
              <w:left w:val="nil"/>
              <w:bottom w:val="single" w:sz="8" w:space="0" w:color="auto"/>
              <w:right w:val="single" w:sz="8" w:space="0" w:color="auto"/>
            </w:tcBorders>
          </w:tcPr>
          <w:p w14:paraId="34923105" w14:textId="77777777" w:rsidR="004D277D" w:rsidRPr="00147E18" w:rsidRDefault="004D277D" w:rsidP="009367A6">
            <w:pPr>
              <w:spacing w:after="200" w:line="276" w:lineRule="auto"/>
              <w:jc w:val="left"/>
              <w:rPr>
                <w:rFonts w:eastAsia="Calibri" w:cs="Calibri"/>
                <w:color w:val="000000"/>
                <w:sz w:val="20"/>
                <w:szCs w:val="20"/>
                <w:lang w:eastAsia="en-AU"/>
              </w:rPr>
            </w:pPr>
            <w:r w:rsidRPr="00147E18">
              <w:rPr>
                <w:rFonts w:eastAsia="Calibri" w:cs="Calibri"/>
                <w:color w:val="000000"/>
                <w:sz w:val="20"/>
                <w:szCs w:val="20"/>
                <w:lang w:eastAsia="en-AU"/>
              </w:rPr>
              <w:t xml:space="preserve">Practitioners (medical or nurse) can prescribe buprenorphine (SL or LAIB) for up to 10 patients without completing MATOD training, those who have completed MATOD training can prescribe to an unlimited number of patients. </w:t>
            </w:r>
          </w:p>
        </w:tc>
      </w:tr>
      <w:tr w:rsidR="004D277D" w:rsidRPr="00147E18" w14:paraId="25EAF7F1" w14:textId="77777777" w:rsidTr="00666385">
        <w:trPr>
          <w:trHeight w:val="903"/>
        </w:trPr>
        <w:tc>
          <w:tcPr>
            <w:tcW w:w="12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63B380" w14:textId="0138B097" w:rsidR="004D277D" w:rsidRPr="00147E18" w:rsidRDefault="004D277D" w:rsidP="009367A6">
            <w:pPr>
              <w:spacing w:after="200" w:line="276" w:lineRule="auto"/>
              <w:jc w:val="left"/>
              <w:rPr>
                <w:rFonts w:eastAsia="Calibri" w:cs="Arial"/>
                <w:szCs w:val="22"/>
                <w:lang w:eastAsia="en-AU"/>
              </w:rPr>
            </w:pPr>
            <w:r w:rsidRPr="00147E18">
              <w:rPr>
                <w:rFonts w:eastAsia="Calibri" w:cs="Arial"/>
                <w:b/>
                <w:bCs/>
                <w:color w:val="000000"/>
                <w:szCs w:val="22"/>
                <w:lang w:eastAsia="en-AU"/>
              </w:rPr>
              <w:t>SA</w:t>
            </w:r>
            <w:hyperlink w:anchor="_ENREF_102" w:tooltip="McDonough, 2020 #3791" w:history="1">
              <w:r w:rsidR="002565E6" w:rsidRPr="00147E18">
                <w:rPr>
                  <w:rFonts w:eastAsia="Calibri" w:cs="Arial"/>
                  <w:b/>
                  <w:bCs/>
                  <w:color w:val="000000"/>
                  <w:szCs w:val="22"/>
                  <w:lang w:eastAsia="en-AU"/>
                </w:rPr>
                <w:fldChar w:fldCharType="begin"/>
              </w:r>
              <w:r w:rsidR="002565E6">
                <w:rPr>
                  <w:rFonts w:eastAsia="Calibri" w:cs="Arial"/>
                  <w:b/>
                  <w:bCs/>
                  <w:color w:val="000000"/>
                  <w:szCs w:val="22"/>
                  <w:lang w:eastAsia="en-AU"/>
                </w:rPr>
                <w:instrText xml:space="preserve"> ADDIN EN.CITE &lt;EndNote&gt;&lt;Cite&gt;&lt;Author&gt;McDonough&lt;/Author&gt;&lt;Year&gt;2020&lt;/Year&gt;&lt;RecNum&gt;3791&lt;/RecNum&gt;&lt;DisplayText&gt;&lt;style face="superscript"&gt;102&lt;/style&gt;&lt;/DisplayText&gt;&lt;record&gt;&lt;rec-number&gt;3791&lt;/rec-number&gt;&lt;foreign-keys&gt;&lt;key app="EN" db-id="pdp2v9rwnsez9qedfx2xtwa7tsw99rvd5zxv" timestamp="1650429074"&gt;3791&lt;/key&gt;&lt;/foreign-keys&gt;&lt;ref-type name="Report"&gt;27&lt;/ref-type&gt;&lt;contributors&gt;&lt;authors&gt;&lt;author&gt;McDonough, M.&lt;/author&gt;&lt;author&gt;Holmwood, C.&lt;/author&gt;&lt;author&gt;Scarborough, J.&lt;/author&gt;&lt;/authors&gt;&lt;/contributors&gt;&lt;titles&gt;&lt;title&gt;Interim Brief: Clinical guidelines for use of depot buprenorphine (Buvidal and Sublocade) in the treatment of opioid dependence. For South Australian MATOD prescribers&lt;/title&gt;&lt;/titles&gt;&lt;dates&gt;&lt;year&gt;2020&lt;/year&gt;&lt;/dates&gt;&lt;publisher&gt;SA Health &lt;/publisher&gt;&lt;urls&gt;&lt;/urls&gt;&lt;/record&gt;&lt;/Cite&gt;&lt;/EndNote&gt;</w:instrText>
              </w:r>
              <w:r w:rsidR="002565E6" w:rsidRPr="00147E18">
                <w:rPr>
                  <w:rFonts w:eastAsia="Calibri" w:cs="Arial"/>
                  <w:b/>
                  <w:bCs/>
                  <w:color w:val="000000"/>
                  <w:szCs w:val="22"/>
                  <w:lang w:eastAsia="en-AU"/>
                </w:rPr>
                <w:fldChar w:fldCharType="separate"/>
              </w:r>
              <w:r w:rsidR="002565E6" w:rsidRPr="002565E6">
                <w:rPr>
                  <w:rFonts w:eastAsia="Calibri" w:cs="Arial"/>
                  <w:b/>
                  <w:bCs/>
                  <w:noProof/>
                  <w:color w:val="000000"/>
                  <w:szCs w:val="22"/>
                  <w:vertAlign w:val="superscript"/>
                  <w:lang w:eastAsia="en-AU"/>
                </w:rPr>
                <w:t>102</w:t>
              </w:r>
              <w:r w:rsidR="002565E6" w:rsidRPr="00147E18">
                <w:rPr>
                  <w:rFonts w:eastAsia="Calibri" w:cs="Arial"/>
                  <w:b/>
                  <w:bCs/>
                  <w:color w:val="000000"/>
                  <w:szCs w:val="22"/>
                  <w:lang w:eastAsia="en-AU"/>
                </w:rPr>
                <w:fldChar w:fldCharType="end"/>
              </w:r>
            </w:hyperlink>
            <w:r w:rsidRPr="00147E18">
              <w:rPr>
                <w:rFonts w:eastAsia="Calibri" w:cs="Arial"/>
                <w:b/>
                <w:bCs/>
                <w:color w:val="000000"/>
                <w:szCs w:val="22"/>
                <w:lang w:eastAsia="en-AU"/>
              </w:rPr>
              <w:t xml:space="preserve"> </w:t>
            </w:r>
          </w:p>
        </w:tc>
        <w:tc>
          <w:tcPr>
            <w:tcW w:w="2750" w:type="dxa"/>
            <w:tcBorders>
              <w:top w:val="nil"/>
              <w:left w:val="nil"/>
              <w:bottom w:val="single" w:sz="8" w:space="0" w:color="auto"/>
              <w:right w:val="single" w:sz="8" w:space="0" w:color="auto"/>
            </w:tcBorders>
            <w:tcMar>
              <w:top w:w="0" w:type="dxa"/>
              <w:left w:w="108" w:type="dxa"/>
              <w:bottom w:w="0" w:type="dxa"/>
              <w:right w:w="108" w:type="dxa"/>
            </w:tcMar>
            <w:hideMark/>
          </w:tcPr>
          <w:p w14:paraId="6FEA1794" w14:textId="77777777" w:rsidR="004D277D" w:rsidRPr="00147E18" w:rsidRDefault="004D277D" w:rsidP="009367A6">
            <w:pPr>
              <w:spacing w:after="200" w:line="276" w:lineRule="auto"/>
              <w:jc w:val="left"/>
              <w:rPr>
                <w:rFonts w:eastAsia="Calibri" w:cs="Calibri"/>
                <w:sz w:val="20"/>
                <w:szCs w:val="20"/>
                <w:lang w:eastAsia="en-AU"/>
              </w:rPr>
            </w:pPr>
            <w:r w:rsidRPr="00147E18">
              <w:rPr>
                <w:rFonts w:eastAsia="Calibri" w:cs="Calibri"/>
                <w:color w:val="000000"/>
                <w:sz w:val="20"/>
                <w:szCs w:val="20"/>
                <w:lang w:eastAsia="en-AU"/>
              </w:rPr>
              <w:t>GP practices, public clinics and private hospitals or private clinics</w:t>
            </w:r>
          </w:p>
        </w:tc>
        <w:tc>
          <w:tcPr>
            <w:tcW w:w="2750" w:type="dxa"/>
            <w:tcBorders>
              <w:top w:val="nil"/>
              <w:left w:val="nil"/>
              <w:bottom w:val="single" w:sz="8" w:space="0" w:color="auto"/>
              <w:right w:val="single" w:sz="8" w:space="0" w:color="auto"/>
            </w:tcBorders>
            <w:tcMar>
              <w:top w:w="0" w:type="dxa"/>
              <w:left w:w="108" w:type="dxa"/>
              <w:bottom w:w="0" w:type="dxa"/>
              <w:right w:w="108" w:type="dxa"/>
            </w:tcMar>
          </w:tcPr>
          <w:p w14:paraId="0297800E" w14:textId="77777777" w:rsidR="004D277D" w:rsidRPr="00147E18" w:rsidRDefault="004D277D" w:rsidP="009367A6">
            <w:pPr>
              <w:spacing w:after="200" w:line="276" w:lineRule="auto"/>
              <w:jc w:val="left"/>
              <w:rPr>
                <w:rFonts w:eastAsia="Calibri" w:cs="Calibri"/>
                <w:sz w:val="20"/>
                <w:szCs w:val="20"/>
                <w:lang w:eastAsia="en-AU"/>
              </w:rPr>
            </w:pPr>
            <w:r w:rsidRPr="00147E18">
              <w:rPr>
                <w:rFonts w:eastAsia="Calibri" w:cs="Calibri"/>
                <w:color w:val="000000"/>
                <w:sz w:val="20"/>
                <w:szCs w:val="20"/>
                <w:lang w:eastAsia="en-AU"/>
              </w:rPr>
              <w:t>Public clinics and bulk billing GPs are free of charge. Private, non-bulk billing GPs can charge what they wish.</w:t>
            </w:r>
            <w:r w:rsidRPr="00147E18">
              <w:rPr>
                <w:rFonts w:eastAsia="Calibri" w:cs="Calibri"/>
                <w:sz w:val="20"/>
                <w:szCs w:val="20"/>
                <w:lang w:eastAsia="en-AU"/>
              </w:rPr>
              <w:t xml:space="preserve"> Pharmacists can charge to handle. Pharmacists cannot administer.</w:t>
            </w:r>
          </w:p>
          <w:p w14:paraId="09185329" w14:textId="77777777" w:rsidR="004D277D" w:rsidRPr="00147E18" w:rsidRDefault="004D277D" w:rsidP="009367A6">
            <w:pPr>
              <w:spacing w:after="200" w:line="276" w:lineRule="auto"/>
              <w:jc w:val="left"/>
              <w:rPr>
                <w:rFonts w:eastAsia="Calibri" w:cs="Calibri"/>
                <w:sz w:val="20"/>
                <w:szCs w:val="20"/>
                <w:lang w:eastAsia="en-AU"/>
              </w:rPr>
            </w:pPr>
            <w:r w:rsidRPr="00147E18">
              <w:rPr>
                <w:rFonts w:eastAsia="Calibri" w:cs="Calibri"/>
                <w:sz w:val="20"/>
                <w:szCs w:val="20"/>
              </w:rPr>
              <w:t>“A fee structure and method of payment by the patient for any cost for the supply of the medication will need to be determined and communicated with the patient as part of the treatment planning. Currently most patients are charged a dispensing fee and payment is made prior to dosing.”</w:t>
            </w:r>
          </w:p>
        </w:tc>
        <w:tc>
          <w:tcPr>
            <w:tcW w:w="2750" w:type="dxa"/>
            <w:tcBorders>
              <w:top w:val="nil"/>
              <w:left w:val="nil"/>
              <w:bottom w:val="single" w:sz="8" w:space="0" w:color="auto"/>
              <w:right w:val="single" w:sz="8" w:space="0" w:color="auto"/>
            </w:tcBorders>
            <w:tcMar>
              <w:top w:w="0" w:type="dxa"/>
              <w:left w:w="108" w:type="dxa"/>
              <w:bottom w:w="0" w:type="dxa"/>
              <w:right w:w="108" w:type="dxa"/>
            </w:tcMar>
            <w:hideMark/>
          </w:tcPr>
          <w:p w14:paraId="053AF69C" w14:textId="77777777" w:rsidR="004D277D" w:rsidRPr="00147E18" w:rsidRDefault="004D277D" w:rsidP="009367A6">
            <w:pPr>
              <w:spacing w:after="200" w:line="276" w:lineRule="auto"/>
              <w:jc w:val="left"/>
              <w:rPr>
                <w:rFonts w:eastAsia="Calibri" w:cs="Calibri"/>
                <w:sz w:val="20"/>
                <w:szCs w:val="20"/>
                <w:lang w:eastAsia="en-AU"/>
              </w:rPr>
            </w:pPr>
            <w:r w:rsidRPr="00147E18">
              <w:rPr>
                <w:rFonts w:eastAsia="Calibri" w:cs="Calibri"/>
                <w:sz w:val="20"/>
                <w:szCs w:val="20"/>
                <w:lang w:eastAsia="en-AU"/>
              </w:rPr>
              <w:t xml:space="preserve">Accredited Drug and Alcohol Services SA (DASSA) prescribers for DASSA clients; medical and nurse practitioners who have completed the required MATOD and depot specific training. </w:t>
            </w:r>
          </w:p>
        </w:tc>
        <w:tc>
          <w:tcPr>
            <w:tcW w:w="2750" w:type="dxa"/>
            <w:tcBorders>
              <w:top w:val="nil"/>
              <w:left w:val="nil"/>
              <w:bottom w:val="single" w:sz="8" w:space="0" w:color="auto"/>
              <w:right w:val="single" w:sz="8" w:space="0" w:color="auto"/>
            </w:tcBorders>
            <w:tcMar>
              <w:top w:w="0" w:type="dxa"/>
              <w:left w:w="108" w:type="dxa"/>
              <w:bottom w:w="0" w:type="dxa"/>
              <w:right w:w="108" w:type="dxa"/>
            </w:tcMar>
            <w:hideMark/>
          </w:tcPr>
          <w:p w14:paraId="4213774F" w14:textId="76B64955" w:rsidR="004D277D" w:rsidRPr="00147E18" w:rsidRDefault="00290B88" w:rsidP="009367A6">
            <w:pPr>
              <w:spacing w:after="200" w:line="276" w:lineRule="auto"/>
              <w:jc w:val="left"/>
              <w:rPr>
                <w:rFonts w:eastAsia="Calibri" w:cs="Calibri"/>
                <w:sz w:val="20"/>
                <w:szCs w:val="20"/>
                <w:lang w:eastAsia="en-AU"/>
              </w:rPr>
            </w:pPr>
            <w:r>
              <w:rPr>
                <w:rFonts w:eastAsia="Calibri" w:cs="Calibri"/>
                <w:sz w:val="20"/>
                <w:szCs w:val="20"/>
                <w:lang w:eastAsia="en-AU"/>
              </w:rPr>
              <w:t xml:space="preserve">Registered health professional only. </w:t>
            </w:r>
          </w:p>
        </w:tc>
        <w:tc>
          <w:tcPr>
            <w:tcW w:w="2750" w:type="dxa"/>
            <w:tcBorders>
              <w:top w:val="nil"/>
              <w:left w:val="nil"/>
              <w:bottom w:val="single" w:sz="8" w:space="0" w:color="auto"/>
              <w:right w:val="single" w:sz="8" w:space="0" w:color="auto"/>
            </w:tcBorders>
            <w:hideMark/>
          </w:tcPr>
          <w:p w14:paraId="7FD4E891" w14:textId="77777777" w:rsidR="004D277D" w:rsidRPr="00147E18" w:rsidRDefault="004D277D" w:rsidP="009367A6">
            <w:pPr>
              <w:spacing w:before="100" w:beforeAutospacing="1" w:after="100" w:afterAutospacing="1" w:line="276" w:lineRule="auto"/>
              <w:jc w:val="left"/>
              <w:rPr>
                <w:rFonts w:eastAsia="Calibri" w:cs="Calibri"/>
                <w:color w:val="000000"/>
                <w:sz w:val="20"/>
                <w:szCs w:val="20"/>
              </w:rPr>
            </w:pPr>
            <w:r w:rsidRPr="00147E18">
              <w:rPr>
                <w:rFonts w:eastAsia="Calibri" w:cs="Calibri"/>
                <w:color w:val="000000"/>
                <w:sz w:val="20"/>
                <w:szCs w:val="20"/>
              </w:rPr>
              <w:t>Medical and nurse practitioners can prescribe and administer depot Buprenorphine, after completing the DDU approved training: '</w:t>
            </w:r>
            <w:hyperlink r:id="rId37" w:tooltip="Link to external site." w:history="1">
              <w:r w:rsidRPr="00147E18">
                <w:rPr>
                  <w:rFonts w:eastAsia="Calibri" w:cs="Calibri"/>
                  <w:color w:val="3A75D3"/>
                  <w:sz w:val="20"/>
                  <w:szCs w:val="20"/>
                  <w:u w:val="single"/>
                </w:rPr>
                <w:t>Theory - Depot Buprenorphine - SA</w:t>
              </w:r>
            </w:hyperlink>
            <w:r w:rsidRPr="00147E18">
              <w:rPr>
                <w:rFonts w:eastAsia="Calibri" w:cs="Calibri"/>
                <w:color w:val="000000"/>
                <w:sz w:val="20"/>
                <w:szCs w:val="20"/>
              </w:rPr>
              <w:t>'</w:t>
            </w:r>
            <w:r w:rsidRPr="00147E18">
              <w:rPr>
                <w:rFonts w:eastAsia="Calibri" w:cs="Calibri"/>
                <w:color w:val="000000"/>
                <w:sz w:val="20"/>
                <w:szCs w:val="20"/>
              </w:rPr>
              <w:br/>
              <w:t>(This module has been included in the Theory component of the MATOD Prescriber Training Course - South Australia since April 2020. Those who completed training prior to this are required to do it separately.)</w:t>
            </w:r>
          </w:p>
        </w:tc>
      </w:tr>
      <w:tr w:rsidR="004D277D" w:rsidRPr="00147E18" w14:paraId="42019CED" w14:textId="77777777" w:rsidTr="00603EE2">
        <w:trPr>
          <w:trHeight w:val="2700"/>
        </w:trPr>
        <w:tc>
          <w:tcPr>
            <w:tcW w:w="1266"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4236965E" w14:textId="129BB460" w:rsidR="004D277D" w:rsidRPr="00147E18" w:rsidRDefault="004D277D" w:rsidP="009367A6">
            <w:pPr>
              <w:spacing w:after="200" w:line="276" w:lineRule="auto"/>
              <w:jc w:val="left"/>
              <w:rPr>
                <w:rFonts w:eastAsia="Calibri" w:cs="Arial"/>
                <w:b/>
                <w:bCs/>
                <w:color w:val="000000"/>
                <w:szCs w:val="22"/>
                <w:lang w:eastAsia="en-AU"/>
              </w:rPr>
            </w:pPr>
            <w:r w:rsidRPr="00147E18">
              <w:rPr>
                <w:rFonts w:eastAsia="Calibri" w:cs="Arial"/>
                <w:b/>
                <w:bCs/>
                <w:color w:val="000000"/>
                <w:szCs w:val="22"/>
                <w:lang w:eastAsia="en-AU"/>
              </w:rPr>
              <w:lastRenderedPageBreak/>
              <w:t>WA</w:t>
            </w:r>
            <w:r w:rsidRPr="00147E18">
              <w:rPr>
                <w:rFonts w:eastAsia="Calibri" w:cs="Arial"/>
                <w:b/>
                <w:bCs/>
                <w:color w:val="000000"/>
                <w:szCs w:val="22"/>
                <w:lang w:eastAsia="en-AU"/>
              </w:rPr>
              <w:fldChar w:fldCharType="begin"/>
            </w:r>
            <w:r w:rsidR="002565E6">
              <w:rPr>
                <w:rFonts w:eastAsia="Calibri" w:cs="Arial"/>
                <w:b/>
                <w:bCs/>
                <w:color w:val="000000"/>
                <w:szCs w:val="22"/>
                <w:lang w:eastAsia="en-AU"/>
              </w:rPr>
              <w:instrText xml:space="preserve"> ADDIN EN.CITE &lt;EndNote&gt;&lt;Cite&gt;&lt;Author&gt;WA Health&lt;/Author&gt;&lt;Year&gt;2020&lt;/Year&gt;&lt;RecNum&gt;3792&lt;/RecNum&gt;&lt;DisplayText&gt;&lt;style face="superscript"&gt;28, 103&lt;/style&gt;&lt;/DisplayText&gt;&lt;record&gt;&lt;rec-number&gt;3792&lt;/rec-number&gt;&lt;foreign-keys&gt;&lt;key app="EN" db-id="pdp2v9rwnsez9qedfx2xtwa7tsw99rvd5zxv" timestamp="1650429680"&gt;3792&lt;/key&gt;&lt;/foreign-keys&gt;&lt;ref-type name="Report"&gt;27&lt;/ref-type&gt;&lt;contributors&gt;&lt;authors&gt;&lt;author&gt;WA Health,&lt;/author&gt;&lt;/authors&gt;&lt;tertiary-authors&gt;&lt;author&gt;WA Health &lt;/author&gt;&lt;/tertiary-authors&gt;&lt;/contributors&gt;&lt;titles&gt;&lt;title&gt;Clinical guidelines for use of depot buprenorphine (Buvidal and Sublocade) in the treatment of opioid dependence. For Western Australian CPOP prescribers&lt;/title&gt;&lt;/titles&gt;&lt;dates&gt;&lt;year&gt;2020&lt;/year&gt;&lt;/dates&gt;&lt;urls&gt;&lt;/urls&gt;&lt;/record&gt;&lt;/Cite&gt;&lt;Cite&gt;&lt;Author&gt;Community Pharmacotherapy Program&lt;/Author&gt;&lt;Year&gt;2014 &lt;/Year&gt;&lt;RecNum&gt;29&lt;/RecNum&gt;&lt;record&gt;&lt;rec-number&gt;29&lt;/rec-number&gt;&lt;foreign-keys&gt;&lt;key app="EN" db-id="xssz590sx9vzw4ewpzdv0s5sret50aexdtd9" timestamp="1668645380"&gt;29&lt;/key&gt;&lt;/foreign-keys&gt;&lt;ref-type name="Report"&gt;27&lt;/ref-type&gt;&lt;contributors&gt;&lt;authors&gt;&lt;author&gt;Community Pharmacotherapy Program, &lt;/author&gt;&lt;/authors&gt;&lt;/contributors&gt;&lt;titles&gt;&lt;title&gt;Clinical Policies for the Use of Methadone and Buprenorphine in the Treatment of Opioid Dependence &lt;/title&gt;&lt;/titles&gt;&lt;dates&gt;&lt;year&gt;2014 &lt;/year&gt;&lt;/dates&gt;&lt;pub-location&gt;Mt. Lawley, Western Australia &lt;/pub-location&gt;&lt;publisher&gt;Drug and Alcohol Office &lt;/publisher&gt;&lt;urls&gt;&lt;related-urls&gt;&lt;url&gt;https://www.mhc.wa.gov.au/media/1614/wa-clinical-policies-and-procedures-for-the-use-of-methadone.pdf&lt;/url&gt;&lt;/related-urls&gt;&lt;/urls&gt;&lt;/record&gt;&lt;/Cite&gt;&lt;/EndNote&gt;</w:instrText>
            </w:r>
            <w:r w:rsidRPr="00147E18">
              <w:rPr>
                <w:rFonts w:eastAsia="Calibri" w:cs="Arial"/>
                <w:b/>
                <w:bCs/>
                <w:color w:val="000000"/>
                <w:szCs w:val="22"/>
                <w:lang w:eastAsia="en-AU"/>
              </w:rPr>
              <w:fldChar w:fldCharType="separate"/>
            </w:r>
            <w:hyperlink w:anchor="_ENREF_28" w:tooltip="Community Pharmacotherapy Program, 2014  #29" w:history="1">
              <w:r w:rsidR="002565E6" w:rsidRPr="002565E6">
                <w:rPr>
                  <w:rFonts w:eastAsia="Calibri" w:cs="Arial"/>
                  <w:b/>
                  <w:bCs/>
                  <w:noProof/>
                  <w:color w:val="000000"/>
                  <w:szCs w:val="22"/>
                  <w:vertAlign w:val="superscript"/>
                  <w:lang w:eastAsia="en-AU"/>
                </w:rPr>
                <w:t>28</w:t>
              </w:r>
            </w:hyperlink>
            <w:r w:rsidR="002565E6" w:rsidRPr="002565E6">
              <w:rPr>
                <w:rFonts w:eastAsia="Calibri" w:cs="Arial"/>
                <w:b/>
                <w:bCs/>
                <w:noProof/>
                <w:color w:val="000000"/>
                <w:szCs w:val="22"/>
                <w:vertAlign w:val="superscript"/>
                <w:lang w:eastAsia="en-AU"/>
              </w:rPr>
              <w:t xml:space="preserve">, </w:t>
            </w:r>
            <w:hyperlink w:anchor="_ENREF_103" w:tooltip="WA Health, 2020 #3792" w:history="1">
              <w:r w:rsidR="002565E6" w:rsidRPr="002565E6">
                <w:rPr>
                  <w:rFonts w:eastAsia="Calibri" w:cs="Arial"/>
                  <w:b/>
                  <w:bCs/>
                  <w:noProof/>
                  <w:color w:val="000000"/>
                  <w:szCs w:val="22"/>
                  <w:vertAlign w:val="superscript"/>
                  <w:lang w:eastAsia="en-AU"/>
                </w:rPr>
                <w:t>103</w:t>
              </w:r>
            </w:hyperlink>
            <w:r w:rsidRPr="00147E18">
              <w:rPr>
                <w:rFonts w:eastAsia="Calibri" w:cs="Arial"/>
                <w:b/>
                <w:bCs/>
                <w:color w:val="000000"/>
                <w:szCs w:val="22"/>
                <w:lang w:eastAsia="en-AU"/>
              </w:rPr>
              <w:fldChar w:fldCharType="end"/>
            </w:r>
          </w:p>
        </w:tc>
        <w:tc>
          <w:tcPr>
            <w:tcW w:w="2750" w:type="dxa"/>
            <w:tcBorders>
              <w:top w:val="nil"/>
              <w:left w:val="nil"/>
              <w:bottom w:val="single" w:sz="4" w:space="0" w:color="auto"/>
              <w:right w:val="single" w:sz="8" w:space="0" w:color="auto"/>
            </w:tcBorders>
            <w:tcMar>
              <w:top w:w="0" w:type="dxa"/>
              <w:left w:w="108" w:type="dxa"/>
              <w:bottom w:w="0" w:type="dxa"/>
              <w:right w:w="108" w:type="dxa"/>
            </w:tcMar>
            <w:hideMark/>
          </w:tcPr>
          <w:p w14:paraId="4333685E" w14:textId="19EE1CD5" w:rsidR="004D277D" w:rsidRPr="00147E18" w:rsidRDefault="004D277D" w:rsidP="009367A6">
            <w:pPr>
              <w:spacing w:after="200" w:line="276" w:lineRule="auto"/>
              <w:jc w:val="left"/>
              <w:rPr>
                <w:rFonts w:eastAsia="Calibri" w:cs="Calibri"/>
                <w:color w:val="000000"/>
                <w:sz w:val="20"/>
                <w:szCs w:val="20"/>
                <w:lang w:eastAsia="en-AU"/>
              </w:rPr>
            </w:pPr>
            <w:r w:rsidRPr="00147E18">
              <w:rPr>
                <w:rFonts w:eastAsia="Calibri" w:cs="Calibri"/>
                <w:color w:val="000000"/>
                <w:sz w:val="20"/>
                <w:szCs w:val="20"/>
                <w:lang w:eastAsia="en-AU"/>
              </w:rPr>
              <w:t xml:space="preserve">GP practices, public clinics, private </w:t>
            </w:r>
            <w:r w:rsidR="00787908" w:rsidRPr="00147E18">
              <w:rPr>
                <w:rFonts w:eastAsia="Calibri" w:cs="Calibri"/>
                <w:color w:val="000000"/>
                <w:sz w:val="20"/>
                <w:szCs w:val="20"/>
                <w:lang w:eastAsia="en-AU"/>
              </w:rPr>
              <w:t>hospitals,</w:t>
            </w:r>
            <w:r w:rsidRPr="00147E18">
              <w:rPr>
                <w:rFonts w:eastAsia="Calibri" w:cs="Calibri"/>
                <w:color w:val="000000"/>
                <w:sz w:val="20"/>
                <w:szCs w:val="20"/>
                <w:lang w:eastAsia="en-AU"/>
              </w:rPr>
              <w:t xml:space="preserve"> or private clinics</w:t>
            </w:r>
          </w:p>
        </w:tc>
        <w:tc>
          <w:tcPr>
            <w:tcW w:w="2750" w:type="dxa"/>
            <w:tcBorders>
              <w:top w:val="nil"/>
              <w:left w:val="nil"/>
              <w:bottom w:val="single" w:sz="4" w:space="0" w:color="auto"/>
              <w:right w:val="single" w:sz="8" w:space="0" w:color="auto"/>
            </w:tcBorders>
            <w:tcMar>
              <w:top w:w="0" w:type="dxa"/>
              <w:left w:w="108" w:type="dxa"/>
              <w:bottom w:w="0" w:type="dxa"/>
              <w:right w:w="108" w:type="dxa"/>
            </w:tcMar>
          </w:tcPr>
          <w:p w14:paraId="2637BE49" w14:textId="77777777" w:rsidR="004D277D" w:rsidRPr="00603EE2" w:rsidRDefault="004D277D" w:rsidP="009367A6">
            <w:pPr>
              <w:spacing w:after="200" w:line="276" w:lineRule="auto"/>
              <w:jc w:val="left"/>
              <w:rPr>
                <w:rFonts w:eastAsia="Calibri" w:cs="Calibri"/>
                <w:sz w:val="20"/>
                <w:szCs w:val="20"/>
                <w:lang w:eastAsia="en-AU"/>
              </w:rPr>
            </w:pPr>
            <w:r w:rsidRPr="00147E18">
              <w:rPr>
                <w:rFonts w:eastAsia="Calibri" w:cs="Calibri"/>
                <w:color w:val="000000"/>
                <w:sz w:val="20"/>
                <w:szCs w:val="20"/>
                <w:lang w:eastAsia="en-AU"/>
              </w:rPr>
              <w:t>One public clinic and bulkbilling GPs are free of charge. Private, non-bulk billing GPs can charge what they wish.</w:t>
            </w:r>
            <w:r w:rsidRPr="00147E18">
              <w:rPr>
                <w:rFonts w:eastAsia="Calibri" w:cs="Calibri"/>
                <w:sz w:val="20"/>
                <w:szCs w:val="20"/>
                <w:lang w:eastAsia="en-AU"/>
              </w:rPr>
              <w:t xml:space="preserve"> Pharmacists can charge to handle. Some public clinics order through a retail pharmacy so there is usually a charge to the patient</w:t>
            </w:r>
            <w:r w:rsidRPr="00147E18">
              <w:rPr>
                <w:rFonts w:eastAsia="Calibri" w:cs="Calibri"/>
                <w:sz w:val="20"/>
                <w:szCs w:val="20"/>
                <w:highlight w:val="yellow"/>
                <w:lang w:eastAsia="en-AU"/>
              </w:rPr>
              <w:t xml:space="preserve"> </w:t>
            </w:r>
          </w:p>
          <w:p w14:paraId="438BABB8" w14:textId="77777777" w:rsidR="004D277D" w:rsidRPr="00147E18" w:rsidRDefault="004D277D" w:rsidP="009367A6">
            <w:pPr>
              <w:spacing w:after="200" w:line="276" w:lineRule="auto"/>
              <w:jc w:val="left"/>
              <w:rPr>
                <w:rFonts w:eastAsia="Calibri" w:cs="Calibri"/>
                <w:color w:val="000000"/>
                <w:sz w:val="20"/>
                <w:szCs w:val="20"/>
                <w:lang w:eastAsia="en-AU"/>
              </w:rPr>
            </w:pPr>
            <w:r w:rsidRPr="00147E18">
              <w:rPr>
                <w:rFonts w:eastAsia="Calibri" w:cs="Calibri"/>
                <w:sz w:val="20"/>
                <w:szCs w:val="20"/>
              </w:rPr>
              <w:t>“A fee structure and method of payment by the patient for any cost for the supply of the medication will need to be determined with the pharmacy and communicated with the patient as part of the treatment plan. Most patients will be charged a service and delivery fee with payment made prior to dosing.”</w:t>
            </w:r>
          </w:p>
        </w:tc>
        <w:tc>
          <w:tcPr>
            <w:tcW w:w="2750" w:type="dxa"/>
            <w:tcBorders>
              <w:top w:val="nil"/>
              <w:left w:val="nil"/>
              <w:bottom w:val="single" w:sz="4" w:space="0" w:color="auto"/>
              <w:right w:val="single" w:sz="8" w:space="0" w:color="auto"/>
            </w:tcBorders>
            <w:tcMar>
              <w:top w:w="0" w:type="dxa"/>
              <w:left w:w="108" w:type="dxa"/>
              <w:bottom w:w="0" w:type="dxa"/>
              <w:right w:w="108" w:type="dxa"/>
            </w:tcMar>
            <w:hideMark/>
          </w:tcPr>
          <w:p w14:paraId="60478A55" w14:textId="77777777" w:rsidR="004D277D" w:rsidRPr="00147E18" w:rsidRDefault="004D277D" w:rsidP="009367A6">
            <w:pPr>
              <w:spacing w:after="200" w:line="276" w:lineRule="auto"/>
              <w:jc w:val="left"/>
              <w:rPr>
                <w:rFonts w:eastAsia="Calibri" w:cs="Calibri"/>
                <w:sz w:val="20"/>
                <w:szCs w:val="20"/>
                <w:lang w:eastAsia="en-AU"/>
              </w:rPr>
            </w:pPr>
            <w:r w:rsidRPr="00147E18">
              <w:rPr>
                <w:rFonts w:eastAsia="Calibri" w:cs="Calibri"/>
                <w:color w:val="000000"/>
                <w:sz w:val="20"/>
                <w:szCs w:val="20"/>
                <w:lang w:eastAsia="en-AU"/>
              </w:rPr>
              <w:t xml:space="preserve">Medical practitioners that have undertaken training to become an authorised prescriber. </w:t>
            </w:r>
            <w:r>
              <w:rPr>
                <w:rFonts w:eastAsia="Calibri" w:cs="Calibri"/>
                <w:color w:val="000000"/>
                <w:sz w:val="20"/>
                <w:szCs w:val="20"/>
                <w:lang w:eastAsia="en-AU"/>
              </w:rPr>
              <w:t xml:space="preserve"> </w:t>
            </w:r>
            <w:r w:rsidRPr="00603EE2">
              <w:rPr>
                <w:rFonts w:eastAsia="Calibri" w:cs="Calibri"/>
                <w:color w:val="000000"/>
                <w:sz w:val="20"/>
                <w:szCs w:val="20"/>
                <w:lang w:eastAsia="en-AU"/>
              </w:rPr>
              <w:t>Must be authorised by the Department of Health CEO and endorsed by the Director of Clinical Services at Next Step</w:t>
            </w:r>
          </w:p>
        </w:tc>
        <w:tc>
          <w:tcPr>
            <w:tcW w:w="2750" w:type="dxa"/>
            <w:tcBorders>
              <w:top w:val="nil"/>
              <w:left w:val="nil"/>
              <w:bottom w:val="single" w:sz="4" w:space="0" w:color="auto"/>
              <w:right w:val="single" w:sz="8" w:space="0" w:color="auto"/>
            </w:tcBorders>
            <w:tcMar>
              <w:top w:w="0" w:type="dxa"/>
              <w:left w:w="108" w:type="dxa"/>
              <w:bottom w:w="0" w:type="dxa"/>
              <w:right w:w="108" w:type="dxa"/>
            </w:tcMar>
            <w:hideMark/>
          </w:tcPr>
          <w:p w14:paraId="3392CC93" w14:textId="77777777" w:rsidR="004D277D" w:rsidRPr="00147E18" w:rsidRDefault="004D277D" w:rsidP="009367A6">
            <w:pPr>
              <w:spacing w:after="200" w:line="276" w:lineRule="auto"/>
              <w:jc w:val="left"/>
              <w:rPr>
                <w:rFonts w:eastAsia="Calibri" w:cs="Calibri"/>
                <w:sz w:val="20"/>
                <w:szCs w:val="20"/>
                <w:lang w:eastAsia="en-AU"/>
              </w:rPr>
            </w:pPr>
            <w:r w:rsidRPr="00147E18">
              <w:rPr>
                <w:rFonts w:eastAsia="Calibri" w:cs="Calibri"/>
                <w:color w:val="000000"/>
                <w:sz w:val="20"/>
                <w:szCs w:val="20"/>
                <w:lang w:eastAsia="en-AU"/>
              </w:rPr>
              <w:t>Only pharmacies approved by the WA Health Department may dispense depot buprenorphine. Medical clinics are not permitted to order directly from the wholesaler.</w:t>
            </w:r>
          </w:p>
        </w:tc>
        <w:tc>
          <w:tcPr>
            <w:tcW w:w="2750" w:type="dxa"/>
            <w:tcBorders>
              <w:top w:val="nil"/>
              <w:left w:val="nil"/>
              <w:bottom w:val="single" w:sz="4" w:space="0" w:color="auto"/>
              <w:right w:val="single" w:sz="8" w:space="0" w:color="auto"/>
            </w:tcBorders>
            <w:hideMark/>
          </w:tcPr>
          <w:p w14:paraId="21BEFA3F" w14:textId="77777777" w:rsidR="004D277D" w:rsidRPr="00147E18" w:rsidRDefault="004D277D" w:rsidP="009367A6">
            <w:pPr>
              <w:spacing w:before="100" w:beforeAutospacing="1" w:after="100" w:afterAutospacing="1" w:line="276" w:lineRule="auto"/>
              <w:jc w:val="left"/>
              <w:rPr>
                <w:rFonts w:eastAsia="Calibri" w:cs="Calibri"/>
                <w:color w:val="000000"/>
                <w:sz w:val="20"/>
                <w:szCs w:val="20"/>
              </w:rPr>
            </w:pPr>
            <w:r w:rsidRPr="00147E18">
              <w:rPr>
                <w:rFonts w:eastAsia="Calibri" w:cs="Calibri"/>
                <w:color w:val="000000"/>
                <w:sz w:val="20"/>
                <w:szCs w:val="20"/>
              </w:rPr>
              <w:t xml:space="preserve">Prescribers are subject to limits on the number of patients they can prescribe to at any time. </w:t>
            </w:r>
          </w:p>
          <w:p w14:paraId="36930A5F" w14:textId="77777777" w:rsidR="004D277D" w:rsidRPr="00147E18" w:rsidRDefault="004D277D" w:rsidP="009367A6">
            <w:pPr>
              <w:spacing w:before="100" w:beforeAutospacing="1" w:after="100" w:afterAutospacing="1" w:line="276" w:lineRule="auto"/>
              <w:jc w:val="left"/>
              <w:rPr>
                <w:rFonts w:eastAsia="Calibri" w:cs="Calibri"/>
                <w:color w:val="000000"/>
                <w:sz w:val="20"/>
                <w:szCs w:val="20"/>
              </w:rPr>
            </w:pPr>
            <w:r w:rsidRPr="00147E18">
              <w:rPr>
                <w:rFonts w:eastAsia="Calibri" w:cs="Calibri"/>
                <w:sz w:val="20"/>
                <w:szCs w:val="20"/>
                <w:lang w:eastAsia="en-AU"/>
              </w:rPr>
              <w:t>Pharmacists cannot administer.</w:t>
            </w:r>
          </w:p>
        </w:tc>
      </w:tr>
      <w:tr w:rsidR="004D277D" w:rsidRPr="00147E18" w14:paraId="00D542D4" w14:textId="77777777" w:rsidTr="00603EE2">
        <w:trPr>
          <w:trHeight w:val="980"/>
        </w:trPr>
        <w:tc>
          <w:tcPr>
            <w:tcW w:w="1266"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2EE15B3" w14:textId="77777777" w:rsidR="004D277D" w:rsidRPr="00147E18" w:rsidRDefault="004D277D" w:rsidP="009367A6">
            <w:pPr>
              <w:spacing w:after="200" w:line="276" w:lineRule="auto"/>
              <w:jc w:val="left"/>
              <w:rPr>
                <w:rFonts w:eastAsia="Calibri" w:cs="Arial"/>
                <w:b/>
                <w:bCs/>
                <w:color w:val="000000"/>
                <w:szCs w:val="22"/>
                <w:lang w:eastAsia="en-AU"/>
              </w:rPr>
            </w:pPr>
            <w:r w:rsidRPr="00147E18">
              <w:rPr>
                <w:rFonts w:eastAsia="Calibri" w:cs="Arial"/>
                <w:b/>
                <w:bCs/>
                <w:color w:val="000000"/>
                <w:szCs w:val="22"/>
                <w:lang w:eastAsia="en-AU"/>
              </w:rPr>
              <w:t>TAS</w:t>
            </w:r>
          </w:p>
        </w:tc>
        <w:tc>
          <w:tcPr>
            <w:tcW w:w="275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2C3598F" w14:textId="77777777" w:rsidR="004D277D" w:rsidRPr="00147E18" w:rsidRDefault="004D277D" w:rsidP="009367A6">
            <w:pPr>
              <w:spacing w:after="200" w:line="276" w:lineRule="auto"/>
              <w:jc w:val="left"/>
              <w:rPr>
                <w:rFonts w:eastAsia="Calibri" w:cs="Calibri"/>
                <w:color w:val="000000"/>
                <w:sz w:val="20"/>
                <w:szCs w:val="20"/>
                <w:lang w:eastAsia="en-AU"/>
              </w:rPr>
            </w:pPr>
            <w:r w:rsidRPr="00147E18">
              <w:rPr>
                <w:rFonts w:eastAsia="Calibri" w:cs="Calibri"/>
                <w:color w:val="000000"/>
                <w:sz w:val="20"/>
                <w:szCs w:val="20"/>
                <w:lang w:eastAsia="en-AU"/>
              </w:rPr>
              <w:t xml:space="preserve">Correctional facilities, public clinics and aboriginal health providers and GP practices </w:t>
            </w:r>
          </w:p>
        </w:tc>
        <w:tc>
          <w:tcPr>
            <w:tcW w:w="275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B4F7B25" w14:textId="77777777" w:rsidR="004D277D" w:rsidRPr="00147E18" w:rsidRDefault="004D277D" w:rsidP="009367A6">
            <w:pPr>
              <w:spacing w:after="200" w:line="276" w:lineRule="auto"/>
              <w:jc w:val="left"/>
              <w:rPr>
                <w:rFonts w:eastAsia="Calibri" w:cs="Calibri"/>
                <w:color w:val="000000"/>
                <w:sz w:val="20"/>
                <w:szCs w:val="20"/>
                <w:lang w:eastAsia="en-AU"/>
              </w:rPr>
            </w:pPr>
            <w:r w:rsidRPr="00147E18">
              <w:rPr>
                <w:rFonts w:eastAsia="Calibri" w:cs="Calibri"/>
                <w:color w:val="000000"/>
                <w:sz w:val="20"/>
                <w:szCs w:val="20"/>
                <w:lang w:eastAsia="en-AU"/>
              </w:rPr>
              <w:t>Public clinics are free of charge.</w:t>
            </w:r>
            <w:r w:rsidRPr="00147E18">
              <w:rPr>
                <w:rFonts w:eastAsia="Calibri" w:cs="Calibri"/>
                <w:sz w:val="20"/>
                <w:szCs w:val="20"/>
                <w:lang w:eastAsia="en-AU"/>
              </w:rPr>
              <w:t xml:space="preserve"> </w:t>
            </w:r>
          </w:p>
        </w:tc>
        <w:tc>
          <w:tcPr>
            <w:tcW w:w="275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3341D1F" w14:textId="77777777" w:rsidR="004D277D" w:rsidRPr="00147E18" w:rsidRDefault="004D277D" w:rsidP="009367A6">
            <w:pPr>
              <w:spacing w:after="200" w:line="276" w:lineRule="auto"/>
              <w:jc w:val="left"/>
              <w:rPr>
                <w:rFonts w:eastAsia="Calibri" w:cs="Calibri"/>
                <w:color w:val="000000"/>
                <w:sz w:val="20"/>
                <w:szCs w:val="20"/>
                <w:lang w:eastAsia="en-AU"/>
              </w:rPr>
            </w:pPr>
            <w:r w:rsidRPr="00147E18">
              <w:rPr>
                <w:rFonts w:eastAsia="Calibri" w:cs="Calibri"/>
                <w:color w:val="000000"/>
                <w:sz w:val="20"/>
                <w:szCs w:val="20"/>
                <w:lang w:eastAsia="en-AU"/>
              </w:rPr>
              <w:t xml:space="preserve">Authorised prescribers. Completed buprenorphine training, Tasmanian Opioid Pharmacotherapy Program and depot buprenorphine training and have obtained a </w:t>
            </w:r>
            <w:r w:rsidRPr="00147E18">
              <w:rPr>
                <w:rFonts w:eastAsia="Calibri" w:cs="Calibri"/>
                <w:color w:val="000000"/>
                <w:sz w:val="20"/>
                <w:szCs w:val="20"/>
                <w:lang w:eastAsia="en-AU"/>
              </w:rPr>
              <w:lastRenderedPageBreak/>
              <w:t>permit with Pharmaceutical Services Branch</w:t>
            </w:r>
          </w:p>
        </w:tc>
        <w:tc>
          <w:tcPr>
            <w:tcW w:w="275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14E10A4" w14:textId="77777777" w:rsidR="004D277D" w:rsidRPr="00147E18" w:rsidRDefault="004D277D" w:rsidP="009367A6">
            <w:pPr>
              <w:spacing w:after="200" w:line="276" w:lineRule="auto"/>
              <w:jc w:val="left"/>
              <w:rPr>
                <w:rFonts w:eastAsia="Calibri" w:cs="Calibri"/>
                <w:color w:val="000000"/>
                <w:sz w:val="20"/>
                <w:szCs w:val="20"/>
                <w:lang w:eastAsia="en-AU"/>
              </w:rPr>
            </w:pPr>
            <w:r w:rsidRPr="00147E18">
              <w:rPr>
                <w:rFonts w:eastAsia="Calibri" w:cs="Calibri"/>
                <w:color w:val="000000"/>
                <w:sz w:val="20"/>
                <w:szCs w:val="20"/>
                <w:lang w:eastAsia="en-AU"/>
              </w:rPr>
              <w:lastRenderedPageBreak/>
              <w:t xml:space="preserve">GP’s and nurses. </w:t>
            </w:r>
          </w:p>
        </w:tc>
        <w:tc>
          <w:tcPr>
            <w:tcW w:w="2750" w:type="dxa"/>
            <w:tcBorders>
              <w:top w:val="single" w:sz="4" w:space="0" w:color="auto"/>
              <w:left w:val="nil"/>
              <w:bottom w:val="single" w:sz="8" w:space="0" w:color="auto"/>
              <w:right w:val="single" w:sz="8" w:space="0" w:color="auto"/>
            </w:tcBorders>
          </w:tcPr>
          <w:p w14:paraId="0AE15061" w14:textId="77777777" w:rsidR="004D277D" w:rsidRPr="00147E18" w:rsidRDefault="004D277D" w:rsidP="009367A6">
            <w:pPr>
              <w:spacing w:before="100" w:beforeAutospacing="1" w:after="100" w:afterAutospacing="1" w:line="276" w:lineRule="auto"/>
              <w:jc w:val="left"/>
              <w:rPr>
                <w:rFonts w:eastAsia="Calibri" w:cs="Calibri"/>
                <w:color w:val="000000"/>
                <w:sz w:val="20"/>
                <w:szCs w:val="20"/>
              </w:rPr>
            </w:pPr>
          </w:p>
        </w:tc>
      </w:tr>
      <w:tr w:rsidR="004D277D" w:rsidRPr="00147E18" w14:paraId="0FECE85C" w14:textId="77777777" w:rsidTr="00603EE2">
        <w:trPr>
          <w:trHeight w:val="980"/>
        </w:trPr>
        <w:tc>
          <w:tcPr>
            <w:tcW w:w="1266"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0716B3A" w14:textId="70154CDA" w:rsidR="004D277D" w:rsidRPr="00147E18" w:rsidRDefault="004D277D" w:rsidP="009367A6">
            <w:pPr>
              <w:spacing w:after="200" w:line="276" w:lineRule="auto"/>
              <w:jc w:val="left"/>
              <w:rPr>
                <w:rFonts w:eastAsia="Calibri" w:cs="Arial"/>
                <w:b/>
                <w:bCs/>
                <w:color w:val="000000"/>
                <w:szCs w:val="22"/>
                <w:lang w:eastAsia="en-AU"/>
              </w:rPr>
            </w:pPr>
            <w:r w:rsidRPr="00147E18">
              <w:rPr>
                <w:rFonts w:eastAsia="Calibri" w:cs="Arial"/>
                <w:b/>
                <w:bCs/>
                <w:color w:val="000000"/>
                <w:szCs w:val="22"/>
                <w:lang w:eastAsia="en-AU"/>
              </w:rPr>
              <w:t>QLD</w:t>
            </w:r>
            <w:r w:rsidRPr="00147E18">
              <w:rPr>
                <w:rFonts w:eastAsia="Calibri" w:cs="Arial"/>
                <w:b/>
                <w:bCs/>
                <w:color w:val="000000"/>
                <w:szCs w:val="22"/>
                <w:lang w:eastAsia="en-AU"/>
              </w:rPr>
              <w:fldChar w:fldCharType="begin"/>
            </w:r>
            <w:r w:rsidR="002565E6">
              <w:rPr>
                <w:rFonts w:eastAsia="Calibri" w:cs="Arial"/>
                <w:b/>
                <w:bCs/>
                <w:color w:val="000000"/>
                <w:szCs w:val="22"/>
                <w:lang w:eastAsia="en-AU"/>
              </w:rPr>
              <w:instrText xml:space="preserve"> ADDIN EN.CITE &lt;EndNote&gt;&lt;Cite&gt;&lt;Author&gt;Queensland Health&lt;/Author&gt;&lt;Year&gt;2019&lt;/Year&gt;&lt;RecNum&gt;3566&lt;/RecNum&gt;&lt;DisplayText&gt;&lt;style face="superscript"&gt;104, 105&lt;/style&gt;&lt;/DisplayText&gt;&lt;record&gt;&lt;rec-number&gt;3566&lt;/rec-number&gt;&lt;foreign-keys&gt;&lt;key app="EN" db-id="pdp2v9rwnsez9qedfx2xtwa7tsw99rvd5zxv" timestamp="1646102109"&gt;3566&lt;/key&gt;&lt;/foreign-keys&gt;&lt;ref-type name="Report"&gt;27&lt;/ref-type&gt;&lt;contributors&gt;&lt;authors&gt;&lt;author&gt;Queensland Health, &lt;/author&gt;&lt;/authors&gt;&lt;/contributors&gt;&lt;titles&gt;&lt;title&gt;Long-acting injection buprenorphine in the treatment of opioid dependence - Queensland Clinical Guidelines 2019 &lt;/title&gt;&lt;/titles&gt;&lt;dates&gt;&lt;year&gt;2019&lt;/year&gt;&lt;/dates&gt;&lt;urls&gt;&lt;/urls&gt;&lt;/record&gt;&lt;/Cite&gt;&lt;Cite&gt;&lt;Author&gt;Queensland Health&lt;/Author&gt;&lt;Year&gt;2020&lt;/Year&gt;&lt;RecNum&gt;3567&lt;/RecNum&gt;&lt;record&gt;&lt;rec-number&gt;3567&lt;/rec-number&gt;&lt;foreign-keys&gt;&lt;key app="EN" db-id="pdp2v9rwnsez9qedfx2xtwa7tsw99rvd5zxv" timestamp="1646102173"&gt;3567&lt;/key&gt;&lt;/foreign-keys&gt;&lt;ref-type name="Report"&gt;27&lt;/ref-type&gt;&lt;contributors&gt;&lt;authors&gt;&lt;author&gt;Queensland Health,&lt;/author&gt;&lt;/authors&gt;&lt;/contributors&gt;&lt;titles&gt;&lt;title&gt;Fact sheet: Long-acting injections of buprenorphine for opioid dependence treatment &lt;/title&gt;&lt;/titles&gt;&lt;dates&gt;&lt;year&gt;2020&lt;/year&gt;&lt;/dates&gt;&lt;publisher&gt;Queensland Government &lt;/publisher&gt;&lt;urls&gt;&lt;/urls&gt;&lt;/record&gt;&lt;/Cite&gt;&lt;/EndNote&gt;</w:instrText>
            </w:r>
            <w:r w:rsidRPr="00147E18">
              <w:rPr>
                <w:rFonts w:eastAsia="Calibri" w:cs="Arial"/>
                <w:b/>
                <w:bCs/>
                <w:color w:val="000000"/>
                <w:szCs w:val="22"/>
                <w:lang w:eastAsia="en-AU"/>
              </w:rPr>
              <w:fldChar w:fldCharType="separate"/>
            </w:r>
            <w:hyperlink w:anchor="_ENREF_104" w:tooltip="Queensland Health, 2019 #3566" w:history="1">
              <w:r w:rsidR="002565E6" w:rsidRPr="002565E6">
                <w:rPr>
                  <w:rFonts w:eastAsia="Calibri" w:cs="Arial"/>
                  <w:b/>
                  <w:bCs/>
                  <w:noProof/>
                  <w:color w:val="000000"/>
                  <w:szCs w:val="22"/>
                  <w:vertAlign w:val="superscript"/>
                  <w:lang w:eastAsia="en-AU"/>
                </w:rPr>
                <w:t>104</w:t>
              </w:r>
            </w:hyperlink>
            <w:r w:rsidR="002565E6" w:rsidRPr="002565E6">
              <w:rPr>
                <w:rFonts w:eastAsia="Calibri" w:cs="Arial"/>
                <w:b/>
                <w:bCs/>
                <w:noProof/>
                <w:color w:val="000000"/>
                <w:szCs w:val="22"/>
                <w:vertAlign w:val="superscript"/>
                <w:lang w:eastAsia="en-AU"/>
              </w:rPr>
              <w:t xml:space="preserve">, </w:t>
            </w:r>
            <w:hyperlink w:anchor="_ENREF_105" w:tooltip="Queensland Health, 2020 #3567" w:history="1">
              <w:r w:rsidR="002565E6" w:rsidRPr="002565E6">
                <w:rPr>
                  <w:rFonts w:eastAsia="Calibri" w:cs="Arial"/>
                  <w:b/>
                  <w:bCs/>
                  <w:noProof/>
                  <w:color w:val="000000"/>
                  <w:szCs w:val="22"/>
                  <w:vertAlign w:val="superscript"/>
                  <w:lang w:eastAsia="en-AU"/>
                </w:rPr>
                <w:t>105</w:t>
              </w:r>
            </w:hyperlink>
            <w:r w:rsidRPr="00147E18">
              <w:rPr>
                <w:rFonts w:eastAsia="Calibri" w:cs="Arial"/>
                <w:b/>
                <w:bCs/>
                <w:color w:val="000000"/>
                <w:szCs w:val="22"/>
                <w:lang w:eastAsia="en-AU"/>
              </w:rPr>
              <w:fldChar w:fldCharType="end"/>
            </w:r>
          </w:p>
        </w:tc>
        <w:tc>
          <w:tcPr>
            <w:tcW w:w="275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A2B49FD" w14:textId="77777777" w:rsidR="004D277D" w:rsidRPr="00147E18" w:rsidRDefault="004D277D" w:rsidP="009367A6">
            <w:pPr>
              <w:spacing w:after="200" w:line="276" w:lineRule="auto"/>
              <w:jc w:val="left"/>
              <w:rPr>
                <w:rFonts w:eastAsia="Calibri" w:cs="Calibri"/>
                <w:color w:val="000000"/>
                <w:sz w:val="20"/>
                <w:szCs w:val="20"/>
                <w:lang w:eastAsia="en-AU"/>
              </w:rPr>
            </w:pPr>
            <w:r w:rsidRPr="00147E18">
              <w:rPr>
                <w:rFonts w:eastAsia="Calibri" w:cs="Calibri"/>
                <w:color w:val="000000"/>
                <w:sz w:val="20"/>
                <w:szCs w:val="20"/>
                <w:lang w:eastAsia="en-AU"/>
              </w:rPr>
              <w:t xml:space="preserve">Public opioid treatment services, operated by Hospitals and Health Services (including correctional facilities), private opioid treatment prescribers and community settings </w:t>
            </w:r>
          </w:p>
        </w:tc>
        <w:tc>
          <w:tcPr>
            <w:tcW w:w="275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19C263EA" w14:textId="77777777" w:rsidR="004D277D" w:rsidRPr="00147E18" w:rsidRDefault="004D277D" w:rsidP="009367A6">
            <w:pPr>
              <w:spacing w:after="200" w:line="276" w:lineRule="auto"/>
              <w:jc w:val="left"/>
              <w:rPr>
                <w:rFonts w:eastAsia="Calibri" w:cs="Calibri"/>
                <w:sz w:val="20"/>
                <w:szCs w:val="20"/>
                <w:lang w:eastAsia="en-AU"/>
              </w:rPr>
            </w:pPr>
            <w:r w:rsidRPr="00147E18">
              <w:rPr>
                <w:rFonts w:eastAsia="Calibri" w:cs="Calibri"/>
                <w:color w:val="000000"/>
                <w:sz w:val="20"/>
                <w:szCs w:val="20"/>
                <w:lang w:eastAsia="en-AU"/>
              </w:rPr>
              <w:t>Public clinics and bulk billing GPs are free of charge. Private, non-bulk billing GPs and pharmacies can charge what they wish</w:t>
            </w:r>
            <w:r w:rsidRPr="00147E18">
              <w:rPr>
                <w:rFonts w:eastAsia="Calibri" w:cs="Calibri"/>
                <w:sz w:val="20"/>
                <w:szCs w:val="20"/>
                <w:lang w:eastAsia="en-AU"/>
              </w:rPr>
              <w:t xml:space="preserve"> to handle. </w:t>
            </w:r>
          </w:p>
          <w:p w14:paraId="517FC081" w14:textId="77777777" w:rsidR="004D277D" w:rsidRPr="00147E18" w:rsidRDefault="004D277D" w:rsidP="009367A6">
            <w:pPr>
              <w:spacing w:after="200" w:line="276" w:lineRule="auto"/>
              <w:jc w:val="left"/>
              <w:rPr>
                <w:rFonts w:eastAsia="Calibri" w:cs="Calibri"/>
                <w:sz w:val="20"/>
                <w:szCs w:val="20"/>
                <w:lang w:eastAsia="en-AU"/>
              </w:rPr>
            </w:pPr>
          </w:p>
          <w:p w14:paraId="2D08ED0E" w14:textId="77777777" w:rsidR="004D277D" w:rsidRPr="00147E18" w:rsidRDefault="004D277D" w:rsidP="009367A6">
            <w:pPr>
              <w:spacing w:after="200" w:line="276" w:lineRule="auto"/>
              <w:jc w:val="left"/>
              <w:rPr>
                <w:rFonts w:eastAsia="Calibri" w:cs="Calibri"/>
                <w:color w:val="000000"/>
                <w:sz w:val="20"/>
                <w:szCs w:val="20"/>
                <w:lang w:eastAsia="en-AU"/>
              </w:rPr>
            </w:pPr>
          </w:p>
        </w:tc>
        <w:tc>
          <w:tcPr>
            <w:tcW w:w="275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A7B03E8" w14:textId="77777777" w:rsidR="004D277D" w:rsidRPr="00147E18" w:rsidRDefault="004D277D" w:rsidP="009367A6">
            <w:pPr>
              <w:spacing w:after="200" w:line="276" w:lineRule="auto"/>
              <w:jc w:val="left"/>
              <w:rPr>
                <w:rFonts w:eastAsia="Calibri" w:cs="Calibri"/>
                <w:color w:val="000000"/>
                <w:sz w:val="20"/>
                <w:szCs w:val="20"/>
                <w:lang w:eastAsia="en-AU"/>
              </w:rPr>
            </w:pPr>
            <w:r w:rsidRPr="00147E18">
              <w:rPr>
                <w:rFonts w:eastAsia="Calibri" w:cs="Calibri"/>
                <w:color w:val="000000"/>
                <w:sz w:val="20"/>
                <w:szCs w:val="20"/>
                <w:lang w:eastAsia="en-AU"/>
              </w:rPr>
              <w:t xml:space="preserve">Medical practitioners or nurse practitioners can be prescribers. Prescribers are required to complete training and obtain approval from Queensland Health before being able to prescribe. </w:t>
            </w:r>
          </w:p>
        </w:tc>
        <w:tc>
          <w:tcPr>
            <w:tcW w:w="275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C51C29B" w14:textId="77777777" w:rsidR="004D277D" w:rsidRDefault="004D277D" w:rsidP="009367A6">
            <w:pPr>
              <w:spacing w:after="200" w:line="276" w:lineRule="auto"/>
              <w:jc w:val="left"/>
              <w:rPr>
                <w:rFonts w:eastAsia="Calibri" w:cs="Calibri"/>
                <w:color w:val="000000"/>
                <w:sz w:val="20"/>
                <w:szCs w:val="20"/>
                <w:lang w:eastAsia="en-AU"/>
              </w:rPr>
            </w:pPr>
            <w:r w:rsidRPr="0084068C">
              <w:rPr>
                <w:rFonts w:eastAsia="Calibri" w:cs="Calibri"/>
                <w:color w:val="000000"/>
                <w:sz w:val="20"/>
                <w:szCs w:val="20"/>
                <w:lang w:eastAsia="en-AU"/>
              </w:rPr>
              <w:t>Pharmacists can administer approved opioids by injection on a prescription. Currently the only approved injectable opioid is long-acting injectable buprenorphine.</w:t>
            </w:r>
          </w:p>
          <w:p w14:paraId="7B5719AE" w14:textId="77777777" w:rsidR="004D277D" w:rsidRPr="00147E18" w:rsidRDefault="004D277D" w:rsidP="009367A6">
            <w:pPr>
              <w:spacing w:after="200" w:line="276" w:lineRule="auto"/>
              <w:jc w:val="left"/>
              <w:rPr>
                <w:rFonts w:eastAsia="Calibri" w:cs="Calibri"/>
                <w:color w:val="000000"/>
                <w:sz w:val="20"/>
                <w:szCs w:val="20"/>
                <w:lang w:eastAsia="en-AU"/>
              </w:rPr>
            </w:pPr>
            <w:r w:rsidRPr="00147E18">
              <w:rPr>
                <w:rFonts w:eastAsia="Calibri" w:cs="Calibri"/>
                <w:color w:val="000000"/>
                <w:sz w:val="20"/>
                <w:szCs w:val="20"/>
                <w:lang w:eastAsia="en-AU"/>
              </w:rPr>
              <w:t xml:space="preserve">Depot buprenorphine can only be administered by Australian Health Practitioner Regulatory Agency (AHPRA) registered healthcare professional who has injection of schedule 8 medications within their scope of practice. </w:t>
            </w:r>
          </w:p>
        </w:tc>
        <w:tc>
          <w:tcPr>
            <w:tcW w:w="2750" w:type="dxa"/>
            <w:tcBorders>
              <w:top w:val="single" w:sz="4" w:space="0" w:color="auto"/>
              <w:left w:val="nil"/>
              <w:bottom w:val="single" w:sz="8" w:space="0" w:color="auto"/>
              <w:right w:val="single" w:sz="8" w:space="0" w:color="auto"/>
            </w:tcBorders>
            <w:hideMark/>
          </w:tcPr>
          <w:p w14:paraId="57812172" w14:textId="77777777" w:rsidR="004D277D" w:rsidRPr="00147E18" w:rsidRDefault="004D277D" w:rsidP="009367A6">
            <w:pPr>
              <w:spacing w:before="100" w:beforeAutospacing="1" w:after="100" w:afterAutospacing="1" w:line="276" w:lineRule="auto"/>
              <w:jc w:val="left"/>
              <w:rPr>
                <w:rFonts w:eastAsia="Calibri" w:cs="Calibri"/>
                <w:color w:val="000000"/>
                <w:sz w:val="20"/>
                <w:szCs w:val="20"/>
              </w:rPr>
            </w:pPr>
            <w:r w:rsidRPr="00147E18">
              <w:rPr>
                <w:rFonts w:eastAsia="Calibri" w:cs="Calibri"/>
                <w:color w:val="000000"/>
                <w:sz w:val="20"/>
                <w:szCs w:val="20"/>
              </w:rPr>
              <w:t xml:space="preserve">Pharmacists can dispense depot buprenorphine from an approved prescriber or sell depot buprenorphine on compliant purchase order to an approved prescriber. </w:t>
            </w:r>
          </w:p>
        </w:tc>
      </w:tr>
      <w:tr w:rsidR="004D277D" w:rsidRPr="00147E18" w14:paraId="681F63AF" w14:textId="77777777" w:rsidTr="00603EE2">
        <w:trPr>
          <w:trHeight w:val="980"/>
        </w:trPr>
        <w:tc>
          <w:tcPr>
            <w:tcW w:w="1266"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E9AD203" w14:textId="77777777" w:rsidR="004D277D" w:rsidRPr="00147E18" w:rsidRDefault="004D277D" w:rsidP="009367A6">
            <w:pPr>
              <w:spacing w:after="200" w:line="276" w:lineRule="auto"/>
              <w:jc w:val="left"/>
              <w:rPr>
                <w:rFonts w:eastAsia="Calibri" w:cs="Arial"/>
                <w:b/>
                <w:bCs/>
                <w:color w:val="000000"/>
                <w:szCs w:val="22"/>
                <w:lang w:eastAsia="en-AU"/>
              </w:rPr>
            </w:pPr>
            <w:r w:rsidRPr="00147E18">
              <w:rPr>
                <w:rFonts w:eastAsia="Calibri" w:cs="Arial"/>
                <w:b/>
                <w:bCs/>
                <w:color w:val="000000"/>
                <w:szCs w:val="22"/>
                <w:lang w:eastAsia="en-AU"/>
              </w:rPr>
              <w:t>ACT</w:t>
            </w:r>
          </w:p>
        </w:tc>
        <w:tc>
          <w:tcPr>
            <w:tcW w:w="275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4778698" w14:textId="77777777" w:rsidR="004D277D" w:rsidRPr="00147E18" w:rsidRDefault="004D277D" w:rsidP="009367A6">
            <w:pPr>
              <w:spacing w:after="200" w:line="276" w:lineRule="auto"/>
              <w:jc w:val="left"/>
              <w:rPr>
                <w:rFonts w:eastAsia="Calibri" w:cs="Calibri"/>
                <w:color w:val="000000"/>
                <w:sz w:val="20"/>
                <w:szCs w:val="20"/>
                <w:lang w:eastAsia="en-AU"/>
              </w:rPr>
            </w:pPr>
            <w:r w:rsidRPr="00147E18">
              <w:rPr>
                <w:rFonts w:eastAsia="Calibri" w:cs="Calibri"/>
                <w:color w:val="000000"/>
                <w:sz w:val="20"/>
                <w:szCs w:val="20"/>
                <w:lang w:eastAsia="en-AU"/>
              </w:rPr>
              <w:t>GP practices, public clinics, private hospitals or private clinics, pharmacy</w:t>
            </w:r>
          </w:p>
        </w:tc>
        <w:tc>
          <w:tcPr>
            <w:tcW w:w="275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8735653" w14:textId="77777777" w:rsidR="004D277D" w:rsidRPr="00147E18" w:rsidRDefault="004D277D" w:rsidP="009367A6">
            <w:pPr>
              <w:spacing w:after="200" w:line="276" w:lineRule="auto"/>
              <w:jc w:val="left"/>
              <w:rPr>
                <w:rFonts w:eastAsia="Calibri" w:cs="Calibri"/>
                <w:color w:val="000000"/>
                <w:sz w:val="20"/>
                <w:szCs w:val="20"/>
                <w:lang w:eastAsia="en-AU"/>
              </w:rPr>
            </w:pPr>
            <w:r w:rsidRPr="00147E18">
              <w:rPr>
                <w:rFonts w:eastAsia="Calibri" w:cs="Calibri"/>
                <w:color w:val="000000"/>
                <w:sz w:val="20"/>
                <w:szCs w:val="20"/>
                <w:lang w:eastAsia="en-AU"/>
              </w:rPr>
              <w:t xml:space="preserve">Public clinics and bulk billing GPs are free of charge. Private, non-bulk billing GPs and pharmacies can charge what they wish. </w:t>
            </w:r>
          </w:p>
          <w:p w14:paraId="5BC39793" w14:textId="420477F3" w:rsidR="004D277D" w:rsidRPr="00147E18" w:rsidRDefault="004D277D" w:rsidP="009367A6">
            <w:pPr>
              <w:spacing w:after="200" w:line="276" w:lineRule="auto"/>
              <w:jc w:val="left"/>
              <w:rPr>
                <w:rFonts w:eastAsia="Calibri" w:cs="Calibri"/>
                <w:color w:val="000000"/>
                <w:sz w:val="20"/>
                <w:szCs w:val="20"/>
                <w:lang w:eastAsia="en-AU"/>
              </w:rPr>
            </w:pPr>
            <w:r w:rsidRPr="00147E18">
              <w:rPr>
                <w:rFonts w:eastAsia="Calibri" w:cs="Calibri"/>
                <w:sz w:val="20"/>
                <w:szCs w:val="20"/>
                <w:lang w:eastAsia="en-AU"/>
              </w:rPr>
              <w:t xml:space="preserve">Pharmacists can charge to handle. </w:t>
            </w:r>
          </w:p>
        </w:tc>
        <w:tc>
          <w:tcPr>
            <w:tcW w:w="275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99AD20B" w14:textId="77777777" w:rsidR="004D277D" w:rsidRPr="00147E18" w:rsidRDefault="004D277D" w:rsidP="009367A6">
            <w:pPr>
              <w:spacing w:after="200" w:line="276" w:lineRule="auto"/>
              <w:jc w:val="left"/>
              <w:rPr>
                <w:rFonts w:eastAsia="Calibri" w:cs="Calibri"/>
                <w:sz w:val="20"/>
                <w:szCs w:val="20"/>
                <w:lang w:eastAsia="en-AU"/>
              </w:rPr>
            </w:pPr>
            <w:r w:rsidRPr="00147E18">
              <w:rPr>
                <w:rFonts w:eastAsia="Calibri" w:cs="Calibri"/>
                <w:sz w:val="20"/>
                <w:szCs w:val="20"/>
                <w:lang w:eastAsia="en-AU"/>
              </w:rPr>
              <w:t>Only prescribers in hospital and specialist drug rehabilitation clinics who have reviewed education materials may prescribe Depot BPN</w:t>
            </w:r>
          </w:p>
        </w:tc>
        <w:tc>
          <w:tcPr>
            <w:tcW w:w="275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4378E290" w14:textId="69963D2E" w:rsidR="004D277D" w:rsidRPr="00147E18" w:rsidRDefault="006F07A1" w:rsidP="006F07A1">
            <w:pPr>
              <w:spacing w:after="200" w:line="276" w:lineRule="auto"/>
              <w:jc w:val="left"/>
              <w:rPr>
                <w:rFonts w:eastAsia="Calibri" w:cs="Calibri"/>
                <w:color w:val="000000"/>
                <w:sz w:val="20"/>
                <w:szCs w:val="20"/>
                <w:lang w:eastAsia="en-AU"/>
              </w:rPr>
            </w:pPr>
            <w:r w:rsidRPr="006F07A1">
              <w:rPr>
                <w:rFonts w:eastAsia="Calibri" w:cs="Calibri"/>
                <w:color w:val="000000"/>
                <w:sz w:val="20"/>
                <w:szCs w:val="20"/>
                <w:lang w:eastAsia="en-AU"/>
              </w:rPr>
              <w:t>For prescription-only</w:t>
            </w:r>
            <w:r>
              <w:rPr>
                <w:rFonts w:eastAsia="Calibri" w:cs="Calibri"/>
                <w:color w:val="000000"/>
                <w:sz w:val="20"/>
                <w:szCs w:val="20"/>
                <w:lang w:eastAsia="en-AU"/>
              </w:rPr>
              <w:t xml:space="preserve"> </w:t>
            </w:r>
            <w:r w:rsidRPr="006F07A1">
              <w:rPr>
                <w:rFonts w:eastAsia="Calibri" w:cs="Calibri"/>
                <w:color w:val="000000"/>
                <w:sz w:val="20"/>
                <w:szCs w:val="20"/>
                <w:lang w:eastAsia="en-AU"/>
              </w:rPr>
              <w:t>medicines, pharmacists</w:t>
            </w:r>
            <w:r>
              <w:rPr>
                <w:rFonts w:eastAsia="Calibri" w:cs="Calibri"/>
                <w:color w:val="000000"/>
                <w:sz w:val="20"/>
                <w:szCs w:val="20"/>
                <w:lang w:eastAsia="en-AU"/>
              </w:rPr>
              <w:t xml:space="preserve"> </w:t>
            </w:r>
            <w:r w:rsidRPr="006F07A1">
              <w:rPr>
                <w:rFonts w:eastAsia="Calibri" w:cs="Calibri"/>
                <w:color w:val="000000"/>
                <w:sz w:val="20"/>
                <w:szCs w:val="20"/>
                <w:lang w:eastAsia="en-AU"/>
              </w:rPr>
              <w:t>should administer medicines by injection under</w:t>
            </w:r>
            <w:r>
              <w:rPr>
                <w:rFonts w:eastAsia="Calibri" w:cs="Calibri"/>
                <w:color w:val="000000"/>
                <w:sz w:val="20"/>
                <w:szCs w:val="20"/>
                <w:lang w:eastAsia="en-AU"/>
              </w:rPr>
              <w:t xml:space="preserve"> </w:t>
            </w:r>
            <w:r w:rsidRPr="006F07A1">
              <w:rPr>
                <w:rFonts w:eastAsia="Calibri" w:cs="Calibri"/>
                <w:color w:val="000000"/>
                <w:sz w:val="20"/>
                <w:szCs w:val="20"/>
                <w:lang w:eastAsia="en-AU"/>
              </w:rPr>
              <w:t>a collaborative arrangement with the prescriber,</w:t>
            </w:r>
            <w:r>
              <w:rPr>
                <w:rFonts w:eastAsia="Calibri" w:cs="Calibri"/>
                <w:color w:val="000000"/>
                <w:sz w:val="20"/>
                <w:szCs w:val="20"/>
                <w:lang w:eastAsia="en-AU"/>
              </w:rPr>
              <w:t xml:space="preserve"> </w:t>
            </w:r>
            <w:r w:rsidR="00787908" w:rsidRPr="006F07A1">
              <w:rPr>
                <w:rFonts w:eastAsia="Calibri" w:cs="Calibri"/>
                <w:color w:val="000000"/>
                <w:sz w:val="20"/>
                <w:szCs w:val="20"/>
                <w:lang w:eastAsia="en-AU"/>
              </w:rPr>
              <w:t>pharmacist,</w:t>
            </w:r>
            <w:r w:rsidRPr="006F07A1">
              <w:rPr>
                <w:rFonts w:eastAsia="Calibri" w:cs="Calibri"/>
                <w:color w:val="000000"/>
                <w:sz w:val="20"/>
                <w:szCs w:val="20"/>
                <w:lang w:eastAsia="en-AU"/>
              </w:rPr>
              <w:t xml:space="preserve"> and consumer as per the PSA </w:t>
            </w:r>
            <w:r w:rsidRPr="006F07A1">
              <w:rPr>
                <w:rFonts w:eastAsia="Calibri" w:cs="Calibri"/>
                <w:color w:val="000000"/>
                <w:sz w:val="20"/>
                <w:szCs w:val="20"/>
                <w:lang w:eastAsia="en-AU"/>
              </w:rPr>
              <w:lastRenderedPageBreak/>
              <w:t>Guidelines</w:t>
            </w:r>
            <w:r>
              <w:rPr>
                <w:rFonts w:eastAsia="Calibri" w:cs="Calibri"/>
                <w:color w:val="000000"/>
                <w:sz w:val="20"/>
                <w:szCs w:val="20"/>
                <w:lang w:eastAsia="en-AU"/>
              </w:rPr>
              <w:t xml:space="preserve"> </w:t>
            </w:r>
            <w:r w:rsidRPr="006F07A1">
              <w:rPr>
                <w:rFonts w:eastAsia="Calibri" w:cs="Calibri"/>
                <w:color w:val="000000"/>
                <w:sz w:val="20"/>
                <w:szCs w:val="20"/>
                <w:lang w:eastAsia="en-AU"/>
              </w:rPr>
              <w:t>for administering medicines by injection</w:t>
            </w:r>
          </w:p>
        </w:tc>
        <w:tc>
          <w:tcPr>
            <w:tcW w:w="2750" w:type="dxa"/>
            <w:tcBorders>
              <w:top w:val="single" w:sz="4" w:space="0" w:color="auto"/>
              <w:left w:val="nil"/>
              <w:bottom w:val="single" w:sz="8" w:space="0" w:color="auto"/>
              <w:right w:val="single" w:sz="8" w:space="0" w:color="auto"/>
            </w:tcBorders>
            <w:hideMark/>
          </w:tcPr>
          <w:p w14:paraId="0F987DD1" w14:textId="77777777" w:rsidR="004D277D" w:rsidRPr="00147E18" w:rsidRDefault="004D277D" w:rsidP="009367A6">
            <w:pPr>
              <w:spacing w:before="100" w:beforeAutospacing="1" w:after="100" w:afterAutospacing="1" w:line="276" w:lineRule="auto"/>
              <w:jc w:val="left"/>
              <w:rPr>
                <w:rFonts w:eastAsia="Calibri" w:cs="Calibri"/>
                <w:color w:val="000000"/>
                <w:sz w:val="20"/>
                <w:szCs w:val="20"/>
                <w:highlight w:val="cyan"/>
              </w:rPr>
            </w:pPr>
            <w:r w:rsidRPr="00147E18">
              <w:rPr>
                <w:rFonts w:eastAsia="Calibri" w:cs="Calibri"/>
                <w:color w:val="000000"/>
                <w:sz w:val="20"/>
                <w:szCs w:val="20"/>
              </w:rPr>
              <w:lastRenderedPageBreak/>
              <w:t xml:space="preserve">Prescribers are required to obtain a Chief Health Officer approval prior to prescribing. Prescribers are required by ACT Health to obtain an endorsement to prescribe to more than 5 patients. </w:t>
            </w:r>
          </w:p>
        </w:tc>
      </w:tr>
      <w:tr w:rsidR="004D277D" w:rsidRPr="00147E18" w14:paraId="2DE0BE1D" w14:textId="77777777" w:rsidTr="00603EE2">
        <w:trPr>
          <w:trHeight w:val="3241"/>
        </w:trPr>
        <w:tc>
          <w:tcPr>
            <w:tcW w:w="1266"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7402996" w14:textId="5FA1C104" w:rsidR="004D277D" w:rsidRPr="00147E18" w:rsidRDefault="004D277D" w:rsidP="009367A6">
            <w:pPr>
              <w:spacing w:after="200" w:line="276" w:lineRule="auto"/>
              <w:jc w:val="left"/>
              <w:rPr>
                <w:rFonts w:eastAsia="Calibri" w:cs="Arial"/>
                <w:b/>
                <w:bCs/>
                <w:color w:val="000000"/>
                <w:szCs w:val="22"/>
                <w:lang w:eastAsia="en-AU"/>
              </w:rPr>
            </w:pPr>
            <w:r w:rsidRPr="00147E18">
              <w:rPr>
                <w:rFonts w:eastAsia="Calibri" w:cs="Arial"/>
                <w:b/>
                <w:bCs/>
                <w:color w:val="000000"/>
                <w:szCs w:val="22"/>
                <w:lang w:eastAsia="en-AU"/>
              </w:rPr>
              <w:t>NT</w:t>
            </w:r>
            <w:hyperlink w:anchor="_ENREF_106" w:tooltip="Department of Health, 2021 #3795" w:history="1">
              <w:r w:rsidR="002565E6" w:rsidRPr="00147E18">
                <w:rPr>
                  <w:rFonts w:eastAsia="Calibri" w:cs="Arial"/>
                  <w:b/>
                  <w:bCs/>
                  <w:color w:val="000000"/>
                  <w:szCs w:val="22"/>
                  <w:lang w:eastAsia="en-AU"/>
                </w:rPr>
                <w:fldChar w:fldCharType="begin"/>
              </w:r>
              <w:r w:rsidR="002565E6">
                <w:rPr>
                  <w:rFonts w:eastAsia="Calibri" w:cs="Arial"/>
                  <w:b/>
                  <w:bCs/>
                  <w:color w:val="000000"/>
                  <w:szCs w:val="22"/>
                  <w:lang w:eastAsia="en-AU"/>
                </w:rPr>
                <w:instrText xml:space="preserve"> ADDIN EN.CITE &lt;EndNote&gt;&lt;Cite&gt;&lt;Author&gt;Department of Health&lt;/Author&gt;&lt;Year&gt;2021&lt;/Year&gt;&lt;RecNum&gt;3795&lt;/RecNum&gt;&lt;DisplayText&gt;&lt;style face="superscript"&gt;106&lt;/style&gt;&lt;/DisplayText&gt;&lt;record&gt;&lt;rec-number&gt;3795&lt;/rec-number&gt;&lt;foreign-keys&gt;&lt;key app="EN" db-id="pdp2v9rwnsez9qedfx2xtwa7tsw99rvd5zxv" timestamp="1650436282"&gt;3795&lt;/key&gt;&lt;/foreign-keys&gt;&lt;ref-type name="Report"&gt;27&lt;/ref-type&gt;&lt;contributors&gt;&lt;authors&gt;&lt;author&gt;Department of Health, Northern Territory,&lt;/author&gt;&lt;/authors&gt;&lt;/contributors&gt;&lt;titles&gt;&lt;title&gt;Summary of Requirements for Prescriptions for Schedule 8 Substances (S8s) &lt;/title&gt;&lt;/titles&gt;&lt;dates&gt;&lt;year&gt;2021&lt;/year&gt;&lt;/dates&gt;&lt;publisher&gt;Nothern Territory Government &lt;/publisher&gt;&lt;urls&gt;&lt;/urls&gt;&lt;/record&gt;&lt;/Cite&gt;&lt;/EndNote&gt;</w:instrText>
              </w:r>
              <w:r w:rsidR="002565E6" w:rsidRPr="00147E18">
                <w:rPr>
                  <w:rFonts w:eastAsia="Calibri" w:cs="Arial"/>
                  <w:b/>
                  <w:bCs/>
                  <w:color w:val="000000"/>
                  <w:szCs w:val="22"/>
                  <w:lang w:eastAsia="en-AU"/>
                </w:rPr>
                <w:fldChar w:fldCharType="separate"/>
              </w:r>
              <w:r w:rsidR="002565E6" w:rsidRPr="002565E6">
                <w:rPr>
                  <w:rFonts w:eastAsia="Calibri" w:cs="Arial"/>
                  <w:b/>
                  <w:bCs/>
                  <w:noProof/>
                  <w:color w:val="000000"/>
                  <w:szCs w:val="22"/>
                  <w:vertAlign w:val="superscript"/>
                  <w:lang w:eastAsia="en-AU"/>
                </w:rPr>
                <w:t>106</w:t>
              </w:r>
              <w:r w:rsidR="002565E6" w:rsidRPr="00147E18">
                <w:rPr>
                  <w:rFonts w:eastAsia="Calibri" w:cs="Arial"/>
                  <w:b/>
                  <w:bCs/>
                  <w:color w:val="000000"/>
                  <w:szCs w:val="22"/>
                  <w:lang w:eastAsia="en-AU"/>
                </w:rPr>
                <w:fldChar w:fldCharType="end"/>
              </w:r>
            </w:hyperlink>
          </w:p>
        </w:tc>
        <w:tc>
          <w:tcPr>
            <w:tcW w:w="275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3882062" w14:textId="77777777" w:rsidR="004D277D" w:rsidRPr="00147E18" w:rsidRDefault="004D277D" w:rsidP="009367A6">
            <w:pPr>
              <w:spacing w:after="200" w:line="276" w:lineRule="auto"/>
              <w:jc w:val="left"/>
              <w:rPr>
                <w:rFonts w:eastAsia="Calibri" w:cs="Calibri"/>
                <w:color w:val="000000"/>
                <w:sz w:val="20"/>
                <w:szCs w:val="20"/>
              </w:rPr>
            </w:pPr>
            <w:r w:rsidRPr="00147E18">
              <w:rPr>
                <w:rFonts w:eastAsia="Calibri" w:cs="Calibri"/>
                <w:sz w:val="20"/>
                <w:szCs w:val="20"/>
                <w:lang w:eastAsia="en-AU"/>
              </w:rPr>
              <w:t xml:space="preserve">Pharmacies (community and hospital), correctional services health centres; GP clinics, health centres, hospitals, Top End Health Services and Central Australian Health Service. </w:t>
            </w:r>
          </w:p>
        </w:tc>
        <w:tc>
          <w:tcPr>
            <w:tcW w:w="275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84F0E9D" w14:textId="77777777" w:rsidR="004D277D" w:rsidRPr="00147E18" w:rsidRDefault="004D277D" w:rsidP="009367A6">
            <w:pPr>
              <w:spacing w:after="200" w:line="276" w:lineRule="auto"/>
              <w:jc w:val="left"/>
              <w:rPr>
                <w:rFonts w:eastAsia="Calibri" w:cs="Calibri"/>
                <w:color w:val="000000"/>
                <w:sz w:val="20"/>
                <w:szCs w:val="20"/>
                <w:lang w:eastAsia="en-AU"/>
              </w:rPr>
            </w:pPr>
            <w:r w:rsidRPr="00147E18">
              <w:rPr>
                <w:rFonts w:eastAsia="Calibri" w:cs="Calibri"/>
                <w:color w:val="000000"/>
                <w:sz w:val="20"/>
                <w:szCs w:val="20"/>
                <w:lang w:eastAsia="en-AU"/>
              </w:rPr>
              <w:t xml:space="preserve">Public clinics free of charge </w:t>
            </w:r>
          </w:p>
        </w:tc>
        <w:tc>
          <w:tcPr>
            <w:tcW w:w="275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BF09406" w14:textId="77777777" w:rsidR="004D277D" w:rsidRPr="00147E18" w:rsidRDefault="004D277D" w:rsidP="009367A6">
            <w:pPr>
              <w:spacing w:after="200" w:line="276" w:lineRule="auto"/>
              <w:jc w:val="left"/>
              <w:rPr>
                <w:rFonts w:eastAsia="Calibri" w:cs="Calibri"/>
                <w:color w:val="000000"/>
                <w:sz w:val="20"/>
                <w:szCs w:val="20"/>
                <w:lang w:eastAsia="en-AU"/>
              </w:rPr>
            </w:pPr>
            <w:r w:rsidRPr="00147E18">
              <w:rPr>
                <w:rFonts w:eastAsia="Calibri" w:cs="Calibri"/>
                <w:sz w:val="20"/>
                <w:szCs w:val="20"/>
                <w:lang w:eastAsia="en-AU"/>
              </w:rPr>
              <w:t xml:space="preserve">Any Accredited MP </w:t>
            </w:r>
            <w:r w:rsidRPr="00147E18">
              <w:rPr>
                <w:rFonts w:eastAsia="Calibri" w:cs="Calibri"/>
                <w:color w:val="000000"/>
                <w:sz w:val="20"/>
                <w:szCs w:val="20"/>
                <w:lang w:eastAsia="en-AU"/>
              </w:rPr>
              <w:t>(see comments)</w:t>
            </w:r>
          </w:p>
        </w:tc>
        <w:tc>
          <w:tcPr>
            <w:tcW w:w="275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176B6EBE" w14:textId="3D93E26D" w:rsidR="004D277D" w:rsidRPr="00147E18" w:rsidRDefault="004D277D" w:rsidP="009367A6">
            <w:pPr>
              <w:spacing w:after="200" w:line="276" w:lineRule="auto"/>
              <w:jc w:val="left"/>
              <w:rPr>
                <w:rFonts w:eastAsia="Calibri" w:cs="Calibri"/>
                <w:sz w:val="20"/>
                <w:szCs w:val="20"/>
                <w:lang w:eastAsia="en-AU"/>
              </w:rPr>
            </w:pPr>
            <w:r w:rsidRPr="00147E18">
              <w:rPr>
                <w:rFonts w:eastAsia="Calibri" w:cs="Calibri"/>
                <w:sz w:val="20"/>
                <w:szCs w:val="20"/>
                <w:lang w:eastAsia="en-AU"/>
              </w:rPr>
              <w:t>Any pharmacy and public clinic</w:t>
            </w:r>
            <w:r w:rsidR="00666385">
              <w:rPr>
                <w:rFonts w:eastAsia="Calibri" w:cs="Calibri"/>
                <w:sz w:val="20"/>
                <w:szCs w:val="20"/>
                <w:lang w:eastAsia="en-AU"/>
              </w:rPr>
              <w:t>.</w:t>
            </w:r>
            <w:r w:rsidRPr="00147E18">
              <w:rPr>
                <w:rFonts w:eastAsia="Calibri" w:cs="Calibri"/>
                <w:sz w:val="20"/>
                <w:szCs w:val="20"/>
                <w:lang w:eastAsia="en-AU"/>
              </w:rPr>
              <w:t xml:space="preserve"> </w:t>
            </w:r>
          </w:p>
          <w:p w14:paraId="0F842A38" w14:textId="26241AA7" w:rsidR="004D277D" w:rsidRPr="00147E18" w:rsidRDefault="004D277D" w:rsidP="009367A6">
            <w:pPr>
              <w:spacing w:after="200" w:line="276" w:lineRule="auto"/>
              <w:jc w:val="left"/>
              <w:rPr>
                <w:rFonts w:eastAsia="Calibri" w:cs="Calibri"/>
                <w:color w:val="FF0000"/>
                <w:sz w:val="20"/>
                <w:szCs w:val="20"/>
                <w:lang w:eastAsia="en-AU"/>
              </w:rPr>
            </w:pPr>
            <w:r w:rsidRPr="00603EE2">
              <w:rPr>
                <w:rFonts w:eastAsia="Calibri" w:cs="Calibri"/>
                <w:sz w:val="20"/>
                <w:szCs w:val="20"/>
                <w:lang w:eastAsia="en-AU"/>
              </w:rPr>
              <w:t>LA</w:t>
            </w:r>
            <w:r>
              <w:rPr>
                <w:rFonts w:eastAsia="Calibri" w:cs="Calibri"/>
                <w:sz w:val="20"/>
                <w:szCs w:val="20"/>
                <w:lang w:eastAsia="en-AU"/>
              </w:rPr>
              <w:t>IB</w:t>
            </w:r>
            <w:r w:rsidRPr="00603EE2">
              <w:rPr>
                <w:rFonts w:eastAsia="Calibri" w:cs="Calibri"/>
                <w:sz w:val="20"/>
                <w:szCs w:val="20"/>
                <w:lang w:eastAsia="en-AU"/>
              </w:rPr>
              <w:t xml:space="preserve"> must be administered by registered health practitioners.</w:t>
            </w:r>
          </w:p>
        </w:tc>
        <w:tc>
          <w:tcPr>
            <w:tcW w:w="2750" w:type="dxa"/>
            <w:tcBorders>
              <w:top w:val="single" w:sz="4" w:space="0" w:color="auto"/>
              <w:left w:val="nil"/>
              <w:bottom w:val="single" w:sz="8" w:space="0" w:color="auto"/>
              <w:right w:val="single" w:sz="8" w:space="0" w:color="auto"/>
            </w:tcBorders>
          </w:tcPr>
          <w:p w14:paraId="5C546CDA" w14:textId="77777777" w:rsidR="004D277D" w:rsidRPr="00603EE2" w:rsidRDefault="004D277D" w:rsidP="009367A6">
            <w:pPr>
              <w:spacing w:after="200" w:line="276" w:lineRule="auto"/>
              <w:jc w:val="left"/>
              <w:rPr>
                <w:rFonts w:eastAsia="Calibri" w:cs="Calibri"/>
                <w:sz w:val="20"/>
                <w:szCs w:val="20"/>
              </w:rPr>
            </w:pPr>
            <w:r w:rsidRPr="00147E18">
              <w:rPr>
                <w:rFonts w:eastAsia="Calibri" w:cs="Calibri"/>
                <w:sz w:val="20"/>
                <w:szCs w:val="20"/>
              </w:rPr>
              <w:t>Prescribers may apply to the CHO for limited authority to prescribe buprenorphine/naloxone, including buprenorphine injectable depot formulations) for opioid substitution therapy for treatment of addiction. Under this authorisation, Prescriber’s may prescribe for up to FIVE (5) patients with buprenorphine/naloxone, including buprenorphine injectable depot formulations) preparations within a shared care framework with a CHO approved Alcohol and Other Drugs service.</w:t>
            </w:r>
          </w:p>
        </w:tc>
      </w:tr>
    </w:tbl>
    <w:p w14:paraId="688FF67A" w14:textId="3AAB1F92" w:rsidR="004D277D" w:rsidRPr="002F6C93" w:rsidRDefault="002F6C93" w:rsidP="002F6C93">
      <w:pPr>
        <w:rPr>
          <w:rFonts w:eastAsia="Calibri"/>
          <w:sz w:val="20"/>
          <w:szCs w:val="20"/>
        </w:rPr>
        <w:sectPr w:rsidR="004D277D" w:rsidRPr="002F6C93" w:rsidSect="004D277D">
          <w:pgSz w:w="16838" w:h="11906" w:orient="landscape"/>
          <w:pgMar w:top="1440" w:right="1440" w:bottom="1440" w:left="1440" w:header="709" w:footer="709" w:gutter="0"/>
          <w:cols w:space="708"/>
          <w:docGrid w:linePitch="360"/>
        </w:sectPr>
      </w:pPr>
      <w:r w:rsidRPr="002F6C93">
        <w:rPr>
          <w:rFonts w:eastAsia="Calibri"/>
          <w:sz w:val="20"/>
          <w:szCs w:val="20"/>
        </w:rPr>
        <w:t>*</w:t>
      </w:r>
      <w:r w:rsidRPr="002F6C93">
        <w:rPr>
          <w:sz w:val="20"/>
          <w:szCs w:val="20"/>
        </w:rPr>
        <w:t xml:space="preserve"> Literature review table updated</w:t>
      </w:r>
      <w:r>
        <w:rPr>
          <w:sz w:val="20"/>
          <w:szCs w:val="20"/>
        </w:rPr>
        <w:t xml:space="preserve"> in November 2022 </w:t>
      </w:r>
      <w:r w:rsidRPr="002F6C93">
        <w:rPr>
          <w:sz w:val="20"/>
          <w:szCs w:val="20"/>
        </w:rPr>
        <w:t>to include PSA Summary of legal authority for pharmacist Administration of medicines by injection</w:t>
      </w:r>
    </w:p>
    <w:p w14:paraId="434EADC9" w14:textId="77777777" w:rsidR="00315063" w:rsidRDefault="004F3159" w:rsidP="0060180D">
      <w:pPr>
        <w:pStyle w:val="Heading2"/>
        <w:rPr>
          <w:rFonts w:eastAsia="Calibri"/>
        </w:rPr>
      </w:pPr>
      <w:bookmarkStart w:id="708" w:name="_Toc163221192"/>
      <w:r w:rsidRPr="001E69D0">
        <w:rPr>
          <w:rFonts w:eastAsia="Calibri"/>
        </w:rPr>
        <w:lastRenderedPageBreak/>
        <w:t>Appendix 3: Report on consultation with people participating in opioid dependence treatment programs</w:t>
      </w:r>
      <w:bookmarkStart w:id="709" w:name="_Toc133235587"/>
      <w:bookmarkEnd w:id="708"/>
      <w:r w:rsidR="00315063">
        <w:rPr>
          <w:rFonts w:eastAsia="Calibri"/>
        </w:rPr>
        <w:t xml:space="preserve"> </w:t>
      </w:r>
    </w:p>
    <w:p w14:paraId="158CA8AE" w14:textId="53DA1EC8" w:rsidR="009367A6" w:rsidRDefault="001E69D0" w:rsidP="00315063">
      <w:r w:rsidRPr="001E69D0">
        <w:rPr>
          <w:noProof/>
        </w:rPr>
        <w:drawing>
          <wp:inline distT="0" distB="0" distL="0" distR="0" wp14:anchorId="6C939CE0" wp14:editId="1B2B4DD6">
            <wp:extent cx="2501900" cy="939800"/>
            <wp:effectExtent l="0" t="0" r="0" b="0"/>
            <wp:docPr id="46" name="Picture 46" descr="Biotex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Biotext logo"/>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01900" cy="939800"/>
                    </a:xfrm>
                    <a:prstGeom prst="rect">
                      <a:avLst/>
                    </a:prstGeom>
                  </pic:spPr>
                </pic:pic>
              </a:graphicData>
            </a:graphic>
          </wp:inline>
        </w:drawing>
      </w:r>
      <w:bookmarkEnd w:id="709"/>
    </w:p>
    <w:bookmarkStart w:id="710" w:name="_Hlk119921596" w:displacedByCustomXml="next"/>
    <w:bookmarkStart w:id="711" w:name="_Hlk120795024" w:displacedByCustomXml="next"/>
    <w:sdt>
      <w:sdtPr>
        <w:rPr>
          <w:rFonts w:eastAsia="Times New Roman"/>
          <w:color w:val="000000"/>
          <w:sz w:val="22"/>
          <w:szCs w:val="20"/>
        </w:rPr>
        <w:id w:val="1388068841"/>
        <w:docPartObj>
          <w:docPartGallery w:val="Cover Pages"/>
          <w:docPartUnique/>
        </w:docPartObj>
      </w:sdtPr>
      <w:sdtContent>
        <w:p w14:paraId="6FFD3B1B" w14:textId="1B7907DD" w:rsidR="001E69D0" w:rsidRPr="001E69D0" w:rsidRDefault="001E69D0" w:rsidP="001E69D0">
          <w:pPr>
            <w:spacing w:after="240" w:line="240" w:lineRule="auto"/>
            <w:jc w:val="left"/>
            <w:rPr>
              <w:rFonts w:eastAsia="Times New Roman"/>
              <w:color w:val="000000"/>
              <w:sz w:val="22"/>
              <w:szCs w:val="20"/>
            </w:rPr>
          </w:pPr>
          <w:r w:rsidRPr="001E69D0">
            <w:rPr>
              <w:rFonts w:eastAsia="Times New Roman"/>
              <w:noProof/>
              <w:color w:val="000000"/>
              <w:sz w:val="22"/>
              <w:szCs w:val="20"/>
            </w:rPr>
            <mc:AlternateContent>
              <mc:Choice Requires="wps">
                <w:drawing>
                  <wp:inline distT="0" distB="0" distL="0" distR="0" wp14:anchorId="7C9D2304" wp14:editId="3AB37D02">
                    <wp:extent cx="6337190" cy="573742"/>
                    <wp:effectExtent l="0" t="0" r="0" b="0"/>
                    <wp:docPr id="49" name="Text Box 49"/>
                    <wp:cNvGraphicFramePr/>
                    <a:graphic xmlns:a="http://schemas.openxmlformats.org/drawingml/2006/main">
                      <a:graphicData uri="http://schemas.microsoft.com/office/word/2010/wordprocessingShape">
                        <wps:wsp>
                          <wps:cNvSpPr txBox="1"/>
                          <wps:spPr>
                            <a:xfrm>
                              <a:off x="0" y="0"/>
                              <a:ext cx="6337190" cy="573742"/>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15E482B6" w14:textId="77777777" w:rsidR="001E69D0" w:rsidRPr="00F84D57" w:rsidRDefault="001E69D0" w:rsidP="001725C8">
                                <w:pPr>
                                  <w:jc w:val="right"/>
                                  <w:rPr>
                                    <w:rFonts w:ascii="Open Sans" w:hAnsi="Open Sans" w:cs="Open Sans"/>
                                    <w:color w:val="008CA6"/>
                                    <w:sz w:val="40"/>
                                    <w:szCs w:val="40"/>
                                  </w:rPr>
                                </w:pPr>
                                <w:r w:rsidRPr="00F84D57">
                                  <w:rPr>
                                    <w:rFonts w:ascii="Open Sans" w:hAnsi="Open Sans" w:cs="Open Sans"/>
                                    <w:color w:val="008CA6"/>
                                    <w:sz w:val="40"/>
                                    <w:szCs w:val="40"/>
                                  </w:rPr>
                                  <w:t>Creating great content</w:t>
                                </w:r>
                              </w:p>
                              <w:p w14:paraId="7A7749C5" w14:textId="77777777" w:rsidR="001E69D0" w:rsidRPr="001E69D0" w:rsidRDefault="001E69D0" w:rsidP="001725C8">
                                <w:pPr>
                                  <w:jc w:val="right"/>
                                  <w:rPr>
                                    <w:noProof/>
                                    <w:color w:val="FFFFFF"/>
                                    <w:sz w:val="28"/>
                                    <w:szCs w:val="28"/>
                                  </w:rPr>
                                </w:pPr>
                              </w:p>
                              <w:p w14:paraId="4D55F99C" w14:textId="77777777" w:rsidR="001E69D0" w:rsidRDefault="001E69D0" w:rsidP="001725C8">
                                <w:pPr>
                                  <w:jc w:val="right"/>
                                </w:pPr>
                              </w:p>
                              <w:p w14:paraId="7655B700" w14:textId="77777777" w:rsidR="001E69D0" w:rsidRPr="00F84D57" w:rsidRDefault="001E69D0" w:rsidP="001725C8">
                                <w:pPr>
                                  <w:jc w:val="right"/>
                                  <w:rPr>
                                    <w:rFonts w:ascii="Open Sans" w:hAnsi="Open Sans" w:cs="Open Sans"/>
                                    <w:color w:val="008CA6"/>
                                    <w:sz w:val="40"/>
                                    <w:szCs w:val="40"/>
                                  </w:rPr>
                                </w:pPr>
                                <w:r w:rsidRPr="001E69D0">
                                  <w:rPr>
                                    <w:b/>
                                    <w:bCs/>
                                    <w:color w:val="FFFFFF"/>
                                    <w:sz w:val="56"/>
                                    <w:szCs w:val="56"/>
                                  </w:rPr>
                                  <w:t>Post-market review of the Opiate Dependence Treatment Program</w:t>
                                </w:r>
                                <w:r w:rsidRPr="00F84D57">
                                  <w:rPr>
                                    <w:rFonts w:ascii="Open Sans" w:hAnsi="Open Sans" w:cs="Open Sans"/>
                                    <w:color w:val="008CA6"/>
                                    <w:sz w:val="40"/>
                                    <w:szCs w:val="40"/>
                                  </w:rPr>
                                  <w:t>at content</w:t>
                                </w:r>
                              </w:p>
                              <w:p w14:paraId="515A7954" w14:textId="77777777" w:rsidR="001E69D0" w:rsidRPr="001E69D0" w:rsidRDefault="001E69D0" w:rsidP="001725C8">
                                <w:pPr>
                                  <w:jc w:val="right"/>
                                  <w:rPr>
                                    <w:noProof/>
                                    <w:color w:val="FFFFFF"/>
                                    <w:sz w:val="28"/>
                                    <w:szCs w:val="28"/>
                                  </w:rPr>
                                </w:pPr>
                              </w:p>
                              <w:p w14:paraId="16ED6EF3" w14:textId="77777777" w:rsidR="001E69D0" w:rsidRDefault="001E69D0" w:rsidP="001725C8">
                                <w:pPr>
                                  <w:jc w:val="right"/>
                                </w:pPr>
                              </w:p>
                              <w:p w14:paraId="2DC6152E" w14:textId="77777777" w:rsidR="001E69D0" w:rsidRPr="001E69D0" w:rsidRDefault="001E69D0" w:rsidP="001725C8">
                                <w:pPr>
                                  <w:jc w:val="right"/>
                                  <w:rPr>
                                    <w:rFonts w:ascii="Open Sans" w:hAnsi="Open Sans" w:cs="Open Sans"/>
                                    <w:color w:val="FFFFFF"/>
                                    <w:sz w:val="56"/>
                                    <w:szCs w:val="56"/>
                                  </w:rPr>
                                </w:pPr>
                                <w:r w:rsidRPr="001E69D0">
                                  <w:rPr>
                                    <w:rFonts w:ascii="Open Sans" w:hAnsi="Open Sans" w:cs="Open Sans"/>
                                    <w:color w:val="FFFFFF"/>
                                    <w:sz w:val="56"/>
                                    <w:szCs w:val="56"/>
                                  </w:rPr>
                                  <w:t>Post-market review of the Opiate Dependence Treatment Program</w:t>
                                </w:r>
                              </w:p>
                              <w:p w14:paraId="23274254" w14:textId="77777777" w:rsidR="001E69D0" w:rsidRPr="001E69D0" w:rsidRDefault="001E69D0" w:rsidP="001725C8">
                                <w:pPr>
                                  <w:jc w:val="right"/>
                                  <w:rPr>
                                    <w:rFonts w:ascii="Open Sans" w:hAnsi="Open Sans" w:cs="Open Sans"/>
                                    <w:color w:val="FFFFFF"/>
                                    <w:sz w:val="28"/>
                                    <w:szCs w:val="28"/>
                                  </w:rPr>
                                </w:pPr>
                                <w:r w:rsidRPr="001E69D0">
                                  <w:rPr>
                                    <w:rFonts w:ascii="Open Sans" w:hAnsi="Open Sans" w:cs="Open Sans"/>
                                    <w:color w:val="FFFFFF"/>
                                    <w:sz w:val="28"/>
                                    <w:szCs w:val="28"/>
                                  </w:rPr>
                                  <w:t>Consumer focus groups and interview report</w:t>
                                </w:r>
                              </w:p>
                              <w:p w14:paraId="34286855" w14:textId="77777777" w:rsidR="001E69D0" w:rsidRPr="001E69D0" w:rsidRDefault="001E69D0" w:rsidP="001725C8">
                                <w:pPr>
                                  <w:jc w:val="right"/>
                                  <w:rPr>
                                    <w:rFonts w:ascii="Open Sans" w:hAnsi="Open Sans" w:cs="Open Sans"/>
                                    <w:color w:val="FFFFFF"/>
                                    <w:sz w:val="28"/>
                                    <w:szCs w:val="28"/>
                                  </w:rPr>
                                </w:pPr>
                              </w:p>
                              <w:p w14:paraId="0D375A3A" w14:textId="77777777" w:rsidR="001E69D0" w:rsidRPr="001E69D0" w:rsidRDefault="001E69D0" w:rsidP="001725C8">
                                <w:pPr>
                                  <w:jc w:val="right"/>
                                  <w:rPr>
                                    <w:rFonts w:ascii="Open Sans" w:hAnsi="Open Sans" w:cs="Open Sans"/>
                                    <w:color w:val="FFFFFF"/>
                                    <w:sz w:val="28"/>
                                    <w:szCs w:val="28"/>
                                  </w:rPr>
                                </w:pPr>
                              </w:p>
                              <w:p w14:paraId="1F8D1247" w14:textId="77777777" w:rsidR="001E69D0" w:rsidRPr="001E69D0" w:rsidRDefault="001E69D0" w:rsidP="001725C8">
                                <w:pPr>
                                  <w:jc w:val="right"/>
                                  <w:rPr>
                                    <w:rFonts w:ascii="Open Sans" w:hAnsi="Open Sans" w:cs="Open Sans"/>
                                    <w:color w:val="FFFFFF"/>
                                    <w:sz w:val="28"/>
                                    <w:szCs w:val="28"/>
                                  </w:rPr>
                                </w:pPr>
                                <w:r w:rsidRPr="001E69D0">
                                  <w:rPr>
                                    <w:rFonts w:ascii="Open Sans" w:hAnsi="Open Sans" w:cs="Open Sans"/>
                                    <w:color w:val="FFFFFF"/>
                                    <w:sz w:val="28"/>
                                    <w:szCs w:val="28"/>
                                  </w:rPr>
                                  <w:t>6 December 2022</w:t>
                                </w:r>
                              </w:p>
                              <w:p w14:paraId="0202F1E8" w14:textId="77777777" w:rsidR="001E69D0" w:rsidRPr="00F84D57" w:rsidRDefault="001E69D0" w:rsidP="001725C8">
                                <w:pPr>
                                  <w:jc w:val="right"/>
                                  <w:rPr>
                                    <w:rFonts w:ascii="Open Sans" w:hAnsi="Open Sans" w:cs="Open Sans"/>
                                    <w:color w:val="008CA6"/>
                                    <w:sz w:val="40"/>
                                    <w:szCs w:val="40"/>
                                  </w:rPr>
                                </w:pPr>
                                <w:r w:rsidRPr="00F84D57">
                                  <w:rPr>
                                    <w:rFonts w:ascii="Open Sans" w:hAnsi="Open Sans" w:cs="Open Sans"/>
                                    <w:color w:val="008CA6"/>
                                    <w:sz w:val="40"/>
                                    <w:szCs w:val="40"/>
                                  </w:rPr>
                                  <w:t>at content</w:t>
                                </w:r>
                              </w:p>
                              <w:p w14:paraId="46070907" w14:textId="77777777" w:rsidR="001E69D0" w:rsidRPr="001E69D0" w:rsidRDefault="001E69D0" w:rsidP="001725C8">
                                <w:pPr>
                                  <w:jc w:val="right"/>
                                  <w:rPr>
                                    <w:noProof/>
                                    <w:color w:val="FFFFFF"/>
                                    <w:sz w:val="28"/>
                                    <w:szCs w:val="28"/>
                                  </w:rPr>
                                </w:pPr>
                              </w:p>
                              <w:p w14:paraId="16F230C8" w14:textId="77777777" w:rsidR="001E69D0" w:rsidRDefault="001E69D0" w:rsidP="001725C8">
                                <w:pPr>
                                  <w:jc w:val="right"/>
                                </w:pPr>
                              </w:p>
                              <w:p w14:paraId="64462DF7" w14:textId="77777777" w:rsidR="001E69D0" w:rsidRPr="00F84D57" w:rsidRDefault="001E69D0" w:rsidP="001725C8">
                                <w:pPr>
                                  <w:jc w:val="right"/>
                                  <w:rPr>
                                    <w:rFonts w:ascii="Open Sans" w:hAnsi="Open Sans" w:cs="Open Sans"/>
                                    <w:color w:val="008CA6"/>
                                    <w:sz w:val="40"/>
                                    <w:szCs w:val="40"/>
                                  </w:rPr>
                                </w:pPr>
                                <w:r w:rsidRPr="001E69D0">
                                  <w:rPr>
                                    <w:b/>
                                    <w:bCs/>
                                    <w:color w:val="FFFFFF"/>
                                    <w:sz w:val="56"/>
                                    <w:szCs w:val="56"/>
                                  </w:rPr>
                                  <w:t>Post-market review of the Opiate Dependence Treatment Program</w:t>
                                </w:r>
                                <w:r w:rsidRPr="00F84D57">
                                  <w:rPr>
                                    <w:rFonts w:ascii="Open Sans" w:hAnsi="Open Sans" w:cs="Open Sans"/>
                                    <w:color w:val="008CA6"/>
                                    <w:sz w:val="40"/>
                                    <w:szCs w:val="40"/>
                                  </w:rPr>
                                  <w:t>at content</w:t>
                                </w:r>
                              </w:p>
                              <w:p w14:paraId="735E373E" w14:textId="77777777" w:rsidR="001E69D0" w:rsidRPr="001E69D0" w:rsidRDefault="001E69D0" w:rsidP="001725C8">
                                <w:pPr>
                                  <w:jc w:val="right"/>
                                  <w:rPr>
                                    <w:noProof/>
                                    <w:color w:val="FFFFFF"/>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7C9D2304" id="_x0000_t202" coordsize="21600,21600" o:spt="202" path="m,l,21600r21600,l21600,xe">
                    <v:stroke joinstyle="miter"/>
                    <v:path gradientshapeok="t" o:connecttype="rect"/>
                  </v:shapetype>
                  <v:shape id="Text Box 49" o:spid="_x0000_s1026" type="#_x0000_t202" style="width:499pt;height:4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" filled="f" stroked="f">
                    <v:textbox>
                      <w:txbxContent>
                        <w:p w14:paraId="15E482B6" w14:textId="77777777" w:rsidR="001E69D0" w:rsidRPr="00F84D57" w:rsidRDefault="001E69D0" w:rsidP="001725C8">
                          <w:pPr>
                            <w:jc w:val="right"/>
                            <w:rPr>
                              <w:rFonts w:ascii="Open Sans" w:hAnsi="Open Sans" w:cs="Open Sans"/>
                              <w:color w:val="008CA6"/>
                              <w:sz w:val="40"/>
                              <w:szCs w:val="40"/>
                            </w:rPr>
                          </w:pPr>
                          <w:r w:rsidRPr="00F84D57">
                            <w:rPr>
                              <w:rFonts w:ascii="Open Sans" w:hAnsi="Open Sans" w:cs="Open Sans"/>
                              <w:color w:val="008CA6"/>
                              <w:sz w:val="40"/>
                              <w:szCs w:val="40"/>
                            </w:rPr>
                            <w:t>Creating great content</w:t>
                          </w:r>
                        </w:p>
                        <w:p w14:paraId="7A7749C5" w14:textId="77777777" w:rsidR="001E69D0" w:rsidRPr="001E69D0" w:rsidRDefault="001E69D0" w:rsidP="001725C8">
                          <w:pPr>
                            <w:jc w:val="right"/>
                            <w:rPr>
                              <w:noProof/>
                              <w:color w:val="FFFFFF"/>
                              <w:sz w:val="28"/>
                              <w:szCs w:val="28"/>
                            </w:rPr>
                          </w:pPr>
                        </w:p>
                        <w:p w14:paraId="4D55F99C" w14:textId="77777777" w:rsidR="001E69D0" w:rsidRDefault="001E69D0" w:rsidP="001725C8">
                          <w:pPr>
                            <w:jc w:val="right"/>
                          </w:pPr>
                        </w:p>
                        <w:p w14:paraId="7655B700" w14:textId="77777777" w:rsidR="001E69D0" w:rsidRPr="00F84D57" w:rsidRDefault="001E69D0" w:rsidP="001725C8">
                          <w:pPr>
                            <w:jc w:val="right"/>
                            <w:rPr>
                              <w:rFonts w:ascii="Open Sans" w:hAnsi="Open Sans" w:cs="Open Sans"/>
                              <w:color w:val="008CA6"/>
                              <w:sz w:val="40"/>
                              <w:szCs w:val="40"/>
                            </w:rPr>
                          </w:pPr>
                          <w:r w:rsidRPr="001E69D0">
                            <w:rPr>
                              <w:b/>
                              <w:bCs/>
                              <w:color w:val="FFFFFF"/>
                              <w:sz w:val="56"/>
                              <w:szCs w:val="56"/>
                            </w:rPr>
                            <w:t>Post-market review of the Opiate Dependence Treatment Program</w:t>
                          </w:r>
                          <w:r w:rsidRPr="00F84D57">
                            <w:rPr>
                              <w:rFonts w:ascii="Open Sans" w:hAnsi="Open Sans" w:cs="Open Sans"/>
                              <w:color w:val="008CA6"/>
                              <w:sz w:val="40"/>
                              <w:szCs w:val="40"/>
                            </w:rPr>
                            <w:t>at content</w:t>
                          </w:r>
                        </w:p>
                        <w:p w14:paraId="515A7954" w14:textId="77777777" w:rsidR="001E69D0" w:rsidRPr="001E69D0" w:rsidRDefault="001E69D0" w:rsidP="001725C8">
                          <w:pPr>
                            <w:jc w:val="right"/>
                            <w:rPr>
                              <w:noProof/>
                              <w:color w:val="FFFFFF"/>
                              <w:sz w:val="28"/>
                              <w:szCs w:val="28"/>
                            </w:rPr>
                          </w:pPr>
                        </w:p>
                        <w:p w14:paraId="16ED6EF3" w14:textId="77777777" w:rsidR="001E69D0" w:rsidRDefault="001E69D0" w:rsidP="001725C8">
                          <w:pPr>
                            <w:jc w:val="right"/>
                          </w:pPr>
                        </w:p>
                        <w:p w14:paraId="2DC6152E" w14:textId="77777777" w:rsidR="001E69D0" w:rsidRPr="001E69D0" w:rsidRDefault="001E69D0" w:rsidP="001725C8">
                          <w:pPr>
                            <w:jc w:val="right"/>
                            <w:rPr>
                              <w:rFonts w:ascii="Open Sans" w:hAnsi="Open Sans" w:cs="Open Sans"/>
                              <w:color w:val="FFFFFF"/>
                              <w:sz w:val="56"/>
                              <w:szCs w:val="56"/>
                            </w:rPr>
                          </w:pPr>
                          <w:r w:rsidRPr="001E69D0">
                            <w:rPr>
                              <w:rFonts w:ascii="Open Sans" w:hAnsi="Open Sans" w:cs="Open Sans"/>
                              <w:color w:val="FFFFFF"/>
                              <w:sz w:val="56"/>
                              <w:szCs w:val="56"/>
                            </w:rPr>
                            <w:t>Post-market review of the Opiate Dependence Treatment Program</w:t>
                          </w:r>
                        </w:p>
                        <w:p w14:paraId="23274254" w14:textId="77777777" w:rsidR="001E69D0" w:rsidRPr="001E69D0" w:rsidRDefault="001E69D0" w:rsidP="001725C8">
                          <w:pPr>
                            <w:jc w:val="right"/>
                            <w:rPr>
                              <w:rFonts w:ascii="Open Sans" w:hAnsi="Open Sans" w:cs="Open Sans"/>
                              <w:color w:val="FFFFFF"/>
                              <w:sz w:val="28"/>
                              <w:szCs w:val="28"/>
                            </w:rPr>
                          </w:pPr>
                          <w:r w:rsidRPr="001E69D0">
                            <w:rPr>
                              <w:rFonts w:ascii="Open Sans" w:hAnsi="Open Sans" w:cs="Open Sans"/>
                              <w:color w:val="FFFFFF"/>
                              <w:sz w:val="28"/>
                              <w:szCs w:val="28"/>
                            </w:rPr>
                            <w:t>Consumer focus groups and interview report</w:t>
                          </w:r>
                        </w:p>
                        <w:p w14:paraId="34286855" w14:textId="77777777" w:rsidR="001E69D0" w:rsidRPr="001E69D0" w:rsidRDefault="001E69D0" w:rsidP="001725C8">
                          <w:pPr>
                            <w:jc w:val="right"/>
                            <w:rPr>
                              <w:rFonts w:ascii="Open Sans" w:hAnsi="Open Sans" w:cs="Open Sans"/>
                              <w:color w:val="FFFFFF"/>
                              <w:sz w:val="28"/>
                              <w:szCs w:val="28"/>
                            </w:rPr>
                          </w:pPr>
                        </w:p>
                        <w:p w14:paraId="0D375A3A" w14:textId="77777777" w:rsidR="001E69D0" w:rsidRPr="001E69D0" w:rsidRDefault="001E69D0" w:rsidP="001725C8">
                          <w:pPr>
                            <w:jc w:val="right"/>
                            <w:rPr>
                              <w:rFonts w:ascii="Open Sans" w:hAnsi="Open Sans" w:cs="Open Sans"/>
                              <w:color w:val="FFFFFF"/>
                              <w:sz w:val="28"/>
                              <w:szCs w:val="28"/>
                            </w:rPr>
                          </w:pPr>
                        </w:p>
                        <w:p w14:paraId="1F8D1247" w14:textId="77777777" w:rsidR="001E69D0" w:rsidRPr="001E69D0" w:rsidRDefault="001E69D0" w:rsidP="001725C8">
                          <w:pPr>
                            <w:jc w:val="right"/>
                            <w:rPr>
                              <w:rFonts w:ascii="Open Sans" w:hAnsi="Open Sans" w:cs="Open Sans"/>
                              <w:color w:val="FFFFFF"/>
                              <w:sz w:val="28"/>
                              <w:szCs w:val="28"/>
                            </w:rPr>
                          </w:pPr>
                          <w:r w:rsidRPr="001E69D0">
                            <w:rPr>
                              <w:rFonts w:ascii="Open Sans" w:hAnsi="Open Sans" w:cs="Open Sans"/>
                              <w:color w:val="FFFFFF"/>
                              <w:sz w:val="28"/>
                              <w:szCs w:val="28"/>
                            </w:rPr>
                            <w:t>6 December 2022</w:t>
                          </w:r>
                        </w:p>
                        <w:p w14:paraId="0202F1E8" w14:textId="77777777" w:rsidR="001E69D0" w:rsidRPr="00F84D57" w:rsidRDefault="001E69D0" w:rsidP="001725C8">
                          <w:pPr>
                            <w:jc w:val="right"/>
                            <w:rPr>
                              <w:rFonts w:ascii="Open Sans" w:hAnsi="Open Sans" w:cs="Open Sans"/>
                              <w:color w:val="008CA6"/>
                              <w:sz w:val="40"/>
                              <w:szCs w:val="40"/>
                            </w:rPr>
                          </w:pPr>
                          <w:r w:rsidRPr="00F84D57">
                            <w:rPr>
                              <w:rFonts w:ascii="Open Sans" w:hAnsi="Open Sans" w:cs="Open Sans"/>
                              <w:color w:val="008CA6"/>
                              <w:sz w:val="40"/>
                              <w:szCs w:val="40"/>
                            </w:rPr>
                            <w:t>at content</w:t>
                          </w:r>
                        </w:p>
                        <w:p w14:paraId="46070907" w14:textId="77777777" w:rsidR="001E69D0" w:rsidRPr="001E69D0" w:rsidRDefault="001E69D0" w:rsidP="001725C8">
                          <w:pPr>
                            <w:jc w:val="right"/>
                            <w:rPr>
                              <w:noProof/>
                              <w:color w:val="FFFFFF"/>
                              <w:sz w:val="28"/>
                              <w:szCs w:val="28"/>
                            </w:rPr>
                          </w:pPr>
                        </w:p>
                        <w:p w14:paraId="16F230C8" w14:textId="77777777" w:rsidR="001E69D0" w:rsidRDefault="001E69D0" w:rsidP="001725C8">
                          <w:pPr>
                            <w:jc w:val="right"/>
                          </w:pPr>
                        </w:p>
                        <w:p w14:paraId="64462DF7" w14:textId="77777777" w:rsidR="001E69D0" w:rsidRPr="00F84D57" w:rsidRDefault="001E69D0" w:rsidP="001725C8">
                          <w:pPr>
                            <w:jc w:val="right"/>
                            <w:rPr>
                              <w:rFonts w:ascii="Open Sans" w:hAnsi="Open Sans" w:cs="Open Sans"/>
                              <w:color w:val="008CA6"/>
                              <w:sz w:val="40"/>
                              <w:szCs w:val="40"/>
                            </w:rPr>
                          </w:pPr>
                          <w:r w:rsidRPr="001E69D0">
                            <w:rPr>
                              <w:b/>
                              <w:bCs/>
                              <w:color w:val="FFFFFF"/>
                              <w:sz w:val="56"/>
                              <w:szCs w:val="56"/>
                            </w:rPr>
                            <w:t>Post-market review of the Opiate Dependence Treatment Program</w:t>
                          </w:r>
                          <w:r w:rsidRPr="00F84D57">
                            <w:rPr>
                              <w:rFonts w:ascii="Open Sans" w:hAnsi="Open Sans" w:cs="Open Sans"/>
                              <w:color w:val="008CA6"/>
                              <w:sz w:val="40"/>
                              <w:szCs w:val="40"/>
                            </w:rPr>
                            <w:t>at content</w:t>
                          </w:r>
                        </w:p>
                        <w:p w14:paraId="735E373E" w14:textId="77777777" w:rsidR="001E69D0" w:rsidRPr="001E69D0" w:rsidRDefault="001E69D0" w:rsidP="001725C8">
                          <w:pPr>
                            <w:jc w:val="right"/>
                            <w:rPr>
                              <w:noProof/>
                              <w:color w:val="FFFFFF"/>
                              <w:sz w:val="28"/>
                              <w:szCs w:val="28"/>
                            </w:rPr>
                          </w:pPr>
                        </w:p>
                      </w:txbxContent>
                    </v:textbox>
                    <w10:anchorlock/>
                  </v:shape>
                </w:pict>
              </mc:Fallback>
            </mc:AlternateContent>
          </w:r>
          <w:r w:rsidRPr="001E69D0">
            <w:rPr>
              <w:rFonts w:eastAsia="Times New Roman"/>
              <w:noProof/>
              <w:color w:val="000000"/>
              <w:sz w:val="22"/>
              <w:szCs w:val="20"/>
            </w:rPr>
            <w:drawing>
              <wp:anchor distT="0" distB="0" distL="114300" distR="114300" simplePos="0" relativeHeight="251658239" behindDoc="1" locked="0" layoutInCell="1" allowOverlap="1" wp14:anchorId="444F8946" wp14:editId="0D16E3D1">
                <wp:simplePos x="0" y="0"/>
                <wp:positionH relativeFrom="column">
                  <wp:posOffset>-939800</wp:posOffset>
                </wp:positionH>
                <wp:positionV relativeFrom="paragraph">
                  <wp:posOffset>-1162050</wp:posOffset>
                </wp:positionV>
                <wp:extent cx="7750175" cy="10955020"/>
                <wp:effectExtent l="0" t="0" r="0" b="5080"/>
                <wp:wrapNone/>
                <wp:docPr id="45" name="Picture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a:extLst>
                            <a:ext uri="{C183D7F6-B498-43B3-948B-1728B52AA6E4}">
                              <adec:decorative xmlns:adec="http://schemas.microsoft.com/office/drawing/2017/decorative" val="1"/>
                            </a:ext>
                          </a:extLst>
                        </pic:cNvPr>
                        <pic:cNvPicPr/>
                      </pic:nvPicPr>
                      <pic:blipFill>
                        <a:blip r:embed="rId39"/>
                        <a:stretch>
                          <a:fillRect/>
                        </a:stretch>
                      </pic:blipFill>
                      <pic:spPr>
                        <a:xfrm>
                          <a:off x="0" y="0"/>
                          <a:ext cx="7750175" cy="10955020"/>
                        </a:xfrm>
                        <a:prstGeom prst="rect">
                          <a:avLst/>
                        </a:prstGeom>
                      </pic:spPr>
                    </pic:pic>
                  </a:graphicData>
                </a:graphic>
                <wp14:sizeRelH relativeFrom="page">
                  <wp14:pctWidth>0</wp14:pctWidth>
                </wp14:sizeRelH>
                <wp14:sizeRelV relativeFrom="page">
                  <wp14:pctHeight>0</wp14:pctHeight>
                </wp14:sizeRelV>
              </wp:anchor>
            </w:drawing>
          </w:r>
        </w:p>
        <w:p w14:paraId="60D1650E" w14:textId="6FCCC60C" w:rsidR="001E69D0" w:rsidRPr="001E69D0" w:rsidRDefault="001E69D0" w:rsidP="001E69D0">
          <w:pPr>
            <w:spacing w:after="240" w:line="240" w:lineRule="auto"/>
            <w:jc w:val="left"/>
            <w:rPr>
              <w:rFonts w:eastAsia="Times New Roman"/>
              <w:color w:val="000000"/>
              <w:sz w:val="22"/>
              <w:szCs w:val="20"/>
            </w:rPr>
          </w:pPr>
          <w:r w:rsidRPr="001E69D0">
            <w:rPr>
              <w:rFonts w:eastAsia="Times New Roman"/>
              <w:noProof/>
              <w:color w:val="000000"/>
              <w:sz w:val="22"/>
              <w:szCs w:val="20"/>
              <w:lang w:val="en-US"/>
            </w:rPr>
            <mc:AlternateContent>
              <mc:Choice Requires="wps">
                <w:drawing>
                  <wp:anchor distT="0" distB="0" distL="114300" distR="114300" simplePos="0" relativeHeight="251662336" behindDoc="0" locked="0" layoutInCell="1" allowOverlap="1" wp14:anchorId="3E1AB6FF" wp14:editId="08B4044B">
                    <wp:simplePos x="0" y="0"/>
                    <wp:positionH relativeFrom="column">
                      <wp:posOffset>-952500</wp:posOffset>
                    </wp:positionH>
                    <wp:positionV relativeFrom="paragraph">
                      <wp:posOffset>8609330</wp:posOffset>
                    </wp:positionV>
                    <wp:extent cx="7556500" cy="533400"/>
                    <wp:effectExtent l="0" t="0" r="0" b="0"/>
                    <wp:wrapNone/>
                    <wp:docPr id="48" name="Text Box 48"/>
                    <wp:cNvGraphicFramePr/>
                    <a:graphic xmlns:a="http://schemas.openxmlformats.org/drawingml/2006/main">
                      <a:graphicData uri="http://schemas.microsoft.com/office/word/2010/wordprocessingShape">
                        <wps:wsp>
                          <wps:cNvSpPr txBox="1"/>
                          <wps:spPr>
                            <a:xfrm>
                              <a:off x="0" y="0"/>
                              <a:ext cx="7556500" cy="5334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70A7DE88" w14:textId="77777777" w:rsidR="001E69D0" w:rsidRPr="001E69D0" w:rsidRDefault="001E69D0" w:rsidP="001E69D0">
                                <w:pPr>
                                  <w:jc w:val="center"/>
                                  <w:rPr>
                                    <w:noProof/>
                                    <w:color w:val="FFFFFF"/>
                                    <w:sz w:val="28"/>
                                    <w:szCs w:val="28"/>
                                  </w:rPr>
                                </w:pPr>
                                <w:bookmarkStart w:id="712" w:name="_Toc120166244"/>
                                <w:r w:rsidRPr="001E69D0">
                                  <w:rPr>
                                    <w:rFonts w:ascii="Open Sans" w:hAnsi="Open Sans" w:cs="Open Sans"/>
                                    <w:color w:val="FFFFFF"/>
                                    <w:sz w:val="32"/>
                                    <w:szCs w:val="32"/>
                                  </w:rPr>
                                  <w:t>biotext.com.au</w:t>
                                </w:r>
                                <w:bookmarkEnd w:id="71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AB6FF" id="Text Box 48" o:spid="_x0000_s1027" type="#_x0000_t202" style="position:absolute;margin-left:-75pt;margin-top:677.9pt;width:595pt;height: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" filled="f" stroked="f">
                    <v:textbox>
                      <w:txbxContent>
                        <w:p w14:paraId="70A7DE88" w14:textId="77777777" w:rsidR="001E69D0" w:rsidRPr="001E69D0" w:rsidRDefault="001E69D0" w:rsidP="001E69D0">
                          <w:pPr>
                            <w:jc w:val="center"/>
                            <w:rPr>
                              <w:noProof/>
                              <w:color w:val="FFFFFF"/>
                              <w:sz w:val="28"/>
                              <w:szCs w:val="28"/>
                            </w:rPr>
                          </w:pPr>
                          <w:bookmarkStart w:id="713" w:name="_Toc120166244"/>
                          <w:r w:rsidRPr="001E69D0">
                            <w:rPr>
                              <w:rFonts w:ascii="Open Sans" w:hAnsi="Open Sans" w:cs="Open Sans"/>
                              <w:color w:val="FFFFFF"/>
                              <w:sz w:val="32"/>
                              <w:szCs w:val="32"/>
                            </w:rPr>
                            <w:t>biotext.com.au</w:t>
                          </w:r>
                          <w:bookmarkEnd w:id="713"/>
                        </w:p>
                      </w:txbxContent>
                    </v:textbox>
                  </v:shape>
                </w:pict>
              </mc:Fallback>
            </mc:AlternateContent>
          </w:r>
          <w:r w:rsidRPr="001E69D0">
            <w:rPr>
              <w:rFonts w:eastAsia="Times New Roman"/>
              <w:noProof/>
              <w:color w:val="000000"/>
              <w:sz w:val="22"/>
              <w:szCs w:val="20"/>
              <w:lang w:val="en-US"/>
            </w:rPr>
            <mc:AlternateContent>
              <mc:Choice Requires="wps">
                <w:drawing>
                  <wp:anchor distT="0" distB="0" distL="114300" distR="114300" simplePos="0" relativeHeight="251659264" behindDoc="0" locked="0" layoutInCell="1" allowOverlap="1" wp14:anchorId="7F4F6EFE" wp14:editId="46C6CBE1">
                    <wp:simplePos x="0" y="0"/>
                    <wp:positionH relativeFrom="column">
                      <wp:posOffset>932507</wp:posOffset>
                    </wp:positionH>
                    <wp:positionV relativeFrom="paragraph">
                      <wp:posOffset>2943344</wp:posOffset>
                    </wp:positionV>
                    <wp:extent cx="4164594" cy="400050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4164594" cy="40005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007A2F8D" w14:textId="77777777" w:rsidR="001E69D0" w:rsidRPr="001E69D0" w:rsidRDefault="001E69D0" w:rsidP="001E69D0">
                                <w:pPr>
                                  <w:jc w:val="center"/>
                                  <w:rPr>
                                    <w:rFonts w:ascii="Open Sans" w:hAnsi="Open Sans" w:cs="Open Sans"/>
                                    <w:color w:val="FFFFFF"/>
                                    <w:sz w:val="56"/>
                                    <w:szCs w:val="56"/>
                                  </w:rPr>
                                </w:pPr>
                                <w:bookmarkStart w:id="714" w:name="_Toc120166243"/>
                                <w:r w:rsidRPr="001E69D0">
                                  <w:rPr>
                                    <w:rFonts w:ascii="Open Sans" w:hAnsi="Open Sans" w:cs="Open Sans"/>
                                    <w:color w:val="FFFFFF"/>
                                    <w:sz w:val="56"/>
                                    <w:szCs w:val="56"/>
                                  </w:rPr>
                                  <w:t>Post-market review of the Opiate Dependence Treatment Program</w:t>
                                </w:r>
                              </w:p>
                              <w:p w14:paraId="6A7EE898" w14:textId="77777777" w:rsidR="001E69D0" w:rsidRPr="001E69D0" w:rsidRDefault="001E69D0" w:rsidP="001E69D0">
                                <w:pPr>
                                  <w:jc w:val="center"/>
                                  <w:rPr>
                                    <w:rFonts w:ascii="Open Sans" w:hAnsi="Open Sans" w:cs="Open Sans"/>
                                    <w:color w:val="FFFFFF"/>
                                    <w:sz w:val="28"/>
                                    <w:szCs w:val="28"/>
                                  </w:rPr>
                                </w:pPr>
                                <w:r w:rsidRPr="001E69D0">
                                  <w:rPr>
                                    <w:rFonts w:ascii="Open Sans" w:hAnsi="Open Sans" w:cs="Open Sans"/>
                                    <w:color w:val="FFFFFF"/>
                                    <w:sz w:val="28"/>
                                    <w:szCs w:val="28"/>
                                  </w:rPr>
                                  <w:t>Consumer focus groups and interview report</w:t>
                                </w:r>
                              </w:p>
                              <w:p w14:paraId="21AE0E27" w14:textId="77777777" w:rsidR="001E69D0" w:rsidRPr="001E69D0" w:rsidRDefault="001E69D0" w:rsidP="001E69D0">
                                <w:pPr>
                                  <w:jc w:val="center"/>
                                  <w:rPr>
                                    <w:rFonts w:ascii="Open Sans" w:hAnsi="Open Sans" w:cs="Open Sans"/>
                                    <w:color w:val="FFFFFF"/>
                                    <w:sz w:val="28"/>
                                    <w:szCs w:val="28"/>
                                  </w:rPr>
                                </w:pPr>
                              </w:p>
                              <w:p w14:paraId="2D61A192" w14:textId="77777777" w:rsidR="001E69D0" w:rsidRPr="001E69D0" w:rsidRDefault="001E69D0" w:rsidP="001E69D0">
                                <w:pPr>
                                  <w:jc w:val="center"/>
                                  <w:rPr>
                                    <w:rFonts w:ascii="Open Sans" w:hAnsi="Open Sans" w:cs="Open Sans"/>
                                    <w:color w:val="FFFFFF"/>
                                    <w:sz w:val="28"/>
                                    <w:szCs w:val="28"/>
                                  </w:rPr>
                                </w:pPr>
                              </w:p>
                              <w:p w14:paraId="158028BF" w14:textId="77777777" w:rsidR="001E69D0" w:rsidRPr="001E69D0" w:rsidRDefault="001E69D0" w:rsidP="001E69D0">
                                <w:pPr>
                                  <w:jc w:val="center"/>
                                  <w:rPr>
                                    <w:rFonts w:ascii="Open Sans" w:hAnsi="Open Sans" w:cs="Open Sans"/>
                                    <w:color w:val="FFFFFF"/>
                                    <w:sz w:val="28"/>
                                    <w:szCs w:val="28"/>
                                  </w:rPr>
                                </w:pPr>
                                <w:r w:rsidRPr="001E69D0">
                                  <w:rPr>
                                    <w:rFonts w:ascii="Open Sans" w:hAnsi="Open Sans" w:cs="Open Sans"/>
                                    <w:color w:val="FFFFFF"/>
                                    <w:sz w:val="28"/>
                                    <w:szCs w:val="28"/>
                                  </w:rPr>
                                  <w:t>6 December 2022</w:t>
                                </w:r>
                                <w:bookmarkEnd w:id="71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4F6EFE" id="Text Box 15" o:spid="_x0000_s1028" type="#_x0000_t202" style="position:absolute;margin-left:73.45pt;margin-top:231.75pt;width:327.9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" filled="f" stroked="f">
                    <v:textbox>
                      <w:txbxContent>
                        <w:p w14:paraId="007A2F8D" w14:textId="77777777" w:rsidR="001E69D0" w:rsidRPr="001E69D0" w:rsidRDefault="001E69D0" w:rsidP="001E69D0">
                          <w:pPr>
                            <w:jc w:val="center"/>
                            <w:rPr>
                              <w:rFonts w:ascii="Open Sans" w:hAnsi="Open Sans" w:cs="Open Sans"/>
                              <w:color w:val="FFFFFF"/>
                              <w:sz w:val="56"/>
                              <w:szCs w:val="56"/>
                            </w:rPr>
                          </w:pPr>
                          <w:bookmarkStart w:id="715" w:name="_Toc120166243"/>
                          <w:r w:rsidRPr="001E69D0">
                            <w:rPr>
                              <w:rFonts w:ascii="Open Sans" w:hAnsi="Open Sans" w:cs="Open Sans"/>
                              <w:color w:val="FFFFFF"/>
                              <w:sz w:val="56"/>
                              <w:szCs w:val="56"/>
                            </w:rPr>
                            <w:t>Post-market review of the Opiate Dependence Treatment Program</w:t>
                          </w:r>
                        </w:p>
                        <w:p w14:paraId="6A7EE898" w14:textId="77777777" w:rsidR="001E69D0" w:rsidRPr="001E69D0" w:rsidRDefault="001E69D0" w:rsidP="001E69D0">
                          <w:pPr>
                            <w:jc w:val="center"/>
                            <w:rPr>
                              <w:rFonts w:ascii="Open Sans" w:hAnsi="Open Sans" w:cs="Open Sans"/>
                              <w:color w:val="FFFFFF"/>
                              <w:sz w:val="28"/>
                              <w:szCs w:val="28"/>
                            </w:rPr>
                          </w:pPr>
                          <w:r w:rsidRPr="001E69D0">
                            <w:rPr>
                              <w:rFonts w:ascii="Open Sans" w:hAnsi="Open Sans" w:cs="Open Sans"/>
                              <w:color w:val="FFFFFF"/>
                              <w:sz w:val="28"/>
                              <w:szCs w:val="28"/>
                            </w:rPr>
                            <w:t>Consumer focus groups and interview report</w:t>
                          </w:r>
                        </w:p>
                        <w:p w14:paraId="21AE0E27" w14:textId="77777777" w:rsidR="001E69D0" w:rsidRPr="001E69D0" w:rsidRDefault="001E69D0" w:rsidP="001E69D0">
                          <w:pPr>
                            <w:jc w:val="center"/>
                            <w:rPr>
                              <w:rFonts w:ascii="Open Sans" w:hAnsi="Open Sans" w:cs="Open Sans"/>
                              <w:color w:val="FFFFFF"/>
                              <w:sz w:val="28"/>
                              <w:szCs w:val="28"/>
                            </w:rPr>
                          </w:pPr>
                        </w:p>
                        <w:p w14:paraId="2D61A192" w14:textId="77777777" w:rsidR="001E69D0" w:rsidRPr="001E69D0" w:rsidRDefault="001E69D0" w:rsidP="001E69D0">
                          <w:pPr>
                            <w:jc w:val="center"/>
                            <w:rPr>
                              <w:rFonts w:ascii="Open Sans" w:hAnsi="Open Sans" w:cs="Open Sans"/>
                              <w:color w:val="FFFFFF"/>
                              <w:sz w:val="28"/>
                              <w:szCs w:val="28"/>
                            </w:rPr>
                          </w:pPr>
                        </w:p>
                        <w:p w14:paraId="158028BF" w14:textId="77777777" w:rsidR="001E69D0" w:rsidRPr="001E69D0" w:rsidRDefault="001E69D0" w:rsidP="001E69D0">
                          <w:pPr>
                            <w:jc w:val="center"/>
                            <w:rPr>
                              <w:rFonts w:ascii="Open Sans" w:hAnsi="Open Sans" w:cs="Open Sans"/>
                              <w:color w:val="FFFFFF"/>
                              <w:sz w:val="28"/>
                              <w:szCs w:val="28"/>
                            </w:rPr>
                          </w:pPr>
                          <w:r w:rsidRPr="001E69D0">
                            <w:rPr>
                              <w:rFonts w:ascii="Open Sans" w:hAnsi="Open Sans" w:cs="Open Sans"/>
                              <w:color w:val="FFFFFF"/>
                              <w:sz w:val="28"/>
                              <w:szCs w:val="28"/>
                            </w:rPr>
                            <w:t>6 December 2022</w:t>
                          </w:r>
                          <w:bookmarkEnd w:id="715"/>
                        </w:p>
                      </w:txbxContent>
                    </v:textbox>
                  </v:shape>
                </w:pict>
              </mc:Fallback>
            </mc:AlternateContent>
          </w:r>
          <w:r w:rsidRPr="001E69D0">
            <w:rPr>
              <w:rFonts w:eastAsia="Times New Roman"/>
              <w:color w:val="000000"/>
              <w:sz w:val="22"/>
              <w:szCs w:val="20"/>
            </w:rPr>
            <w:br w:type="page"/>
          </w:r>
        </w:p>
      </w:sdtContent>
    </w:sdt>
    <w:bookmarkEnd w:id="710"/>
    <w:p w14:paraId="5C1EB9CD" w14:textId="77777777" w:rsidR="001E69D0" w:rsidRPr="001E69D0" w:rsidRDefault="001E69D0" w:rsidP="001E69D0">
      <w:pPr>
        <w:spacing w:after="240" w:line="240" w:lineRule="auto"/>
        <w:jc w:val="left"/>
        <w:rPr>
          <w:rFonts w:eastAsia="Times New Roman"/>
          <w:color w:val="000000"/>
          <w:sz w:val="22"/>
          <w:szCs w:val="20"/>
        </w:rPr>
        <w:sectPr w:rsidR="001E69D0" w:rsidRPr="001E69D0" w:rsidSect="00934954">
          <w:footnotePr>
            <w:numRestart w:val="eachSect"/>
          </w:footnotePr>
          <w:pgSz w:w="11906" w:h="16838" w:code="9"/>
          <w:pgMar w:top="1440" w:right="1440" w:bottom="1440" w:left="1440" w:header="576" w:footer="576" w:gutter="0"/>
          <w:cols w:space="720"/>
          <w:titlePg/>
          <w:docGrid w:linePitch="326"/>
        </w:sectPr>
      </w:pPr>
    </w:p>
    <w:p w14:paraId="21CAE702" w14:textId="77777777" w:rsidR="001E69D0" w:rsidRPr="001E69D0" w:rsidRDefault="001E69D0" w:rsidP="001E69D0">
      <w:pPr>
        <w:keepNext/>
        <w:pageBreakBefore/>
        <w:spacing w:after="480" w:line="240" w:lineRule="auto"/>
        <w:ind w:left="720" w:hanging="720"/>
        <w:jc w:val="left"/>
        <w:rPr>
          <w:rFonts w:ascii="Open Sans" w:eastAsia="Times New Roman" w:hAnsi="Open Sans" w:cs="Open Sans"/>
          <w:b/>
          <w:bCs/>
          <w:color w:val="008CA6"/>
          <w:kern w:val="32"/>
          <w:sz w:val="40"/>
          <w:szCs w:val="40"/>
        </w:rPr>
      </w:pPr>
      <w:bookmarkStart w:id="716" w:name="_Hlk120166176"/>
      <w:r w:rsidRPr="001E69D0">
        <w:rPr>
          <w:rFonts w:ascii="Open Sans" w:eastAsia="Times New Roman" w:hAnsi="Open Sans" w:cs="Open Sans"/>
          <w:b/>
          <w:bCs/>
          <w:color w:val="008CA6"/>
          <w:kern w:val="32"/>
          <w:sz w:val="40"/>
          <w:szCs w:val="40"/>
        </w:rPr>
        <w:lastRenderedPageBreak/>
        <w:t xml:space="preserve">Contents </w:t>
      </w:r>
    </w:p>
    <w:p w14:paraId="000D0309" w14:textId="6A58A2F7" w:rsidR="001E69D0" w:rsidRPr="001E69D0" w:rsidRDefault="001E69D0" w:rsidP="001E69D0">
      <w:pPr>
        <w:tabs>
          <w:tab w:val="left" w:pos="720"/>
          <w:tab w:val="right" w:leader="dot" w:pos="9016"/>
        </w:tabs>
        <w:spacing w:before="360" w:after="60" w:line="240" w:lineRule="auto"/>
        <w:ind w:left="720" w:right="720" w:hanging="720"/>
        <w:jc w:val="left"/>
        <w:rPr>
          <w:rFonts w:eastAsia="MS Mincho"/>
          <w:noProof/>
          <w:sz w:val="22"/>
          <w:szCs w:val="22"/>
          <w:lang w:eastAsia="en-AU"/>
        </w:rPr>
      </w:pPr>
      <w:r w:rsidRPr="001E69D0">
        <w:rPr>
          <w:rFonts w:eastAsia="Times New Roman"/>
          <w:b/>
          <w:bCs/>
          <w:noProof/>
          <w:color w:val="000000"/>
          <w:sz w:val="22"/>
          <w:szCs w:val="20"/>
        </w:rPr>
        <w:fldChar w:fldCharType="begin"/>
      </w:r>
      <w:r w:rsidRPr="001E69D0">
        <w:rPr>
          <w:rFonts w:eastAsia="Times New Roman"/>
          <w:b/>
          <w:bCs/>
          <w:noProof/>
          <w:color w:val="000000"/>
          <w:sz w:val="22"/>
          <w:szCs w:val="20"/>
        </w:rPr>
        <w:instrText xml:space="preserve"> TOC \o "1-3" \t "SectionTitle,1" </w:instrText>
      </w:r>
      <w:r w:rsidRPr="001E69D0">
        <w:rPr>
          <w:rFonts w:eastAsia="Times New Roman"/>
          <w:b/>
          <w:bCs/>
          <w:noProof/>
          <w:color w:val="000000"/>
          <w:sz w:val="22"/>
          <w:szCs w:val="20"/>
        </w:rPr>
        <w:fldChar w:fldCharType="separate"/>
      </w:r>
      <w:r w:rsidRPr="001E69D0">
        <w:rPr>
          <w:rFonts w:eastAsia="Times New Roman"/>
          <w:b/>
          <w:bCs/>
          <w:noProof/>
          <w:color w:val="000000"/>
          <w:sz w:val="22"/>
          <w:szCs w:val="20"/>
        </w:rPr>
        <w:t>Summary</w:t>
      </w:r>
      <w:r w:rsidRPr="001E69D0">
        <w:rPr>
          <w:rFonts w:eastAsia="Times New Roman"/>
          <w:b/>
          <w:bCs/>
          <w:noProof/>
          <w:color w:val="000000"/>
          <w:sz w:val="22"/>
          <w:szCs w:val="20"/>
        </w:rPr>
        <w:tab/>
      </w:r>
      <w:r w:rsidRPr="001E69D0">
        <w:rPr>
          <w:rFonts w:eastAsia="Times New Roman"/>
          <w:b/>
          <w:bCs/>
          <w:noProof/>
          <w:color w:val="000000"/>
          <w:sz w:val="22"/>
          <w:szCs w:val="20"/>
        </w:rPr>
        <w:fldChar w:fldCharType="begin"/>
      </w:r>
      <w:r w:rsidRPr="001E69D0">
        <w:rPr>
          <w:rFonts w:eastAsia="Times New Roman"/>
          <w:b/>
          <w:bCs/>
          <w:noProof/>
          <w:color w:val="000000"/>
          <w:sz w:val="22"/>
          <w:szCs w:val="20"/>
        </w:rPr>
        <w:instrText xml:space="preserve"> PAGEREF _Toc121231585 \h </w:instrText>
      </w:r>
      <w:r w:rsidRPr="001E69D0">
        <w:rPr>
          <w:rFonts w:eastAsia="Times New Roman"/>
          <w:b/>
          <w:bCs/>
          <w:noProof/>
          <w:color w:val="000000"/>
          <w:sz w:val="22"/>
          <w:szCs w:val="20"/>
        </w:rPr>
      </w:r>
      <w:r w:rsidRPr="001E69D0">
        <w:rPr>
          <w:rFonts w:eastAsia="Times New Roman"/>
          <w:b/>
          <w:bCs/>
          <w:noProof/>
          <w:color w:val="000000"/>
          <w:sz w:val="22"/>
          <w:szCs w:val="20"/>
        </w:rPr>
        <w:fldChar w:fldCharType="separate"/>
      </w:r>
      <w:r w:rsidR="002178D6">
        <w:rPr>
          <w:rFonts w:eastAsia="Times New Roman"/>
          <w:b/>
          <w:bCs/>
          <w:noProof/>
          <w:color w:val="000000"/>
          <w:sz w:val="22"/>
          <w:szCs w:val="20"/>
        </w:rPr>
        <w:t>1</w:t>
      </w:r>
      <w:r w:rsidRPr="001E69D0">
        <w:rPr>
          <w:rFonts w:eastAsia="Times New Roman"/>
          <w:b/>
          <w:bCs/>
          <w:noProof/>
          <w:color w:val="000000"/>
          <w:sz w:val="22"/>
          <w:szCs w:val="20"/>
        </w:rPr>
        <w:fldChar w:fldCharType="end"/>
      </w:r>
    </w:p>
    <w:p w14:paraId="0E3A1271" w14:textId="32BA7122" w:rsidR="001E69D0" w:rsidRPr="001E69D0" w:rsidRDefault="001E69D0" w:rsidP="001E69D0">
      <w:pPr>
        <w:tabs>
          <w:tab w:val="left" w:pos="2160"/>
          <w:tab w:val="right" w:leader="dot" w:pos="9016"/>
        </w:tabs>
        <w:spacing w:after="20" w:line="240" w:lineRule="auto"/>
        <w:ind w:left="2160" w:right="720" w:hanging="720"/>
        <w:jc w:val="left"/>
        <w:rPr>
          <w:rFonts w:eastAsia="MS Mincho"/>
          <w:noProof/>
          <w:sz w:val="22"/>
          <w:szCs w:val="22"/>
          <w:lang w:eastAsia="en-AU"/>
        </w:rPr>
      </w:pPr>
      <w:r w:rsidRPr="001E69D0">
        <w:rPr>
          <w:rFonts w:eastAsia="Times New Roman"/>
          <w:noProof/>
          <w:color w:val="000000"/>
          <w:sz w:val="22"/>
          <w:szCs w:val="20"/>
        </w:rPr>
        <w:t>Key findings</w:t>
      </w:r>
      <w:r w:rsidRPr="001E69D0">
        <w:rPr>
          <w:rFonts w:eastAsia="Times New Roman"/>
          <w:noProof/>
          <w:color w:val="000000"/>
          <w:sz w:val="22"/>
          <w:szCs w:val="20"/>
        </w:rPr>
        <w:tab/>
      </w:r>
      <w:r w:rsidRPr="001E69D0">
        <w:rPr>
          <w:rFonts w:eastAsia="Times New Roman"/>
          <w:noProof/>
          <w:color w:val="000000"/>
          <w:sz w:val="22"/>
          <w:szCs w:val="20"/>
        </w:rPr>
        <w:fldChar w:fldCharType="begin"/>
      </w:r>
      <w:r w:rsidRPr="001E69D0">
        <w:rPr>
          <w:rFonts w:eastAsia="Times New Roman"/>
          <w:noProof/>
          <w:color w:val="000000"/>
          <w:sz w:val="22"/>
          <w:szCs w:val="20"/>
        </w:rPr>
        <w:instrText xml:space="preserve"> PAGEREF _Toc121231586 \h </w:instrText>
      </w:r>
      <w:r w:rsidRPr="001E69D0">
        <w:rPr>
          <w:rFonts w:eastAsia="Times New Roman"/>
          <w:noProof/>
          <w:color w:val="000000"/>
          <w:sz w:val="22"/>
          <w:szCs w:val="20"/>
        </w:rPr>
      </w:r>
      <w:r w:rsidRPr="001E69D0">
        <w:rPr>
          <w:rFonts w:eastAsia="Times New Roman"/>
          <w:noProof/>
          <w:color w:val="000000"/>
          <w:sz w:val="22"/>
          <w:szCs w:val="20"/>
        </w:rPr>
        <w:fldChar w:fldCharType="separate"/>
      </w:r>
      <w:r w:rsidR="002178D6">
        <w:rPr>
          <w:rFonts w:eastAsia="Times New Roman"/>
          <w:noProof/>
          <w:color w:val="000000"/>
          <w:sz w:val="22"/>
          <w:szCs w:val="20"/>
        </w:rPr>
        <w:t>1</w:t>
      </w:r>
      <w:r w:rsidRPr="001E69D0">
        <w:rPr>
          <w:rFonts w:eastAsia="Times New Roman"/>
          <w:noProof/>
          <w:color w:val="000000"/>
          <w:sz w:val="22"/>
          <w:szCs w:val="20"/>
        </w:rPr>
        <w:fldChar w:fldCharType="end"/>
      </w:r>
    </w:p>
    <w:p w14:paraId="64E225EF" w14:textId="5F021E43" w:rsidR="001E69D0" w:rsidRPr="001E69D0" w:rsidRDefault="001E69D0" w:rsidP="001E69D0">
      <w:pPr>
        <w:tabs>
          <w:tab w:val="left" w:pos="720"/>
          <w:tab w:val="right" w:leader="dot" w:pos="9016"/>
        </w:tabs>
        <w:spacing w:before="360" w:after="60" w:line="240" w:lineRule="auto"/>
        <w:ind w:left="720" w:right="720" w:hanging="720"/>
        <w:jc w:val="left"/>
        <w:rPr>
          <w:rFonts w:eastAsia="MS Mincho"/>
          <w:noProof/>
          <w:sz w:val="22"/>
          <w:szCs w:val="22"/>
          <w:lang w:eastAsia="en-AU"/>
        </w:rPr>
      </w:pPr>
      <w:r w:rsidRPr="001E69D0">
        <w:rPr>
          <w:rFonts w:eastAsia="Times New Roman"/>
          <w:b/>
          <w:bCs/>
          <w:noProof/>
          <w:color w:val="000000"/>
          <w:sz w:val="22"/>
          <w:szCs w:val="20"/>
        </w:rPr>
        <w:t>Background</w:t>
      </w:r>
      <w:r w:rsidRPr="001E69D0">
        <w:rPr>
          <w:rFonts w:eastAsia="Times New Roman"/>
          <w:b/>
          <w:bCs/>
          <w:noProof/>
          <w:color w:val="000000"/>
          <w:sz w:val="22"/>
          <w:szCs w:val="20"/>
        </w:rPr>
        <w:tab/>
      </w:r>
      <w:r w:rsidRPr="001E69D0">
        <w:rPr>
          <w:rFonts w:eastAsia="Times New Roman"/>
          <w:b/>
          <w:bCs/>
          <w:noProof/>
          <w:color w:val="000000"/>
          <w:sz w:val="22"/>
          <w:szCs w:val="20"/>
        </w:rPr>
        <w:fldChar w:fldCharType="begin"/>
      </w:r>
      <w:r w:rsidRPr="001E69D0">
        <w:rPr>
          <w:rFonts w:eastAsia="Times New Roman"/>
          <w:b/>
          <w:bCs/>
          <w:noProof/>
          <w:color w:val="000000"/>
          <w:sz w:val="22"/>
          <w:szCs w:val="20"/>
        </w:rPr>
        <w:instrText xml:space="preserve"> PAGEREF _Toc121231587 \h </w:instrText>
      </w:r>
      <w:r w:rsidRPr="001E69D0">
        <w:rPr>
          <w:rFonts w:eastAsia="Times New Roman"/>
          <w:b/>
          <w:bCs/>
          <w:noProof/>
          <w:color w:val="000000"/>
          <w:sz w:val="22"/>
          <w:szCs w:val="20"/>
        </w:rPr>
      </w:r>
      <w:r w:rsidRPr="001E69D0">
        <w:rPr>
          <w:rFonts w:eastAsia="Times New Roman"/>
          <w:b/>
          <w:bCs/>
          <w:noProof/>
          <w:color w:val="000000"/>
          <w:sz w:val="22"/>
          <w:szCs w:val="20"/>
        </w:rPr>
        <w:fldChar w:fldCharType="separate"/>
      </w:r>
      <w:r w:rsidR="002178D6">
        <w:rPr>
          <w:rFonts w:eastAsia="Times New Roman"/>
          <w:b/>
          <w:bCs/>
          <w:noProof/>
          <w:color w:val="000000"/>
          <w:sz w:val="22"/>
          <w:szCs w:val="20"/>
        </w:rPr>
        <w:t>3</w:t>
      </w:r>
      <w:r w:rsidRPr="001E69D0">
        <w:rPr>
          <w:rFonts w:eastAsia="Times New Roman"/>
          <w:b/>
          <w:bCs/>
          <w:noProof/>
          <w:color w:val="000000"/>
          <w:sz w:val="22"/>
          <w:szCs w:val="20"/>
        </w:rPr>
        <w:fldChar w:fldCharType="end"/>
      </w:r>
    </w:p>
    <w:p w14:paraId="52D621C0" w14:textId="6508E17D" w:rsidR="001E69D0" w:rsidRPr="001E69D0" w:rsidRDefault="001E69D0" w:rsidP="001E69D0">
      <w:pPr>
        <w:tabs>
          <w:tab w:val="left" w:pos="1440"/>
          <w:tab w:val="right" w:leader="dot" w:pos="9016"/>
        </w:tabs>
        <w:spacing w:before="120" w:after="60" w:line="240" w:lineRule="auto"/>
        <w:ind w:left="1440" w:right="720" w:hanging="720"/>
        <w:jc w:val="left"/>
        <w:rPr>
          <w:rFonts w:eastAsia="MS Mincho"/>
          <w:noProof/>
          <w:sz w:val="22"/>
          <w:szCs w:val="22"/>
          <w:lang w:eastAsia="en-AU"/>
        </w:rPr>
      </w:pPr>
      <w:r w:rsidRPr="001E69D0">
        <w:rPr>
          <w:rFonts w:eastAsia="Times New Roman"/>
          <w:noProof/>
          <w:color w:val="000000"/>
          <w:sz w:val="22"/>
          <w:szCs w:val="20"/>
        </w:rPr>
        <w:t>The review</w:t>
      </w:r>
      <w:r w:rsidRPr="001E69D0">
        <w:rPr>
          <w:rFonts w:eastAsia="Times New Roman"/>
          <w:noProof/>
          <w:color w:val="000000"/>
          <w:sz w:val="22"/>
          <w:szCs w:val="20"/>
        </w:rPr>
        <w:tab/>
      </w:r>
      <w:r w:rsidRPr="001E69D0">
        <w:rPr>
          <w:rFonts w:eastAsia="Times New Roman"/>
          <w:noProof/>
          <w:color w:val="000000"/>
          <w:sz w:val="22"/>
          <w:szCs w:val="20"/>
        </w:rPr>
        <w:fldChar w:fldCharType="begin"/>
      </w:r>
      <w:r w:rsidRPr="001E69D0">
        <w:rPr>
          <w:rFonts w:eastAsia="Times New Roman"/>
          <w:noProof/>
          <w:color w:val="000000"/>
          <w:sz w:val="22"/>
          <w:szCs w:val="20"/>
        </w:rPr>
        <w:instrText xml:space="preserve"> PAGEREF _Toc121231588 \h </w:instrText>
      </w:r>
      <w:r w:rsidRPr="001E69D0">
        <w:rPr>
          <w:rFonts w:eastAsia="Times New Roman"/>
          <w:noProof/>
          <w:color w:val="000000"/>
          <w:sz w:val="22"/>
          <w:szCs w:val="20"/>
        </w:rPr>
      </w:r>
      <w:r w:rsidRPr="001E69D0">
        <w:rPr>
          <w:rFonts w:eastAsia="Times New Roman"/>
          <w:noProof/>
          <w:color w:val="000000"/>
          <w:sz w:val="22"/>
          <w:szCs w:val="20"/>
        </w:rPr>
        <w:fldChar w:fldCharType="separate"/>
      </w:r>
      <w:r w:rsidR="002178D6">
        <w:rPr>
          <w:rFonts w:eastAsia="Times New Roman"/>
          <w:noProof/>
          <w:color w:val="000000"/>
          <w:sz w:val="22"/>
          <w:szCs w:val="20"/>
        </w:rPr>
        <w:t>3</w:t>
      </w:r>
      <w:r w:rsidRPr="001E69D0">
        <w:rPr>
          <w:rFonts w:eastAsia="Times New Roman"/>
          <w:noProof/>
          <w:color w:val="000000"/>
          <w:sz w:val="22"/>
          <w:szCs w:val="20"/>
        </w:rPr>
        <w:fldChar w:fldCharType="end"/>
      </w:r>
    </w:p>
    <w:p w14:paraId="7BD9A7E6" w14:textId="6C607242" w:rsidR="001E69D0" w:rsidRPr="001E69D0" w:rsidRDefault="001E69D0" w:rsidP="001E69D0">
      <w:pPr>
        <w:tabs>
          <w:tab w:val="left" w:pos="1440"/>
          <w:tab w:val="right" w:leader="dot" w:pos="9016"/>
        </w:tabs>
        <w:spacing w:before="120" w:after="60" w:line="240" w:lineRule="auto"/>
        <w:ind w:left="1440" w:right="720" w:hanging="720"/>
        <w:jc w:val="left"/>
        <w:rPr>
          <w:rFonts w:eastAsia="MS Mincho"/>
          <w:noProof/>
          <w:sz w:val="22"/>
          <w:szCs w:val="22"/>
          <w:lang w:eastAsia="en-AU"/>
        </w:rPr>
      </w:pPr>
      <w:r w:rsidRPr="001E69D0">
        <w:rPr>
          <w:rFonts w:eastAsia="Times New Roman"/>
          <w:noProof/>
          <w:color w:val="000000"/>
          <w:sz w:val="22"/>
          <w:szCs w:val="20"/>
        </w:rPr>
        <w:t>The focus groups and interviews</w:t>
      </w:r>
      <w:r w:rsidRPr="001E69D0">
        <w:rPr>
          <w:rFonts w:eastAsia="Times New Roman"/>
          <w:noProof/>
          <w:color w:val="000000"/>
          <w:sz w:val="22"/>
          <w:szCs w:val="20"/>
        </w:rPr>
        <w:tab/>
      </w:r>
      <w:r w:rsidRPr="001E69D0">
        <w:rPr>
          <w:rFonts w:eastAsia="Times New Roman"/>
          <w:noProof/>
          <w:color w:val="000000"/>
          <w:sz w:val="22"/>
          <w:szCs w:val="20"/>
        </w:rPr>
        <w:fldChar w:fldCharType="begin"/>
      </w:r>
      <w:r w:rsidRPr="001E69D0">
        <w:rPr>
          <w:rFonts w:eastAsia="Times New Roman"/>
          <w:noProof/>
          <w:color w:val="000000"/>
          <w:sz w:val="22"/>
          <w:szCs w:val="20"/>
        </w:rPr>
        <w:instrText xml:space="preserve"> PAGEREF _Toc121231589 \h </w:instrText>
      </w:r>
      <w:r w:rsidRPr="001E69D0">
        <w:rPr>
          <w:rFonts w:eastAsia="Times New Roman"/>
          <w:noProof/>
          <w:color w:val="000000"/>
          <w:sz w:val="22"/>
          <w:szCs w:val="20"/>
        </w:rPr>
      </w:r>
      <w:r w:rsidRPr="001E69D0">
        <w:rPr>
          <w:rFonts w:eastAsia="Times New Roman"/>
          <w:noProof/>
          <w:color w:val="000000"/>
          <w:sz w:val="22"/>
          <w:szCs w:val="20"/>
        </w:rPr>
        <w:fldChar w:fldCharType="separate"/>
      </w:r>
      <w:r w:rsidR="002178D6">
        <w:rPr>
          <w:rFonts w:eastAsia="Times New Roman"/>
          <w:noProof/>
          <w:color w:val="000000"/>
          <w:sz w:val="22"/>
          <w:szCs w:val="20"/>
        </w:rPr>
        <w:t>3</w:t>
      </w:r>
      <w:r w:rsidRPr="001E69D0">
        <w:rPr>
          <w:rFonts w:eastAsia="Times New Roman"/>
          <w:noProof/>
          <w:color w:val="000000"/>
          <w:sz w:val="22"/>
          <w:szCs w:val="20"/>
        </w:rPr>
        <w:fldChar w:fldCharType="end"/>
      </w:r>
    </w:p>
    <w:p w14:paraId="680B2AFF" w14:textId="2DF87C4F" w:rsidR="001E69D0" w:rsidRPr="001E69D0" w:rsidRDefault="001E69D0" w:rsidP="001E69D0">
      <w:pPr>
        <w:tabs>
          <w:tab w:val="left" w:pos="1440"/>
          <w:tab w:val="right" w:leader="dot" w:pos="9016"/>
        </w:tabs>
        <w:spacing w:before="120" w:after="60" w:line="240" w:lineRule="auto"/>
        <w:ind w:left="1440" w:right="720" w:hanging="720"/>
        <w:jc w:val="left"/>
        <w:rPr>
          <w:rFonts w:eastAsia="MS Mincho"/>
          <w:noProof/>
          <w:sz w:val="22"/>
          <w:szCs w:val="22"/>
          <w:lang w:eastAsia="en-AU"/>
        </w:rPr>
      </w:pPr>
      <w:r w:rsidRPr="001E69D0">
        <w:rPr>
          <w:rFonts w:eastAsia="Times New Roman"/>
          <w:noProof/>
          <w:color w:val="000000"/>
          <w:sz w:val="22"/>
          <w:szCs w:val="20"/>
        </w:rPr>
        <w:t>The report</w:t>
      </w:r>
      <w:r w:rsidRPr="001E69D0">
        <w:rPr>
          <w:rFonts w:eastAsia="Times New Roman"/>
          <w:noProof/>
          <w:color w:val="000000"/>
          <w:sz w:val="22"/>
          <w:szCs w:val="20"/>
        </w:rPr>
        <w:tab/>
      </w:r>
      <w:r w:rsidRPr="001E69D0">
        <w:rPr>
          <w:rFonts w:eastAsia="Times New Roman"/>
          <w:noProof/>
          <w:color w:val="000000"/>
          <w:sz w:val="22"/>
          <w:szCs w:val="20"/>
        </w:rPr>
        <w:fldChar w:fldCharType="begin"/>
      </w:r>
      <w:r w:rsidRPr="001E69D0">
        <w:rPr>
          <w:rFonts w:eastAsia="Times New Roman"/>
          <w:noProof/>
          <w:color w:val="000000"/>
          <w:sz w:val="22"/>
          <w:szCs w:val="20"/>
        </w:rPr>
        <w:instrText xml:space="preserve"> PAGEREF _Toc121231590 \h </w:instrText>
      </w:r>
      <w:r w:rsidRPr="001E69D0">
        <w:rPr>
          <w:rFonts w:eastAsia="Times New Roman"/>
          <w:noProof/>
          <w:color w:val="000000"/>
          <w:sz w:val="22"/>
          <w:szCs w:val="20"/>
        </w:rPr>
      </w:r>
      <w:r w:rsidRPr="001E69D0">
        <w:rPr>
          <w:rFonts w:eastAsia="Times New Roman"/>
          <w:noProof/>
          <w:color w:val="000000"/>
          <w:sz w:val="22"/>
          <w:szCs w:val="20"/>
        </w:rPr>
        <w:fldChar w:fldCharType="separate"/>
      </w:r>
      <w:r w:rsidR="002178D6">
        <w:rPr>
          <w:rFonts w:eastAsia="Times New Roman"/>
          <w:noProof/>
          <w:color w:val="000000"/>
          <w:sz w:val="22"/>
          <w:szCs w:val="20"/>
        </w:rPr>
        <w:t>4</w:t>
      </w:r>
      <w:r w:rsidRPr="001E69D0">
        <w:rPr>
          <w:rFonts w:eastAsia="Times New Roman"/>
          <w:noProof/>
          <w:color w:val="000000"/>
          <w:sz w:val="22"/>
          <w:szCs w:val="20"/>
        </w:rPr>
        <w:fldChar w:fldCharType="end"/>
      </w:r>
    </w:p>
    <w:p w14:paraId="0F7D7000" w14:textId="2C63315E" w:rsidR="001E69D0" w:rsidRPr="001E69D0" w:rsidRDefault="001E69D0" w:rsidP="001E69D0">
      <w:pPr>
        <w:tabs>
          <w:tab w:val="left" w:pos="2160"/>
          <w:tab w:val="right" w:leader="dot" w:pos="9016"/>
        </w:tabs>
        <w:spacing w:after="20" w:line="240" w:lineRule="auto"/>
        <w:ind w:left="2160" w:right="720" w:hanging="720"/>
        <w:jc w:val="left"/>
        <w:rPr>
          <w:rFonts w:eastAsia="MS Mincho"/>
          <w:noProof/>
          <w:sz w:val="22"/>
          <w:szCs w:val="22"/>
          <w:lang w:eastAsia="en-AU"/>
        </w:rPr>
      </w:pPr>
      <w:r w:rsidRPr="001E69D0">
        <w:rPr>
          <w:rFonts w:eastAsia="Times New Roman"/>
          <w:noProof/>
          <w:color w:val="000000"/>
          <w:sz w:val="22"/>
          <w:szCs w:val="20"/>
        </w:rPr>
        <w:t>Constraints</w:t>
      </w:r>
      <w:r w:rsidRPr="001E69D0">
        <w:rPr>
          <w:rFonts w:eastAsia="Times New Roman"/>
          <w:noProof/>
          <w:color w:val="000000"/>
          <w:sz w:val="22"/>
          <w:szCs w:val="20"/>
        </w:rPr>
        <w:tab/>
      </w:r>
      <w:r w:rsidRPr="001E69D0">
        <w:rPr>
          <w:rFonts w:eastAsia="Times New Roman"/>
          <w:noProof/>
          <w:color w:val="000000"/>
          <w:sz w:val="22"/>
          <w:szCs w:val="20"/>
        </w:rPr>
        <w:fldChar w:fldCharType="begin"/>
      </w:r>
      <w:r w:rsidRPr="001E69D0">
        <w:rPr>
          <w:rFonts w:eastAsia="Times New Roman"/>
          <w:noProof/>
          <w:color w:val="000000"/>
          <w:sz w:val="22"/>
          <w:szCs w:val="20"/>
        </w:rPr>
        <w:instrText xml:space="preserve"> PAGEREF _Toc121231591 \h </w:instrText>
      </w:r>
      <w:r w:rsidRPr="001E69D0">
        <w:rPr>
          <w:rFonts w:eastAsia="Times New Roman"/>
          <w:noProof/>
          <w:color w:val="000000"/>
          <w:sz w:val="22"/>
          <w:szCs w:val="20"/>
        </w:rPr>
      </w:r>
      <w:r w:rsidRPr="001E69D0">
        <w:rPr>
          <w:rFonts w:eastAsia="Times New Roman"/>
          <w:noProof/>
          <w:color w:val="000000"/>
          <w:sz w:val="22"/>
          <w:szCs w:val="20"/>
        </w:rPr>
        <w:fldChar w:fldCharType="separate"/>
      </w:r>
      <w:r w:rsidR="002178D6">
        <w:rPr>
          <w:rFonts w:eastAsia="Times New Roman"/>
          <w:noProof/>
          <w:color w:val="000000"/>
          <w:sz w:val="22"/>
          <w:szCs w:val="20"/>
        </w:rPr>
        <w:t>4</w:t>
      </w:r>
      <w:r w:rsidRPr="001E69D0">
        <w:rPr>
          <w:rFonts w:eastAsia="Times New Roman"/>
          <w:noProof/>
          <w:color w:val="000000"/>
          <w:sz w:val="22"/>
          <w:szCs w:val="20"/>
        </w:rPr>
        <w:fldChar w:fldCharType="end"/>
      </w:r>
    </w:p>
    <w:p w14:paraId="5A3E7109" w14:textId="15424194" w:rsidR="001E69D0" w:rsidRPr="001E69D0" w:rsidRDefault="001E69D0" w:rsidP="001E69D0">
      <w:pPr>
        <w:tabs>
          <w:tab w:val="left" w:pos="720"/>
          <w:tab w:val="right" w:leader="dot" w:pos="9016"/>
        </w:tabs>
        <w:spacing w:before="360" w:after="60" w:line="240" w:lineRule="auto"/>
        <w:ind w:left="720" w:right="720" w:hanging="720"/>
        <w:jc w:val="left"/>
        <w:rPr>
          <w:rFonts w:eastAsia="MS Mincho"/>
          <w:noProof/>
          <w:sz w:val="22"/>
          <w:szCs w:val="22"/>
          <w:lang w:eastAsia="en-AU"/>
        </w:rPr>
      </w:pPr>
      <w:r w:rsidRPr="001E69D0">
        <w:rPr>
          <w:rFonts w:eastAsia="Times New Roman"/>
          <w:b/>
          <w:bCs/>
          <w:noProof/>
          <w:color w:val="000000"/>
          <w:sz w:val="22"/>
          <w:szCs w:val="20"/>
        </w:rPr>
        <w:t>Interview responses</w:t>
      </w:r>
      <w:r w:rsidRPr="001E69D0">
        <w:rPr>
          <w:rFonts w:eastAsia="Times New Roman"/>
          <w:b/>
          <w:bCs/>
          <w:noProof/>
          <w:color w:val="000000"/>
          <w:sz w:val="22"/>
          <w:szCs w:val="20"/>
        </w:rPr>
        <w:tab/>
      </w:r>
      <w:r w:rsidRPr="001E69D0">
        <w:rPr>
          <w:rFonts w:eastAsia="Times New Roman"/>
          <w:b/>
          <w:bCs/>
          <w:noProof/>
          <w:color w:val="000000"/>
          <w:sz w:val="22"/>
          <w:szCs w:val="20"/>
        </w:rPr>
        <w:fldChar w:fldCharType="begin"/>
      </w:r>
      <w:r w:rsidRPr="001E69D0">
        <w:rPr>
          <w:rFonts w:eastAsia="Times New Roman"/>
          <w:b/>
          <w:bCs/>
          <w:noProof/>
          <w:color w:val="000000"/>
          <w:sz w:val="22"/>
          <w:szCs w:val="20"/>
        </w:rPr>
        <w:instrText xml:space="preserve"> PAGEREF _Toc121231592 \h </w:instrText>
      </w:r>
      <w:r w:rsidRPr="001E69D0">
        <w:rPr>
          <w:rFonts w:eastAsia="Times New Roman"/>
          <w:b/>
          <w:bCs/>
          <w:noProof/>
          <w:color w:val="000000"/>
          <w:sz w:val="22"/>
          <w:szCs w:val="20"/>
        </w:rPr>
      </w:r>
      <w:r w:rsidRPr="001E69D0">
        <w:rPr>
          <w:rFonts w:eastAsia="Times New Roman"/>
          <w:b/>
          <w:bCs/>
          <w:noProof/>
          <w:color w:val="000000"/>
          <w:sz w:val="22"/>
          <w:szCs w:val="20"/>
        </w:rPr>
        <w:fldChar w:fldCharType="separate"/>
      </w:r>
      <w:r w:rsidR="002178D6">
        <w:rPr>
          <w:rFonts w:eastAsia="Times New Roman"/>
          <w:b/>
          <w:bCs/>
          <w:noProof/>
          <w:color w:val="000000"/>
          <w:sz w:val="22"/>
          <w:szCs w:val="20"/>
        </w:rPr>
        <w:t>5</w:t>
      </w:r>
      <w:r w:rsidRPr="001E69D0">
        <w:rPr>
          <w:rFonts w:eastAsia="Times New Roman"/>
          <w:b/>
          <w:bCs/>
          <w:noProof/>
          <w:color w:val="000000"/>
          <w:sz w:val="22"/>
          <w:szCs w:val="20"/>
        </w:rPr>
        <w:fldChar w:fldCharType="end"/>
      </w:r>
    </w:p>
    <w:p w14:paraId="28835996" w14:textId="41827BA8" w:rsidR="001E69D0" w:rsidRPr="001E69D0" w:rsidRDefault="001E69D0" w:rsidP="001E69D0">
      <w:pPr>
        <w:tabs>
          <w:tab w:val="left" w:pos="1440"/>
          <w:tab w:val="right" w:leader="dot" w:pos="9016"/>
        </w:tabs>
        <w:spacing w:before="120" w:after="60" w:line="240" w:lineRule="auto"/>
        <w:ind w:left="1440" w:right="720" w:hanging="720"/>
        <w:jc w:val="left"/>
        <w:rPr>
          <w:rFonts w:eastAsia="MS Mincho"/>
          <w:noProof/>
          <w:sz w:val="22"/>
          <w:szCs w:val="22"/>
          <w:lang w:eastAsia="en-AU"/>
        </w:rPr>
      </w:pPr>
      <w:r w:rsidRPr="001E69D0">
        <w:rPr>
          <w:rFonts w:eastAsia="Times New Roman"/>
          <w:noProof/>
          <w:color w:val="000000"/>
          <w:sz w:val="22"/>
          <w:szCs w:val="20"/>
        </w:rPr>
        <w:t>Overall perceptions of the program</w:t>
      </w:r>
      <w:r w:rsidRPr="001E69D0">
        <w:rPr>
          <w:rFonts w:eastAsia="Times New Roman"/>
          <w:noProof/>
          <w:color w:val="000000"/>
          <w:sz w:val="22"/>
          <w:szCs w:val="20"/>
        </w:rPr>
        <w:tab/>
      </w:r>
      <w:r w:rsidRPr="001E69D0">
        <w:rPr>
          <w:rFonts w:eastAsia="Times New Roman"/>
          <w:noProof/>
          <w:color w:val="000000"/>
          <w:sz w:val="22"/>
          <w:szCs w:val="20"/>
        </w:rPr>
        <w:fldChar w:fldCharType="begin"/>
      </w:r>
      <w:r w:rsidRPr="001E69D0">
        <w:rPr>
          <w:rFonts w:eastAsia="Times New Roman"/>
          <w:noProof/>
          <w:color w:val="000000"/>
          <w:sz w:val="22"/>
          <w:szCs w:val="20"/>
        </w:rPr>
        <w:instrText xml:space="preserve"> PAGEREF _Toc121231593 \h </w:instrText>
      </w:r>
      <w:r w:rsidRPr="001E69D0">
        <w:rPr>
          <w:rFonts w:eastAsia="Times New Roman"/>
          <w:noProof/>
          <w:color w:val="000000"/>
          <w:sz w:val="22"/>
          <w:szCs w:val="20"/>
        </w:rPr>
      </w:r>
      <w:r w:rsidRPr="001E69D0">
        <w:rPr>
          <w:rFonts w:eastAsia="Times New Roman"/>
          <w:noProof/>
          <w:color w:val="000000"/>
          <w:sz w:val="22"/>
          <w:szCs w:val="20"/>
        </w:rPr>
        <w:fldChar w:fldCharType="separate"/>
      </w:r>
      <w:r w:rsidR="002178D6">
        <w:rPr>
          <w:rFonts w:eastAsia="Times New Roman"/>
          <w:noProof/>
          <w:color w:val="000000"/>
          <w:sz w:val="22"/>
          <w:szCs w:val="20"/>
        </w:rPr>
        <w:t>5</w:t>
      </w:r>
      <w:r w:rsidRPr="001E69D0">
        <w:rPr>
          <w:rFonts w:eastAsia="Times New Roman"/>
          <w:noProof/>
          <w:color w:val="000000"/>
          <w:sz w:val="22"/>
          <w:szCs w:val="20"/>
        </w:rPr>
        <w:fldChar w:fldCharType="end"/>
      </w:r>
    </w:p>
    <w:p w14:paraId="521097DF" w14:textId="26017F3D" w:rsidR="001E69D0" w:rsidRPr="001E69D0" w:rsidRDefault="001E69D0" w:rsidP="001E69D0">
      <w:pPr>
        <w:tabs>
          <w:tab w:val="left" w:pos="2160"/>
          <w:tab w:val="right" w:leader="dot" w:pos="9016"/>
        </w:tabs>
        <w:spacing w:after="20" w:line="240" w:lineRule="auto"/>
        <w:ind w:left="2160" w:right="720" w:hanging="720"/>
        <w:jc w:val="left"/>
        <w:rPr>
          <w:rFonts w:eastAsia="MS Mincho"/>
          <w:noProof/>
          <w:sz w:val="22"/>
          <w:szCs w:val="22"/>
          <w:lang w:eastAsia="en-AU"/>
        </w:rPr>
      </w:pPr>
      <w:r w:rsidRPr="001E69D0">
        <w:rPr>
          <w:rFonts w:eastAsia="Times New Roman"/>
          <w:noProof/>
          <w:color w:val="000000"/>
          <w:sz w:val="22"/>
          <w:szCs w:val="20"/>
        </w:rPr>
        <w:t>What works well</w:t>
      </w:r>
      <w:r w:rsidRPr="001E69D0">
        <w:rPr>
          <w:rFonts w:eastAsia="Times New Roman"/>
          <w:noProof/>
          <w:color w:val="000000"/>
          <w:sz w:val="22"/>
          <w:szCs w:val="20"/>
        </w:rPr>
        <w:tab/>
      </w:r>
      <w:r w:rsidRPr="001E69D0">
        <w:rPr>
          <w:rFonts w:eastAsia="Times New Roman"/>
          <w:noProof/>
          <w:color w:val="000000"/>
          <w:sz w:val="22"/>
          <w:szCs w:val="20"/>
        </w:rPr>
        <w:fldChar w:fldCharType="begin"/>
      </w:r>
      <w:r w:rsidRPr="001E69D0">
        <w:rPr>
          <w:rFonts w:eastAsia="Times New Roman"/>
          <w:noProof/>
          <w:color w:val="000000"/>
          <w:sz w:val="22"/>
          <w:szCs w:val="20"/>
        </w:rPr>
        <w:instrText xml:space="preserve"> PAGEREF _Toc121231594 \h </w:instrText>
      </w:r>
      <w:r w:rsidRPr="001E69D0">
        <w:rPr>
          <w:rFonts w:eastAsia="Times New Roman"/>
          <w:noProof/>
          <w:color w:val="000000"/>
          <w:sz w:val="22"/>
          <w:szCs w:val="20"/>
        </w:rPr>
      </w:r>
      <w:r w:rsidRPr="001E69D0">
        <w:rPr>
          <w:rFonts w:eastAsia="Times New Roman"/>
          <w:noProof/>
          <w:color w:val="000000"/>
          <w:sz w:val="22"/>
          <w:szCs w:val="20"/>
        </w:rPr>
        <w:fldChar w:fldCharType="separate"/>
      </w:r>
      <w:r w:rsidR="002178D6">
        <w:rPr>
          <w:rFonts w:eastAsia="Times New Roman"/>
          <w:noProof/>
          <w:color w:val="000000"/>
          <w:sz w:val="22"/>
          <w:szCs w:val="20"/>
        </w:rPr>
        <w:t>5</w:t>
      </w:r>
      <w:r w:rsidRPr="001E69D0">
        <w:rPr>
          <w:rFonts w:eastAsia="Times New Roman"/>
          <w:noProof/>
          <w:color w:val="000000"/>
          <w:sz w:val="22"/>
          <w:szCs w:val="20"/>
        </w:rPr>
        <w:fldChar w:fldCharType="end"/>
      </w:r>
    </w:p>
    <w:p w14:paraId="619F31AF" w14:textId="64863E85" w:rsidR="001E69D0" w:rsidRPr="001E69D0" w:rsidRDefault="001E69D0" w:rsidP="001E69D0">
      <w:pPr>
        <w:tabs>
          <w:tab w:val="left" w:pos="2160"/>
          <w:tab w:val="right" w:leader="dot" w:pos="9016"/>
        </w:tabs>
        <w:spacing w:after="20" w:line="240" w:lineRule="auto"/>
        <w:ind w:left="2160" w:right="720" w:hanging="720"/>
        <w:jc w:val="left"/>
        <w:rPr>
          <w:rFonts w:eastAsia="MS Mincho"/>
          <w:noProof/>
          <w:sz w:val="22"/>
          <w:szCs w:val="22"/>
          <w:lang w:eastAsia="en-AU"/>
        </w:rPr>
      </w:pPr>
      <w:r w:rsidRPr="001E69D0">
        <w:rPr>
          <w:rFonts w:eastAsia="Times New Roman"/>
          <w:noProof/>
          <w:color w:val="000000"/>
          <w:sz w:val="22"/>
          <w:szCs w:val="20"/>
        </w:rPr>
        <w:t>What does not work well</w:t>
      </w:r>
      <w:r w:rsidRPr="001E69D0">
        <w:rPr>
          <w:rFonts w:eastAsia="Times New Roman"/>
          <w:noProof/>
          <w:color w:val="000000"/>
          <w:sz w:val="22"/>
          <w:szCs w:val="20"/>
        </w:rPr>
        <w:tab/>
      </w:r>
      <w:r w:rsidRPr="001E69D0">
        <w:rPr>
          <w:rFonts w:eastAsia="Times New Roman"/>
          <w:noProof/>
          <w:color w:val="000000"/>
          <w:sz w:val="22"/>
          <w:szCs w:val="20"/>
        </w:rPr>
        <w:fldChar w:fldCharType="begin"/>
      </w:r>
      <w:r w:rsidRPr="001E69D0">
        <w:rPr>
          <w:rFonts w:eastAsia="Times New Roman"/>
          <w:noProof/>
          <w:color w:val="000000"/>
          <w:sz w:val="22"/>
          <w:szCs w:val="20"/>
        </w:rPr>
        <w:instrText xml:space="preserve"> PAGEREF _Toc121231595 \h </w:instrText>
      </w:r>
      <w:r w:rsidRPr="001E69D0">
        <w:rPr>
          <w:rFonts w:eastAsia="Times New Roman"/>
          <w:noProof/>
          <w:color w:val="000000"/>
          <w:sz w:val="22"/>
          <w:szCs w:val="20"/>
        </w:rPr>
      </w:r>
      <w:r w:rsidRPr="001E69D0">
        <w:rPr>
          <w:rFonts w:eastAsia="Times New Roman"/>
          <w:noProof/>
          <w:color w:val="000000"/>
          <w:sz w:val="22"/>
          <w:szCs w:val="20"/>
        </w:rPr>
        <w:fldChar w:fldCharType="separate"/>
      </w:r>
      <w:r w:rsidR="002178D6">
        <w:rPr>
          <w:rFonts w:eastAsia="Times New Roman"/>
          <w:noProof/>
          <w:color w:val="000000"/>
          <w:sz w:val="22"/>
          <w:szCs w:val="20"/>
        </w:rPr>
        <w:t>5</w:t>
      </w:r>
      <w:r w:rsidRPr="001E69D0">
        <w:rPr>
          <w:rFonts w:eastAsia="Times New Roman"/>
          <w:noProof/>
          <w:color w:val="000000"/>
          <w:sz w:val="22"/>
          <w:szCs w:val="20"/>
        </w:rPr>
        <w:fldChar w:fldCharType="end"/>
      </w:r>
    </w:p>
    <w:p w14:paraId="3341E117" w14:textId="2310F594" w:rsidR="001E69D0" w:rsidRPr="001E69D0" w:rsidRDefault="001E69D0" w:rsidP="001E69D0">
      <w:pPr>
        <w:tabs>
          <w:tab w:val="left" w:pos="1440"/>
          <w:tab w:val="right" w:leader="dot" w:pos="9016"/>
        </w:tabs>
        <w:spacing w:before="120" w:after="60" w:line="240" w:lineRule="auto"/>
        <w:ind w:left="1440" w:right="720" w:hanging="720"/>
        <w:jc w:val="left"/>
        <w:rPr>
          <w:rFonts w:eastAsia="MS Mincho"/>
          <w:noProof/>
          <w:sz w:val="22"/>
          <w:szCs w:val="22"/>
          <w:lang w:eastAsia="en-AU"/>
        </w:rPr>
      </w:pPr>
      <w:r w:rsidRPr="001E69D0">
        <w:rPr>
          <w:rFonts w:eastAsia="Times New Roman"/>
          <w:noProof/>
          <w:color w:val="000000"/>
          <w:sz w:val="22"/>
          <w:szCs w:val="20"/>
        </w:rPr>
        <w:t>Treatment access</w:t>
      </w:r>
      <w:r w:rsidRPr="001E69D0">
        <w:rPr>
          <w:rFonts w:eastAsia="Times New Roman"/>
          <w:noProof/>
          <w:color w:val="000000"/>
          <w:sz w:val="22"/>
          <w:szCs w:val="20"/>
        </w:rPr>
        <w:tab/>
      </w:r>
      <w:r w:rsidRPr="001E69D0">
        <w:rPr>
          <w:rFonts w:eastAsia="Times New Roman"/>
          <w:noProof/>
          <w:color w:val="000000"/>
          <w:sz w:val="22"/>
          <w:szCs w:val="20"/>
        </w:rPr>
        <w:fldChar w:fldCharType="begin"/>
      </w:r>
      <w:r w:rsidRPr="001E69D0">
        <w:rPr>
          <w:rFonts w:eastAsia="Times New Roman"/>
          <w:noProof/>
          <w:color w:val="000000"/>
          <w:sz w:val="22"/>
          <w:szCs w:val="20"/>
        </w:rPr>
        <w:instrText xml:space="preserve"> PAGEREF _Toc121231596 \h </w:instrText>
      </w:r>
      <w:r w:rsidRPr="001E69D0">
        <w:rPr>
          <w:rFonts w:eastAsia="Times New Roman"/>
          <w:noProof/>
          <w:color w:val="000000"/>
          <w:sz w:val="22"/>
          <w:szCs w:val="20"/>
        </w:rPr>
      </w:r>
      <w:r w:rsidRPr="001E69D0">
        <w:rPr>
          <w:rFonts w:eastAsia="Times New Roman"/>
          <w:noProof/>
          <w:color w:val="000000"/>
          <w:sz w:val="22"/>
          <w:szCs w:val="20"/>
        </w:rPr>
        <w:fldChar w:fldCharType="separate"/>
      </w:r>
      <w:r w:rsidR="002178D6">
        <w:rPr>
          <w:rFonts w:eastAsia="Times New Roman"/>
          <w:noProof/>
          <w:color w:val="000000"/>
          <w:sz w:val="22"/>
          <w:szCs w:val="20"/>
        </w:rPr>
        <w:t>6</w:t>
      </w:r>
      <w:r w:rsidRPr="001E69D0">
        <w:rPr>
          <w:rFonts w:eastAsia="Times New Roman"/>
          <w:noProof/>
          <w:color w:val="000000"/>
          <w:sz w:val="22"/>
          <w:szCs w:val="20"/>
        </w:rPr>
        <w:fldChar w:fldCharType="end"/>
      </w:r>
    </w:p>
    <w:p w14:paraId="0164F305" w14:textId="7FC8CE9E" w:rsidR="001E69D0" w:rsidRPr="001E69D0" w:rsidRDefault="001E69D0" w:rsidP="001E69D0">
      <w:pPr>
        <w:tabs>
          <w:tab w:val="left" w:pos="2160"/>
          <w:tab w:val="right" w:leader="dot" w:pos="9016"/>
        </w:tabs>
        <w:spacing w:after="20" w:line="240" w:lineRule="auto"/>
        <w:ind w:left="2160" w:right="720" w:hanging="720"/>
        <w:jc w:val="left"/>
        <w:rPr>
          <w:rFonts w:eastAsia="MS Mincho"/>
          <w:noProof/>
          <w:sz w:val="22"/>
          <w:szCs w:val="22"/>
          <w:lang w:eastAsia="en-AU"/>
        </w:rPr>
      </w:pPr>
      <w:r w:rsidRPr="001E69D0">
        <w:rPr>
          <w:rFonts w:eastAsia="Times New Roman"/>
          <w:noProof/>
          <w:color w:val="000000"/>
          <w:sz w:val="22"/>
          <w:szCs w:val="20"/>
        </w:rPr>
        <w:t>Availability of prescribers and dispensers</w:t>
      </w:r>
      <w:r w:rsidRPr="001E69D0">
        <w:rPr>
          <w:rFonts w:eastAsia="Times New Roman"/>
          <w:noProof/>
          <w:color w:val="000000"/>
          <w:sz w:val="22"/>
          <w:szCs w:val="20"/>
        </w:rPr>
        <w:tab/>
      </w:r>
      <w:r w:rsidRPr="001E69D0">
        <w:rPr>
          <w:rFonts w:eastAsia="Times New Roman"/>
          <w:noProof/>
          <w:color w:val="000000"/>
          <w:sz w:val="22"/>
          <w:szCs w:val="20"/>
        </w:rPr>
        <w:fldChar w:fldCharType="begin"/>
      </w:r>
      <w:r w:rsidRPr="001E69D0">
        <w:rPr>
          <w:rFonts w:eastAsia="Times New Roman"/>
          <w:noProof/>
          <w:color w:val="000000"/>
          <w:sz w:val="22"/>
          <w:szCs w:val="20"/>
        </w:rPr>
        <w:instrText xml:space="preserve"> PAGEREF _Toc121231597 \h </w:instrText>
      </w:r>
      <w:r w:rsidRPr="001E69D0">
        <w:rPr>
          <w:rFonts w:eastAsia="Times New Roman"/>
          <w:noProof/>
          <w:color w:val="000000"/>
          <w:sz w:val="22"/>
          <w:szCs w:val="20"/>
        </w:rPr>
      </w:r>
      <w:r w:rsidRPr="001E69D0">
        <w:rPr>
          <w:rFonts w:eastAsia="Times New Roman"/>
          <w:noProof/>
          <w:color w:val="000000"/>
          <w:sz w:val="22"/>
          <w:szCs w:val="20"/>
        </w:rPr>
        <w:fldChar w:fldCharType="separate"/>
      </w:r>
      <w:r w:rsidR="002178D6">
        <w:rPr>
          <w:rFonts w:eastAsia="Times New Roman"/>
          <w:noProof/>
          <w:color w:val="000000"/>
          <w:sz w:val="22"/>
          <w:szCs w:val="20"/>
        </w:rPr>
        <w:t>6</w:t>
      </w:r>
      <w:r w:rsidRPr="001E69D0">
        <w:rPr>
          <w:rFonts w:eastAsia="Times New Roman"/>
          <w:noProof/>
          <w:color w:val="000000"/>
          <w:sz w:val="22"/>
          <w:szCs w:val="20"/>
        </w:rPr>
        <w:fldChar w:fldCharType="end"/>
      </w:r>
    </w:p>
    <w:p w14:paraId="18CBBB1E" w14:textId="3090F4EF" w:rsidR="001E69D0" w:rsidRPr="001E69D0" w:rsidRDefault="001E69D0" w:rsidP="001E69D0">
      <w:pPr>
        <w:tabs>
          <w:tab w:val="left" w:pos="2160"/>
          <w:tab w:val="right" w:leader="dot" w:pos="9016"/>
        </w:tabs>
        <w:spacing w:after="20" w:line="240" w:lineRule="auto"/>
        <w:ind w:left="2160" w:right="720" w:hanging="720"/>
        <w:jc w:val="left"/>
        <w:rPr>
          <w:rFonts w:eastAsia="MS Mincho"/>
          <w:noProof/>
          <w:sz w:val="22"/>
          <w:szCs w:val="22"/>
          <w:lang w:eastAsia="en-AU"/>
        </w:rPr>
      </w:pPr>
      <w:r w:rsidRPr="001E69D0">
        <w:rPr>
          <w:rFonts w:eastAsia="Times New Roman"/>
          <w:noProof/>
          <w:color w:val="000000"/>
          <w:sz w:val="22"/>
          <w:szCs w:val="20"/>
        </w:rPr>
        <w:t>Opening hours</w:t>
      </w:r>
      <w:r w:rsidRPr="001E69D0">
        <w:rPr>
          <w:rFonts w:eastAsia="Times New Roman"/>
          <w:noProof/>
          <w:color w:val="000000"/>
          <w:sz w:val="22"/>
          <w:szCs w:val="20"/>
        </w:rPr>
        <w:tab/>
      </w:r>
      <w:r w:rsidRPr="001E69D0">
        <w:rPr>
          <w:rFonts w:eastAsia="Times New Roman"/>
          <w:noProof/>
          <w:color w:val="000000"/>
          <w:sz w:val="22"/>
          <w:szCs w:val="20"/>
        </w:rPr>
        <w:fldChar w:fldCharType="begin"/>
      </w:r>
      <w:r w:rsidRPr="001E69D0">
        <w:rPr>
          <w:rFonts w:eastAsia="Times New Roman"/>
          <w:noProof/>
          <w:color w:val="000000"/>
          <w:sz w:val="22"/>
          <w:szCs w:val="20"/>
        </w:rPr>
        <w:instrText xml:space="preserve"> PAGEREF _Toc121231598 \h </w:instrText>
      </w:r>
      <w:r w:rsidRPr="001E69D0">
        <w:rPr>
          <w:rFonts w:eastAsia="Times New Roman"/>
          <w:noProof/>
          <w:color w:val="000000"/>
          <w:sz w:val="22"/>
          <w:szCs w:val="20"/>
        </w:rPr>
      </w:r>
      <w:r w:rsidRPr="001E69D0">
        <w:rPr>
          <w:rFonts w:eastAsia="Times New Roman"/>
          <w:noProof/>
          <w:color w:val="000000"/>
          <w:sz w:val="22"/>
          <w:szCs w:val="20"/>
        </w:rPr>
        <w:fldChar w:fldCharType="separate"/>
      </w:r>
      <w:r w:rsidR="002178D6">
        <w:rPr>
          <w:rFonts w:eastAsia="Times New Roman"/>
          <w:noProof/>
          <w:color w:val="000000"/>
          <w:sz w:val="22"/>
          <w:szCs w:val="20"/>
        </w:rPr>
        <w:t>7</w:t>
      </w:r>
      <w:r w:rsidRPr="001E69D0">
        <w:rPr>
          <w:rFonts w:eastAsia="Times New Roman"/>
          <w:noProof/>
          <w:color w:val="000000"/>
          <w:sz w:val="22"/>
          <w:szCs w:val="20"/>
        </w:rPr>
        <w:fldChar w:fldCharType="end"/>
      </w:r>
    </w:p>
    <w:p w14:paraId="5AD63F7F" w14:textId="656E53AA" w:rsidR="001E69D0" w:rsidRPr="001E69D0" w:rsidRDefault="001E69D0" w:rsidP="001E69D0">
      <w:pPr>
        <w:tabs>
          <w:tab w:val="left" w:pos="2160"/>
          <w:tab w:val="right" w:leader="dot" w:pos="9016"/>
        </w:tabs>
        <w:spacing w:after="20" w:line="240" w:lineRule="auto"/>
        <w:ind w:left="2160" w:right="720" w:hanging="720"/>
        <w:jc w:val="left"/>
        <w:rPr>
          <w:rFonts w:eastAsia="MS Mincho"/>
          <w:noProof/>
          <w:sz w:val="22"/>
          <w:szCs w:val="22"/>
          <w:lang w:eastAsia="en-AU"/>
        </w:rPr>
      </w:pPr>
      <w:r w:rsidRPr="001E69D0">
        <w:rPr>
          <w:rFonts w:eastAsia="Times New Roman"/>
          <w:noProof/>
          <w:color w:val="000000"/>
          <w:sz w:val="22"/>
          <w:szCs w:val="20"/>
        </w:rPr>
        <w:t>Eligibility limitations</w:t>
      </w:r>
      <w:r w:rsidRPr="001E69D0">
        <w:rPr>
          <w:rFonts w:eastAsia="Times New Roman"/>
          <w:noProof/>
          <w:color w:val="000000"/>
          <w:sz w:val="22"/>
          <w:szCs w:val="20"/>
        </w:rPr>
        <w:tab/>
      </w:r>
      <w:r w:rsidRPr="001E69D0">
        <w:rPr>
          <w:rFonts w:eastAsia="Times New Roman"/>
          <w:noProof/>
          <w:color w:val="000000"/>
          <w:sz w:val="22"/>
          <w:szCs w:val="20"/>
        </w:rPr>
        <w:fldChar w:fldCharType="begin"/>
      </w:r>
      <w:r w:rsidRPr="001E69D0">
        <w:rPr>
          <w:rFonts w:eastAsia="Times New Roman"/>
          <w:noProof/>
          <w:color w:val="000000"/>
          <w:sz w:val="22"/>
          <w:szCs w:val="20"/>
        </w:rPr>
        <w:instrText xml:space="preserve"> PAGEREF _Toc121231599 \h </w:instrText>
      </w:r>
      <w:r w:rsidRPr="001E69D0">
        <w:rPr>
          <w:rFonts w:eastAsia="Times New Roman"/>
          <w:noProof/>
          <w:color w:val="000000"/>
          <w:sz w:val="22"/>
          <w:szCs w:val="20"/>
        </w:rPr>
      </w:r>
      <w:r w:rsidRPr="001E69D0">
        <w:rPr>
          <w:rFonts w:eastAsia="Times New Roman"/>
          <w:noProof/>
          <w:color w:val="000000"/>
          <w:sz w:val="22"/>
          <w:szCs w:val="20"/>
        </w:rPr>
        <w:fldChar w:fldCharType="separate"/>
      </w:r>
      <w:r w:rsidR="002178D6">
        <w:rPr>
          <w:rFonts w:eastAsia="Times New Roman"/>
          <w:noProof/>
          <w:color w:val="000000"/>
          <w:sz w:val="22"/>
          <w:szCs w:val="20"/>
        </w:rPr>
        <w:t>8</w:t>
      </w:r>
      <w:r w:rsidRPr="001E69D0">
        <w:rPr>
          <w:rFonts w:eastAsia="Times New Roman"/>
          <w:noProof/>
          <w:color w:val="000000"/>
          <w:sz w:val="22"/>
          <w:szCs w:val="20"/>
        </w:rPr>
        <w:fldChar w:fldCharType="end"/>
      </w:r>
    </w:p>
    <w:p w14:paraId="684EC90F" w14:textId="2D0E6855" w:rsidR="001E69D0" w:rsidRPr="001E69D0" w:rsidRDefault="001E69D0" w:rsidP="001E69D0">
      <w:pPr>
        <w:tabs>
          <w:tab w:val="left" w:pos="2160"/>
          <w:tab w:val="right" w:leader="dot" w:pos="9016"/>
        </w:tabs>
        <w:spacing w:after="20" w:line="240" w:lineRule="auto"/>
        <w:ind w:left="2160" w:right="720" w:hanging="720"/>
        <w:jc w:val="left"/>
        <w:rPr>
          <w:rFonts w:eastAsia="MS Mincho"/>
          <w:noProof/>
          <w:sz w:val="22"/>
          <w:szCs w:val="22"/>
          <w:lang w:eastAsia="en-AU"/>
        </w:rPr>
      </w:pPr>
      <w:r w:rsidRPr="001E69D0">
        <w:rPr>
          <w:rFonts w:eastAsia="Times New Roman"/>
          <w:noProof/>
          <w:color w:val="000000"/>
          <w:sz w:val="22"/>
          <w:szCs w:val="20"/>
        </w:rPr>
        <w:t>Relationship with prescribers and dispensers</w:t>
      </w:r>
      <w:r w:rsidRPr="001E69D0">
        <w:rPr>
          <w:rFonts w:eastAsia="Times New Roman"/>
          <w:noProof/>
          <w:color w:val="000000"/>
          <w:sz w:val="22"/>
          <w:szCs w:val="20"/>
        </w:rPr>
        <w:tab/>
      </w:r>
      <w:r w:rsidRPr="001E69D0">
        <w:rPr>
          <w:rFonts w:eastAsia="Times New Roman"/>
          <w:noProof/>
          <w:color w:val="000000"/>
          <w:sz w:val="22"/>
          <w:szCs w:val="20"/>
        </w:rPr>
        <w:fldChar w:fldCharType="begin"/>
      </w:r>
      <w:r w:rsidRPr="001E69D0">
        <w:rPr>
          <w:rFonts w:eastAsia="Times New Roman"/>
          <w:noProof/>
          <w:color w:val="000000"/>
          <w:sz w:val="22"/>
          <w:szCs w:val="20"/>
        </w:rPr>
        <w:instrText xml:space="preserve"> PAGEREF _Toc121231600 \h </w:instrText>
      </w:r>
      <w:r w:rsidRPr="001E69D0">
        <w:rPr>
          <w:rFonts w:eastAsia="Times New Roman"/>
          <w:noProof/>
          <w:color w:val="000000"/>
          <w:sz w:val="22"/>
          <w:szCs w:val="20"/>
        </w:rPr>
      </w:r>
      <w:r w:rsidRPr="001E69D0">
        <w:rPr>
          <w:rFonts w:eastAsia="Times New Roman"/>
          <w:noProof/>
          <w:color w:val="000000"/>
          <w:sz w:val="22"/>
          <w:szCs w:val="20"/>
        </w:rPr>
        <w:fldChar w:fldCharType="separate"/>
      </w:r>
      <w:r w:rsidR="002178D6">
        <w:rPr>
          <w:rFonts w:eastAsia="Times New Roman"/>
          <w:noProof/>
          <w:color w:val="000000"/>
          <w:sz w:val="22"/>
          <w:szCs w:val="20"/>
        </w:rPr>
        <w:t>8</w:t>
      </w:r>
      <w:r w:rsidRPr="001E69D0">
        <w:rPr>
          <w:rFonts w:eastAsia="Times New Roman"/>
          <w:noProof/>
          <w:color w:val="000000"/>
          <w:sz w:val="22"/>
          <w:szCs w:val="20"/>
        </w:rPr>
        <w:fldChar w:fldCharType="end"/>
      </w:r>
    </w:p>
    <w:p w14:paraId="31842568" w14:textId="585FC694" w:rsidR="001E69D0" w:rsidRPr="001E69D0" w:rsidRDefault="001E69D0" w:rsidP="001E69D0">
      <w:pPr>
        <w:tabs>
          <w:tab w:val="left" w:pos="2160"/>
          <w:tab w:val="right" w:leader="dot" w:pos="9016"/>
        </w:tabs>
        <w:spacing w:after="20" w:line="240" w:lineRule="auto"/>
        <w:ind w:left="2160" w:right="720" w:hanging="720"/>
        <w:jc w:val="left"/>
        <w:rPr>
          <w:rFonts w:eastAsia="MS Mincho"/>
          <w:noProof/>
          <w:sz w:val="22"/>
          <w:szCs w:val="22"/>
          <w:lang w:eastAsia="en-AU"/>
        </w:rPr>
      </w:pPr>
      <w:r w:rsidRPr="001E69D0">
        <w:rPr>
          <w:rFonts w:eastAsia="Times New Roman"/>
          <w:noProof/>
          <w:color w:val="000000"/>
          <w:sz w:val="22"/>
          <w:szCs w:val="20"/>
        </w:rPr>
        <w:t>Impact of COVID-19</w:t>
      </w:r>
      <w:r w:rsidRPr="001E69D0">
        <w:rPr>
          <w:rFonts w:eastAsia="Times New Roman"/>
          <w:noProof/>
          <w:color w:val="000000"/>
          <w:sz w:val="22"/>
          <w:szCs w:val="20"/>
        </w:rPr>
        <w:tab/>
      </w:r>
      <w:r w:rsidRPr="001E69D0">
        <w:rPr>
          <w:rFonts w:eastAsia="Times New Roman"/>
          <w:noProof/>
          <w:color w:val="000000"/>
          <w:sz w:val="22"/>
          <w:szCs w:val="20"/>
        </w:rPr>
        <w:fldChar w:fldCharType="begin"/>
      </w:r>
      <w:r w:rsidRPr="001E69D0">
        <w:rPr>
          <w:rFonts w:eastAsia="Times New Roman"/>
          <w:noProof/>
          <w:color w:val="000000"/>
          <w:sz w:val="22"/>
          <w:szCs w:val="20"/>
        </w:rPr>
        <w:instrText xml:space="preserve"> PAGEREF _Toc121231601 \h </w:instrText>
      </w:r>
      <w:r w:rsidRPr="001E69D0">
        <w:rPr>
          <w:rFonts w:eastAsia="Times New Roman"/>
          <w:noProof/>
          <w:color w:val="000000"/>
          <w:sz w:val="22"/>
          <w:szCs w:val="20"/>
        </w:rPr>
      </w:r>
      <w:r w:rsidRPr="001E69D0">
        <w:rPr>
          <w:rFonts w:eastAsia="Times New Roman"/>
          <w:noProof/>
          <w:color w:val="000000"/>
          <w:sz w:val="22"/>
          <w:szCs w:val="20"/>
        </w:rPr>
        <w:fldChar w:fldCharType="separate"/>
      </w:r>
      <w:r w:rsidR="002178D6">
        <w:rPr>
          <w:rFonts w:eastAsia="Times New Roman"/>
          <w:noProof/>
          <w:color w:val="000000"/>
          <w:sz w:val="22"/>
          <w:szCs w:val="20"/>
        </w:rPr>
        <w:t>9</w:t>
      </w:r>
      <w:r w:rsidRPr="001E69D0">
        <w:rPr>
          <w:rFonts w:eastAsia="Times New Roman"/>
          <w:noProof/>
          <w:color w:val="000000"/>
          <w:sz w:val="22"/>
          <w:szCs w:val="20"/>
        </w:rPr>
        <w:fldChar w:fldCharType="end"/>
      </w:r>
    </w:p>
    <w:p w14:paraId="359BE245" w14:textId="7DFFD931" w:rsidR="001E69D0" w:rsidRPr="001E69D0" w:rsidRDefault="001E69D0" w:rsidP="001E69D0">
      <w:pPr>
        <w:tabs>
          <w:tab w:val="left" w:pos="2160"/>
          <w:tab w:val="right" w:leader="dot" w:pos="9016"/>
        </w:tabs>
        <w:spacing w:after="20" w:line="240" w:lineRule="auto"/>
        <w:ind w:left="2160" w:right="720" w:hanging="720"/>
        <w:jc w:val="left"/>
        <w:rPr>
          <w:rFonts w:eastAsia="MS Mincho"/>
          <w:noProof/>
          <w:sz w:val="22"/>
          <w:szCs w:val="22"/>
          <w:lang w:eastAsia="en-AU"/>
        </w:rPr>
      </w:pPr>
      <w:r w:rsidRPr="001E69D0">
        <w:rPr>
          <w:rFonts w:eastAsia="Times New Roman"/>
          <w:noProof/>
          <w:color w:val="000000"/>
          <w:sz w:val="22"/>
          <w:szCs w:val="20"/>
        </w:rPr>
        <w:t>End of treatment</w:t>
      </w:r>
      <w:r w:rsidRPr="001E69D0">
        <w:rPr>
          <w:rFonts w:eastAsia="Times New Roman"/>
          <w:noProof/>
          <w:color w:val="000000"/>
          <w:sz w:val="22"/>
          <w:szCs w:val="20"/>
        </w:rPr>
        <w:tab/>
      </w:r>
      <w:r w:rsidRPr="001E69D0">
        <w:rPr>
          <w:rFonts w:eastAsia="Times New Roman"/>
          <w:noProof/>
          <w:color w:val="000000"/>
          <w:sz w:val="22"/>
          <w:szCs w:val="20"/>
        </w:rPr>
        <w:fldChar w:fldCharType="begin"/>
      </w:r>
      <w:r w:rsidRPr="001E69D0">
        <w:rPr>
          <w:rFonts w:eastAsia="Times New Roman"/>
          <w:noProof/>
          <w:color w:val="000000"/>
          <w:sz w:val="22"/>
          <w:szCs w:val="20"/>
        </w:rPr>
        <w:instrText xml:space="preserve"> PAGEREF _Toc121231602 \h </w:instrText>
      </w:r>
      <w:r w:rsidRPr="001E69D0">
        <w:rPr>
          <w:rFonts w:eastAsia="Times New Roman"/>
          <w:noProof/>
          <w:color w:val="000000"/>
          <w:sz w:val="22"/>
          <w:szCs w:val="20"/>
        </w:rPr>
      </w:r>
      <w:r w:rsidRPr="001E69D0">
        <w:rPr>
          <w:rFonts w:eastAsia="Times New Roman"/>
          <w:noProof/>
          <w:color w:val="000000"/>
          <w:sz w:val="22"/>
          <w:szCs w:val="20"/>
        </w:rPr>
        <w:fldChar w:fldCharType="separate"/>
      </w:r>
      <w:r w:rsidR="002178D6">
        <w:rPr>
          <w:rFonts w:eastAsia="Times New Roman"/>
          <w:noProof/>
          <w:color w:val="000000"/>
          <w:sz w:val="22"/>
          <w:szCs w:val="20"/>
        </w:rPr>
        <w:t>10</w:t>
      </w:r>
      <w:r w:rsidRPr="001E69D0">
        <w:rPr>
          <w:rFonts w:eastAsia="Times New Roman"/>
          <w:noProof/>
          <w:color w:val="000000"/>
          <w:sz w:val="22"/>
          <w:szCs w:val="20"/>
        </w:rPr>
        <w:fldChar w:fldCharType="end"/>
      </w:r>
    </w:p>
    <w:p w14:paraId="38444297" w14:textId="2C07EE99" w:rsidR="001E69D0" w:rsidRPr="001E69D0" w:rsidRDefault="001E69D0" w:rsidP="001E69D0">
      <w:pPr>
        <w:tabs>
          <w:tab w:val="left" w:pos="1440"/>
          <w:tab w:val="right" w:leader="dot" w:pos="9016"/>
        </w:tabs>
        <w:spacing w:before="120" w:after="60" w:line="240" w:lineRule="auto"/>
        <w:ind w:left="1440" w:right="720" w:hanging="720"/>
        <w:jc w:val="left"/>
        <w:rPr>
          <w:rFonts w:eastAsia="MS Mincho"/>
          <w:noProof/>
          <w:sz w:val="22"/>
          <w:szCs w:val="22"/>
          <w:lang w:eastAsia="en-AU"/>
        </w:rPr>
      </w:pPr>
      <w:r w:rsidRPr="001E69D0">
        <w:rPr>
          <w:rFonts w:eastAsia="Times New Roman"/>
          <w:noProof/>
          <w:color w:val="000000"/>
          <w:sz w:val="22"/>
          <w:szCs w:val="20"/>
        </w:rPr>
        <w:t>Treatment cost</w:t>
      </w:r>
      <w:r w:rsidRPr="001E69D0">
        <w:rPr>
          <w:rFonts w:eastAsia="Times New Roman"/>
          <w:noProof/>
          <w:color w:val="000000"/>
          <w:sz w:val="22"/>
          <w:szCs w:val="20"/>
        </w:rPr>
        <w:tab/>
      </w:r>
      <w:r w:rsidRPr="001E69D0">
        <w:rPr>
          <w:rFonts w:eastAsia="Times New Roman"/>
          <w:noProof/>
          <w:color w:val="000000"/>
          <w:sz w:val="22"/>
          <w:szCs w:val="20"/>
        </w:rPr>
        <w:fldChar w:fldCharType="begin"/>
      </w:r>
      <w:r w:rsidRPr="001E69D0">
        <w:rPr>
          <w:rFonts w:eastAsia="Times New Roman"/>
          <w:noProof/>
          <w:color w:val="000000"/>
          <w:sz w:val="22"/>
          <w:szCs w:val="20"/>
        </w:rPr>
        <w:instrText xml:space="preserve"> PAGEREF _Toc121231603 \h </w:instrText>
      </w:r>
      <w:r w:rsidRPr="001E69D0">
        <w:rPr>
          <w:rFonts w:eastAsia="Times New Roman"/>
          <w:noProof/>
          <w:color w:val="000000"/>
          <w:sz w:val="22"/>
          <w:szCs w:val="20"/>
        </w:rPr>
      </w:r>
      <w:r w:rsidRPr="001E69D0">
        <w:rPr>
          <w:rFonts w:eastAsia="Times New Roman"/>
          <w:noProof/>
          <w:color w:val="000000"/>
          <w:sz w:val="22"/>
          <w:szCs w:val="20"/>
        </w:rPr>
        <w:fldChar w:fldCharType="separate"/>
      </w:r>
      <w:r w:rsidR="002178D6">
        <w:rPr>
          <w:rFonts w:eastAsia="Times New Roman"/>
          <w:noProof/>
          <w:color w:val="000000"/>
          <w:sz w:val="22"/>
          <w:szCs w:val="20"/>
        </w:rPr>
        <w:t>10</w:t>
      </w:r>
      <w:r w:rsidRPr="001E69D0">
        <w:rPr>
          <w:rFonts w:eastAsia="Times New Roman"/>
          <w:noProof/>
          <w:color w:val="000000"/>
          <w:sz w:val="22"/>
          <w:szCs w:val="20"/>
        </w:rPr>
        <w:fldChar w:fldCharType="end"/>
      </w:r>
    </w:p>
    <w:p w14:paraId="2DBB664F" w14:textId="43A4E048" w:rsidR="001E69D0" w:rsidRPr="001E69D0" w:rsidRDefault="001E69D0" w:rsidP="001E69D0">
      <w:pPr>
        <w:tabs>
          <w:tab w:val="left" w:pos="2160"/>
          <w:tab w:val="right" w:leader="dot" w:pos="9016"/>
        </w:tabs>
        <w:spacing w:after="20" w:line="240" w:lineRule="auto"/>
        <w:ind w:left="2160" w:right="720" w:hanging="720"/>
        <w:jc w:val="left"/>
        <w:rPr>
          <w:rFonts w:eastAsia="MS Mincho"/>
          <w:noProof/>
          <w:sz w:val="22"/>
          <w:szCs w:val="22"/>
          <w:lang w:eastAsia="en-AU"/>
        </w:rPr>
      </w:pPr>
      <w:r w:rsidRPr="001E69D0">
        <w:rPr>
          <w:rFonts w:eastAsia="Times New Roman"/>
          <w:noProof/>
          <w:color w:val="000000"/>
          <w:sz w:val="22"/>
          <w:szCs w:val="20"/>
        </w:rPr>
        <w:t>Cost of prescribers</w:t>
      </w:r>
      <w:r w:rsidRPr="001E69D0">
        <w:rPr>
          <w:rFonts w:eastAsia="Times New Roman"/>
          <w:noProof/>
          <w:color w:val="000000"/>
          <w:sz w:val="22"/>
          <w:szCs w:val="20"/>
        </w:rPr>
        <w:tab/>
      </w:r>
      <w:r w:rsidRPr="001E69D0">
        <w:rPr>
          <w:rFonts w:eastAsia="Times New Roman"/>
          <w:noProof/>
          <w:color w:val="000000"/>
          <w:sz w:val="22"/>
          <w:szCs w:val="20"/>
        </w:rPr>
        <w:fldChar w:fldCharType="begin"/>
      </w:r>
      <w:r w:rsidRPr="001E69D0">
        <w:rPr>
          <w:rFonts w:eastAsia="Times New Roman"/>
          <w:noProof/>
          <w:color w:val="000000"/>
          <w:sz w:val="22"/>
          <w:szCs w:val="20"/>
        </w:rPr>
        <w:instrText xml:space="preserve"> PAGEREF _Toc121231604 \h </w:instrText>
      </w:r>
      <w:r w:rsidRPr="001E69D0">
        <w:rPr>
          <w:rFonts w:eastAsia="Times New Roman"/>
          <w:noProof/>
          <w:color w:val="000000"/>
          <w:sz w:val="22"/>
          <w:szCs w:val="20"/>
        </w:rPr>
      </w:r>
      <w:r w:rsidRPr="001E69D0">
        <w:rPr>
          <w:rFonts w:eastAsia="Times New Roman"/>
          <w:noProof/>
          <w:color w:val="000000"/>
          <w:sz w:val="22"/>
          <w:szCs w:val="20"/>
        </w:rPr>
        <w:fldChar w:fldCharType="separate"/>
      </w:r>
      <w:r w:rsidR="002178D6">
        <w:rPr>
          <w:rFonts w:eastAsia="Times New Roman"/>
          <w:noProof/>
          <w:color w:val="000000"/>
          <w:sz w:val="22"/>
          <w:szCs w:val="20"/>
        </w:rPr>
        <w:t>13</w:t>
      </w:r>
      <w:r w:rsidRPr="001E69D0">
        <w:rPr>
          <w:rFonts w:eastAsia="Times New Roman"/>
          <w:noProof/>
          <w:color w:val="000000"/>
          <w:sz w:val="22"/>
          <w:szCs w:val="20"/>
        </w:rPr>
        <w:fldChar w:fldCharType="end"/>
      </w:r>
    </w:p>
    <w:p w14:paraId="0950BB2C" w14:textId="68599BA1" w:rsidR="001E69D0" w:rsidRPr="001E69D0" w:rsidRDefault="001E69D0" w:rsidP="001E69D0">
      <w:pPr>
        <w:tabs>
          <w:tab w:val="left" w:pos="2160"/>
          <w:tab w:val="right" w:leader="dot" w:pos="9016"/>
        </w:tabs>
        <w:spacing w:after="20" w:line="240" w:lineRule="auto"/>
        <w:ind w:left="2160" w:right="720" w:hanging="720"/>
        <w:jc w:val="left"/>
        <w:rPr>
          <w:rFonts w:eastAsia="MS Mincho"/>
          <w:noProof/>
          <w:sz w:val="22"/>
          <w:szCs w:val="22"/>
          <w:lang w:eastAsia="en-AU"/>
        </w:rPr>
      </w:pPr>
      <w:r w:rsidRPr="001E69D0">
        <w:rPr>
          <w:rFonts w:eastAsia="Times New Roman"/>
          <w:noProof/>
          <w:color w:val="000000"/>
          <w:sz w:val="22"/>
          <w:szCs w:val="20"/>
        </w:rPr>
        <w:t>Cost of dispensers</w:t>
      </w:r>
      <w:r w:rsidRPr="001E69D0">
        <w:rPr>
          <w:rFonts w:eastAsia="Times New Roman"/>
          <w:noProof/>
          <w:color w:val="000000"/>
          <w:sz w:val="22"/>
          <w:szCs w:val="20"/>
        </w:rPr>
        <w:tab/>
      </w:r>
      <w:r w:rsidRPr="001E69D0">
        <w:rPr>
          <w:rFonts w:eastAsia="Times New Roman"/>
          <w:noProof/>
          <w:color w:val="000000"/>
          <w:sz w:val="22"/>
          <w:szCs w:val="20"/>
        </w:rPr>
        <w:fldChar w:fldCharType="begin"/>
      </w:r>
      <w:r w:rsidRPr="001E69D0">
        <w:rPr>
          <w:rFonts w:eastAsia="Times New Roman"/>
          <w:noProof/>
          <w:color w:val="000000"/>
          <w:sz w:val="22"/>
          <w:szCs w:val="20"/>
        </w:rPr>
        <w:instrText xml:space="preserve"> PAGEREF _Toc121231605 \h </w:instrText>
      </w:r>
      <w:r w:rsidRPr="001E69D0">
        <w:rPr>
          <w:rFonts w:eastAsia="Times New Roman"/>
          <w:noProof/>
          <w:color w:val="000000"/>
          <w:sz w:val="22"/>
          <w:szCs w:val="20"/>
        </w:rPr>
      </w:r>
      <w:r w:rsidRPr="001E69D0">
        <w:rPr>
          <w:rFonts w:eastAsia="Times New Roman"/>
          <w:noProof/>
          <w:color w:val="000000"/>
          <w:sz w:val="22"/>
          <w:szCs w:val="20"/>
        </w:rPr>
        <w:fldChar w:fldCharType="separate"/>
      </w:r>
      <w:r w:rsidR="002178D6">
        <w:rPr>
          <w:rFonts w:eastAsia="Times New Roman"/>
          <w:noProof/>
          <w:color w:val="000000"/>
          <w:sz w:val="22"/>
          <w:szCs w:val="20"/>
        </w:rPr>
        <w:t>13</w:t>
      </w:r>
      <w:r w:rsidRPr="001E69D0">
        <w:rPr>
          <w:rFonts w:eastAsia="Times New Roman"/>
          <w:noProof/>
          <w:color w:val="000000"/>
          <w:sz w:val="22"/>
          <w:szCs w:val="20"/>
        </w:rPr>
        <w:fldChar w:fldCharType="end"/>
      </w:r>
    </w:p>
    <w:p w14:paraId="79292B9F" w14:textId="3261EB2D" w:rsidR="001E69D0" w:rsidRPr="001E69D0" w:rsidRDefault="001E69D0" w:rsidP="001E69D0">
      <w:pPr>
        <w:tabs>
          <w:tab w:val="left" w:pos="2160"/>
          <w:tab w:val="right" w:leader="dot" w:pos="9016"/>
        </w:tabs>
        <w:spacing w:after="20" w:line="240" w:lineRule="auto"/>
        <w:ind w:left="2160" w:right="720" w:hanging="720"/>
        <w:jc w:val="left"/>
        <w:rPr>
          <w:rFonts w:eastAsia="MS Mincho"/>
          <w:noProof/>
          <w:sz w:val="22"/>
          <w:szCs w:val="22"/>
          <w:lang w:eastAsia="en-AU"/>
        </w:rPr>
      </w:pPr>
      <w:r w:rsidRPr="001E69D0">
        <w:rPr>
          <w:rFonts w:eastAsia="Times New Roman"/>
          <w:noProof/>
          <w:color w:val="000000"/>
          <w:sz w:val="22"/>
          <w:szCs w:val="20"/>
        </w:rPr>
        <w:t>The consequences of cost</w:t>
      </w:r>
      <w:r w:rsidRPr="001E69D0">
        <w:rPr>
          <w:rFonts w:eastAsia="Times New Roman"/>
          <w:noProof/>
          <w:color w:val="000000"/>
          <w:sz w:val="22"/>
          <w:szCs w:val="20"/>
        </w:rPr>
        <w:tab/>
      </w:r>
      <w:r w:rsidRPr="001E69D0">
        <w:rPr>
          <w:rFonts w:eastAsia="Times New Roman"/>
          <w:noProof/>
          <w:color w:val="000000"/>
          <w:sz w:val="22"/>
          <w:szCs w:val="20"/>
        </w:rPr>
        <w:fldChar w:fldCharType="begin"/>
      </w:r>
      <w:r w:rsidRPr="001E69D0">
        <w:rPr>
          <w:rFonts w:eastAsia="Times New Roman"/>
          <w:noProof/>
          <w:color w:val="000000"/>
          <w:sz w:val="22"/>
          <w:szCs w:val="20"/>
        </w:rPr>
        <w:instrText xml:space="preserve"> PAGEREF _Toc121231606 \h </w:instrText>
      </w:r>
      <w:r w:rsidRPr="001E69D0">
        <w:rPr>
          <w:rFonts w:eastAsia="Times New Roman"/>
          <w:noProof/>
          <w:color w:val="000000"/>
          <w:sz w:val="22"/>
          <w:szCs w:val="20"/>
        </w:rPr>
      </w:r>
      <w:r w:rsidRPr="001E69D0">
        <w:rPr>
          <w:rFonts w:eastAsia="Times New Roman"/>
          <w:noProof/>
          <w:color w:val="000000"/>
          <w:sz w:val="22"/>
          <w:szCs w:val="20"/>
        </w:rPr>
        <w:fldChar w:fldCharType="separate"/>
      </w:r>
      <w:r w:rsidR="002178D6">
        <w:rPr>
          <w:rFonts w:eastAsia="Times New Roman"/>
          <w:noProof/>
          <w:color w:val="000000"/>
          <w:sz w:val="22"/>
          <w:szCs w:val="20"/>
        </w:rPr>
        <w:t>13</w:t>
      </w:r>
      <w:r w:rsidRPr="001E69D0">
        <w:rPr>
          <w:rFonts w:eastAsia="Times New Roman"/>
          <w:noProof/>
          <w:color w:val="000000"/>
          <w:sz w:val="22"/>
          <w:szCs w:val="20"/>
        </w:rPr>
        <w:fldChar w:fldCharType="end"/>
      </w:r>
    </w:p>
    <w:p w14:paraId="3B7B6C25" w14:textId="069EAF92" w:rsidR="001E69D0" w:rsidRPr="001E69D0" w:rsidRDefault="001E69D0" w:rsidP="001E69D0">
      <w:pPr>
        <w:tabs>
          <w:tab w:val="left" w:pos="1440"/>
          <w:tab w:val="right" w:leader="dot" w:pos="9016"/>
        </w:tabs>
        <w:spacing w:before="120" w:after="60" w:line="240" w:lineRule="auto"/>
        <w:ind w:left="1440" w:right="720" w:hanging="720"/>
        <w:jc w:val="left"/>
        <w:rPr>
          <w:rFonts w:eastAsia="MS Mincho"/>
          <w:noProof/>
          <w:sz w:val="22"/>
          <w:szCs w:val="22"/>
          <w:lang w:eastAsia="en-AU"/>
        </w:rPr>
      </w:pPr>
      <w:r w:rsidRPr="001E69D0">
        <w:rPr>
          <w:rFonts w:eastAsia="Times New Roman"/>
          <w:noProof/>
          <w:color w:val="000000"/>
          <w:sz w:val="22"/>
          <w:szCs w:val="20"/>
        </w:rPr>
        <w:t>Dosing frequency</w:t>
      </w:r>
      <w:r w:rsidRPr="001E69D0">
        <w:rPr>
          <w:rFonts w:eastAsia="Times New Roman"/>
          <w:noProof/>
          <w:color w:val="000000"/>
          <w:sz w:val="22"/>
          <w:szCs w:val="20"/>
        </w:rPr>
        <w:tab/>
      </w:r>
      <w:r w:rsidRPr="001E69D0">
        <w:rPr>
          <w:rFonts w:eastAsia="Times New Roman"/>
          <w:noProof/>
          <w:color w:val="000000"/>
          <w:sz w:val="22"/>
          <w:szCs w:val="20"/>
        </w:rPr>
        <w:fldChar w:fldCharType="begin"/>
      </w:r>
      <w:r w:rsidRPr="001E69D0">
        <w:rPr>
          <w:rFonts w:eastAsia="Times New Roman"/>
          <w:noProof/>
          <w:color w:val="000000"/>
          <w:sz w:val="22"/>
          <w:szCs w:val="20"/>
        </w:rPr>
        <w:instrText xml:space="preserve"> PAGEREF _Toc121231607 \h </w:instrText>
      </w:r>
      <w:r w:rsidRPr="001E69D0">
        <w:rPr>
          <w:rFonts w:eastAsia="Times New Roman"/>
          <w:noProof/>
          <w:color w:val="000000"/>
          <w:sz w:val="22"/>
          <w:szCs w:val="20"/>
        </w:rPr>
      </w:r>
      <w:r w:rsidRPr="001E69D0">
        <w:rPr>
          <w:rFonts w:eastAsia="Times New Roman"/>
          <w:noProof/>
          <w:color w:val="000000"/>
          <w:sz w:val="22"/>
          <w:szCs w:val="20"/>
        </w:rPr>
        <w:fldChar w:fldCharType="separate"/>
      </w:r>
      <w:r w:rsidR="002178D6">
        <w:rPr>
          <w:rFonts w:eastAsia="Times New Roman"/>
          <w:noProof/>
          <w:color w:val="000000"/>
          <w:sz w:val="22"/>
          <w:szCs w:val="20"/>
        </w:rPr>
        <w:t>14</w:t>
      </w:r>
      <w:r w:rsidRPr="001E69D0">
        <w:rPr>
          <w:rFonts w:eastAsia="Times New Roman"/>
          <w:noProof/>
          <w:color w:val="000000"/>
          <w:sz w:val="22"/>
          <w:szCs w:val="20"/>
        </w:rPr>
        <w:fldChar w:fldCharType="end"/>
      </w:r>
    </w:p>
    <w:p w14:paraId="08F0AB2D" w14:textId="0647240A" w:rsidR="001E69D0" w:rsidRPr="001E69D0" w:rsidRDefault="001E69D0" w:rsidP="001E69D0">
      <w:pPr>
        <w:tabs>
          <w:tab w:val="left" w:pos="1440"/>
          <w:tab w:val="right" w:leader="dot" w:pos="9016"/>
        </w:tabs>
        <w:spacing w:before="120" w:after="60" w:line="240" w:lineRule="auto"/>
        <w:ind w:left="1440" w:right="720" w:hanging="720"/>
        <w:jc w:val="left"/>
        <w:rPr>
          <w:rFonts w:eastAsia="MS Mincho"/>
          <w:noProof/>
          <w:sz w:val="22"/>
          <w:szCs w:val="22"/>
          <w:lang w:eastAsia="en-AU"/>
        </w:rPr>
      </w:pPr>
      <w:r w:rsidRPr="001E69D0">
        <w:rPr>
          <w:rFonts w:eastAsia="Times New Roman"/>
          <w:noProof/>
          <w:color w:val="000000"/>
          <w:sz w:val="22"/>
          <w:szCs w:val="20"/>
        </w:rPr>
        <w:t>Treatment choice and changes</w:t>
      </w:r>
      <w:r w:rsidRPr="001E69D0">
        <w:rPr>
          <w:rFonts w:eastAsia="Times New Roman"/>
          <w:noProof/>
          <w:color w:val="000000"/>
          <w:sz w:val="22"/>
          <w:szCs w:val="20"/>
        </w:rPr>
        <w:tab/>
      </w:r>
      <w:r w:rsidRPr="001E69D0">
        <w:rPr>
          <w:rFonts w:eastAsia="Times New Roman"/>
          <w:noProof/>
          <w:color w:val="000000"/>
          <w:sz w:val="22"/>
          <w:szCs w:val="20"/>
        </w:rPr>
        <w:fldChar w:fldCharType="begin"/>
      </w:r>
      <w:r w:rsidRPr="001E69D0">
        <w:rPr>
          <w:rFonts w:eastAsia="Times New Roman"/>
          <w:noProof/>
          <w:color w:val="000000"/>
          <w:sz w:val="22"/>
          <w:szCs w:val="20"/>
        </w:rPr>
        <w:instrText xml:space="preserve"> PAGEREF _Toc121231608 \h </w:instrText>
      </w:r>
      <w:r w:rsidRPr="001E69D0">
        <w:rPr>
          <w:rFonts w:eastAsia="Times New Roman"/>
          <w:noProof/>
          <w:color w:val="000000"/>
          <w:sz w:val="22"/>
          <w:szCs w:val="20"/>
        </w:rPr>
      </w:r>
      <w:r w:rsidRPr="001E69D0">
        <w:rPr>
          <w:rFonts w:eastAsia="Times New Roman"/>
          <w:noProof/>
          <w:color w:val="000000"/>
          <w:sz w:val="22"/>
          <w:szCs w:val="20"/>
        </w:rPr>
        <w:fldChar w:fldCharType="separate"/>
      </w:r>
      <w:r w:rsidR="002178D6">
        <w:rPr>
          <w:rFonts w:eastAsia="Times New Roman"/>
          <w:noProof/>
          <w:color w:val="000000"/>
          <w:sz w:val="22"/>
          <w:szCs w:val="20"/>
        </w:rPr>
        <w:t>17</w:t>
      </w:r>
      <w:r w:rsidRPr="001E69D0">
        <w:rPr>
          <w:rFonts w:eastAsia="Times New Roman"/>
          <w:noProof/>
          <w:color w:val="000000"/>
          <w:sz w:val="22"/>
          <w:szCs w:val="20"/>
        </w:rPr>
        <w:fldChar w:fldCharType="end"/>
      </w:r>
    </w:p>
    <w:p w14:paraId="13E387C3" w14:textId="59C21446" w:rsidR="001E69D0" w:rsidRPr="001E69D0" w:rsidRDefault="001E69D0" w:rsidP="001E69D0">
      <w:pPr>
        <w:tabs>
          <w:tab w:val="left" w:pos="2160"/>
          <w:tab w:val="right" w:leader="dot" w:pos="9016"/>
        </w:tabs>
        <w:spacing w:after="20" w:line="240" w:lineRule="auto"/>
        <w:ind w:left="2160" w:right="720" w:hanging="720"/>
        <w:jc w:val="left"/>
        <w:rPr>
          <w:rFonts w:eastAsia="MS Mincho"/>
          <w:noProof/>
          <w:sz w:val="22"/>
          <w:szCs w:val="22"/>
          <w:lang w:eastAsia="en-AU"/>
        </w:rPr>
      </w:pPr>
      <w:r w:rsidRPr="001E69D0">
        <w:rPr>
          <w:rFonts w:eastAsia="Times New Roman"/>
          <w:noProof/>
          <w:color w:val="000000"/>
          <w:sz w:val="22"/>
          <w:szCs w:val="20"/>
        </w:rPr>
        <w:t>Reactions to different treatments</w:t>
      </w:r>
      <w:r w:rsidRPr="001E69D0">
        <w:rPr>
          <w:rFonts w:eastAsia="Times New Roman"/>
          <w:noProof/>
          <w:color w:val="000000"/>
          <w:sz w:val="22"/>
          <w:szCs w:val="20"/>
        </w:rPr>
        <w:tab/>
      </w:r>
      <w:r w:rsidRPr="001E69D0">
        <w:rPr>
          <w:rFonts w:eastAsia="Times New Roman"/>
          <w:noProof/>
          <w:color w:val="000000"/>
          <w:sz w:val="22"/>
          <w:szCs w:val="20"/>
        </w:rPr>
        <w:fldChar w:fldCharType="begin"/>
      </w:r>
      <w:r w:rsidRPr="001E69D0">
        <w:rPr>
          <w:rFonts w:eastAsia="Times New Roman"/>
          <w:noProof/>
          <w:color w:val="000000"/>
          <w:sz w:val="22"/>
          <w:szCs w:val="20"/>
        </w:rPr>
        <w:instrText xml:space="preserve"> PAGEREF _Toc121231609 \h </w:instrText>
      </w:r>
      <w:r w:rsidRPr="001E69D0">
        <w:rPr>
          <w:rFonts w:eastAsia="Times New Roman"/>
          <w:noProof/>
          <w:color w:val="000000"/>
          <w:sz w:val="22"/>
          <w:szCs w:val="20"/>
        </w:rPr>
      </w:r>
      <w:r w:rsidRPr="001E69D0">
        <w:rPr>
          <w:rFonts w:eastAsia="Times New Roman"/>
          <w:noProof/>
          <w:color w:val="000000"/>
          <w:sz w:val="22"/>
          <w:szCs w:val="20"/>
        </w:rPr>
        <w:fldChar w:fldCharType="separate"/>
      </w:r>
      <w:r w:rsidR="002178D6">
        <w:rPr>
          <w:rFonts w:eastAsia="Times New Roman"/>
          <w:noProof/>
          <w:color w:val="000000"/>
          <w:sz w:val="22"/>
          <w:szCs w:val="20"/>
        </w:rPr>
        <w:t>17</w:t>
      </w:r>
      <w:r w:rsidRPr="001E69D0">
        <w:rPr>
          <w:rFonts w:eastAsia="Times New Roman"/>
          <w:noProof/>
          <w:color w:val="000000"/>
          <w:sz w:val="22"/>
          <w:szCs w:val="20"/>
        </w:rPr>
        <w:fldChar w:fldCharType="end"/>
      </w:r>
    </w:p>
    <w:p w14:paraId="1ADBEFFA" w14:textId="1A8156A2" w:rsidR="001E69D0" w:rsidRPr="001E69D0" w:rsidRDefault="001E69D0" w:rsidP="001E69D0">
      <w:pPr>
        <w:tabs>
          <w:tab w:val="left" w:pos="2160"/>
          <w:tab w:val="right" w:leader="dot" w:pos="9016"/>
        </w:tabs>
        <w:spacing w:after="20" w:line="240" w:lineRule="auto"/>
        <w:ind w:left="2160" w:right="720" w:hanging="720"/>
        <w:jc w:val="left"/>
        <w:rPr>
          <w:rFonts w:eastAsia="MS Mincho"/>
          <w:noProof/>
          <w:sz w:val="22"/>
          <w:szCs w:val="22"/>
          <w:lang w:eastAsia="en-AU"/>
        </w:rPr>
      </w:pPr>
      <w:r w:rsidRPr="001E69D0">
        <w:rPr>
          <w:rFonts w:eastAsia="Times New Roman"/>
          <w:noProof/>
          <w:color w:val="000000"/>
          <w:sz w:val="22"/>
          <w:szCs w:val="20"/>
        </w:rPr>
        <w:t>Choice of treatment</w:t>
      </w:r>
      <w:r w:rsidRPr="001E69D0">
        <w:rPr>
          <w:rFonts w:eastAsia="Times New Roman"/>
          <w:noProof/>
          <w:color w:val="000000"/>
          <w:sz w:val="22"/>
          <w:szCs w:val="20"/>
        </w:rPr>
        <w:tab/>
      </w:r>
      <w:r w:rsidRPr="001E69D0">
        <w:rPr>
          <w:rFonts w:eastAsia="Times New Roman"/>
          <w:noProof/>
          <w:color w:val="000000"/>
          <w:sz w:val="22"/>
          <w:szCs w:val="20"/>
        </w:rPr>
        <w:fldChar w:fldCharType="begin"/>
      </w:r>
      <w:r w:rsidRPr="001E69D0">
        <w:rPr>
          <w:rFonts w:eastAsia="Times New Roman"/>
          <w:noProof/>
          <w:color w:val="000000"/>
          <w:sz w:val="22"/>
          <w:szCs w:val="20"/>
        </w:rPr>
        <w:instrText xml:space="preserve"> PAGEREF _Toc121231610 \h </w:instrText>
      </w:r>
      <w:r w:rsidRPr="001E69D0">
        <w:rPr>
          <w:rFonts w:eastAsia="Times New Roman"/>
          <w:noProof/>
          <w:color w:val="000000"/>
          <w:sz w:val="22"/>
          <w:szCs w:val="20"/>
        </w:rPr>
      </w:r>
      <w:r w:rsidRPr="001E69D0">
        <w:rPr>
          <w:rFonts w:eastAsia="Times New Roman"/>
          <w:noProof/>
          <w:color w:val="000000"/>
          <w:sz w:val="22"/>
          <w:szCs w:val="20"/>
        </w:rPr>
        <w:fldChar w:fldCharType="separate"/>
      </w:r>
      <w:r w:rsidR="002178D6">
        <w:rPr>
          <w:rFonts w:eastAsia="Times New Roman"/>
          <w:noProof/>
          <w:color w:val="000000"/>
          <w:sz w:val="22"/>
          <w:szCs w:val="20"/>
        </w:rPr>
        <w:t>18</w:t>
      </w:r>
      <w:r w:rsidRPr="001E69D0">
        <w:rPr>
          <w:rFonts w:eastAsia="Times New Roman"/>
          <w:noProof/>
          <w:color w:val="000000"/>
          <w:sz w:val="22"/>
          <w:szCs w:val="20"/>
        </w:rPr>
        <w:fldChar w:fldCharType="end"/>
      </w:r>
    </w:p>
    <w:p w14:paraId="0291FCC7" w14:textId="6D7D5FDB" w:rsidR="001E69D0" w:rsidRPr="001E69D0" w:rsidRDefault="001E69D0" w:rsidP="001E69D0">
      <w:pPr>
        <w:tabs>
          <w:tab w:val="left" w:pos="1440"/>
          <w:tab w:val="right" w:leader="dot" w:pos="9016"/>
        </w:tabs>
        <w:spacing w:before="120" w:after="60" w:line="240" w:lineRule="auto"/>
        <w:ind w:left="1440" w:right="720" w:hanging="720"/>
        <w:jc w:val="left"/>
        <w:rPr>
          <w:rFonts w:eastAsia="MS Mincho"/>
          <w:noProof/>
          <w:sz w:val="22"/>
          <w:szCs w:val="22"/>
          <w:lang w:eastAsia="en-AU"/>
        </w:rPr>
      </w:pPr>
      <w:r w:rsidRPr="001E69D0">
        <w:rPr>
          <w:rFonts w:eastAsia="Times New Roman"/>
          <w:noProof/>
          <w:color w:val="000000"/>
          <w:sz w:val="22"/>
          <w:szCs w:val="20"/>
        </w:rPr>
        <w:t>Moving between treatment settings</w:t>
      </w:r>
      <w:r w:rsidRPr="001E69D0">
        <w:rPr>
          <w:rFonts w:eastAsia="Times New Roman"/>
          <w:noProof/>
          <w:color w:val="000000"/>
          <w:sz w:val="22"/>
          <w:szCs w:val="20"/>
        </w:rPr>
        <w:tab/>
      </w:r>
      <w:r w:rsidRPr="001E69D0">
        <w:rPr>
          <w:rFonts w:eastAsia="Times New Roman"/>
          <w:noProof/>
          <w:color w:val="000000"/>
          <w:sz w:val="22"/>
          <w:szCs w:val="20"/>
        </w:rPr>
        <w:fldChar w:fldCharType="begin"/>
      </w:r>
      <w:r w:rsidRPr="001E69D0">
        <w:rPr>
          <w:rFonts w:eastAsia="Times New Roman"/>
          <w:noProof/>
          <w:color w:val="000000"/>
          <w:sz w:val="22"/>
          <w:szCs w:val="20"/>
        </w:rPr>
        <w:instrText xml:space="preserve"> PAGEREF _Toc121231611 \h </w:instrText>
      </w:r>
      <w:r w:rsidRPr="001E69D0">
        <w:rPr>
          <w:rFonts w:eastAsia="Times New Roman"/>
          <w:noProof/>
          <w:color w:val="000000"/>
          <w:sz w:val="22"/>
          <w:szCs w:val="20"/>
        </w:rPr>
      </w:r>
      <w:r w:rsidRPr="001E69D0">
        <w:rPr>
          <w:rFonts w:eastAsia="Times New Roman"/>
          <w:noProof/>
          <w:color w:val="000000"/>
          <w:sz w:val="22"/>
          <w:szCs w:val="20"/>
        </w:rPr>
        <w:fldChar w:fldCharType="separate"/>
      </w:r>
      <w:r w:rsidR="002178D6">
        <w:rPr>
          <w:rFonts w:eastAsia="Times New Roman"/>
          <w:noProof/>
          <w:color w:val="000000"/>
          <w:sz w:val="22"/>
          <w:szCs w:val="20"/>
        </w:rPr>
        <w:t>19</w:t>
      </w:r>
      <w:r w:rsidRPr="001E69D0">
        <w:rPr>
          <w:rFonts w:eastAsia="Times New Roman"/>
          <w:noProof/>
          <w:color w:val="000000"/>
          <w:sz w:val="22"/>
          <w:szCs w:val="20"/>
        </w:rPr>
        <w:fldChar w:fldCharType="end"/>
      </w:r>
    </w:p>
    <w:p w14:paraId="359AFF30" w14:textId="2A6B4802" w:rsidR="001E69D0" w:rsidRPr="001E69D0" w:rsidRDefault="001E69D0" w:rsidP="001E69D0">
      <w:pPr>
        <w:tabs>
          <w:tab w:val="left" w:pos="1440"/>
          <w:tab w:val="right" w:leader="dot" w:pos="9016"/>
        </w:tabs>
        <w:spacing w:before="120" w:after="60" w:line="240" w:lineRule="auto"/>
        <w:ind w:left="1440" w:right="720" w:hanging="720"/>
        <w:jc w:val="left"/>
        <w:rPr>
          <w:rFonts w:eastAsia="MS Mincho"/>
          <w:noProof/>
          <w:sz w:val="22"/>
          <w:szCs w:val="22"/>
          <w:lang w:eastAsia="en-AU"/>
        </w:rPr>
      </w:pPr>
      <w:r w:rsidRPr="001E69D0">
        <w:rPr>
          <w:rFonts w:eastAsia="Times New Roman"/>
          <w:noProof/>
          <w:color w:val="000000"/>
          <w:sz w:val="22"/>
          <w:szCs w:val="20"/>
        </w:rPr>
        <w:t>Travel and transfers</w:t>
      </w:r>
      <w:r w:rsidRPr="001E69D0">
        <w:rPr>
          <w:rFonts w:eastAsia="Times New Roman"/>
          <w:noProof/>
          <w:color w:val="000000"/>
          <w:sz w:val="22"/>
          <w:szCs w:val="20"/>
        </w:rPr>
        <w:tab/>
      </w:r>
      <w:r w:rsidRPr="001E69D0">
        <w:rPr>
          <w:rFonts w:eastAsia="Times New Roman"/>
          <w:noProof/>
          <w:color w:val="000000"/>
          <w:sz w:val="22"/>
          <w:szCs w:val="20"/>
        </w:rPr>
        <w:fldChar w:fldCharType="begin"/>
      </w:r>
      <w:r w:rsidRPr="001E69D0">
        <w:rPr>
          <w:rFonts w:eastAsia="Times New Roman"/>
          <w:noProof/>
          <w:color w:val="000000"/>
          <w:sz w:val="22"/>
          <w:szCs w:val="20"/>
        </w:rPr>
        <w:instrText xml:space="preserve"> PAGEREF _Toc121231612 \h </w:instrText>
      </w:r>
      <w:r w:rsidRPr="001E69D0">
        <w:rPr>
          <w:rFonts w:eastAsia="Times New Roman"/>
          <w:noProof/>
          <w:color w:val="000000"/>
          <w:sz w:val="22"/>
          <w:szCs w:val="20"/>
        </w:rPr>
      </w:r>
      <w:r w:rsidRPr="001E69D0">
        <w:rPr>
          <w:rFonts w:eastAsia="Times New Roman"/>
          <w:noProof/>
          <w:color w:val="000000"/>
          <w:sz w:val="22"/>
          <w:szCs w:val="20"/>
        </w:rPr>
        <w:fldChar w:fldCharType="separate"/>
      </w:r>
      <w:r w:rsidR="002178D6">
        <w:rPr>
          <w:rFonts w:eastAsia="Times New Roman"/>
          <w:noProof/>
          <w:color w:val="000000"/>
          <w:sz w:val="22"/>
          <w:szCs w:val="20"/>
        </w:rPr>
        <w:t>20</w:t>
      </w:r>
      <w:r w:rsidRPr="001E69D0">
        <w:rPr>
          <w:rFonts w:eastAsia="Times New Roman"/>
          <w:noProof/>
          <w:color w:val="000000"/>
          <w:sz w:val="22"/>
          <w:szCs w:val="20"/>
        </w:rPr>
        <w:fldChar w:fldCharType="end"/>
      </w:r>
    </w:p>
    <w:p w14:paraId="163CA451" w14:textId="1C2D6B25" w:rsidR="001E69D0" w:rsidRPr="001E69D0" w:rsidRDefault="001E69D0" w:rsidP="001E69D0">
      <w:pPr>
        <w:tabs>
          <w:tab w:val="left" w:pos="1440"/>
          <w:tab w:val="right" w:leader="dot" w:pos="9016"/>
        </w:tabs>
        <w:spacing w:before="120" w:after="60" w:line="240" w:lineRule="auto"/>
        <w:ind w:left="1440" w:right="720" w:hanging="720"/>
        <w:jc w:val="left"/>
        <w:rPr>
          <w:rFonts w:eastAsia="MS Mincho"/>
          <w:noProof/>
          <w:sz w:val="22"/>
          <w:szCs w:val="22"/>
          <w:lang w:eastAsia="en-AU"/>
        </w:rPr>
      </w:pPr>
      <w:r w:rsidRPr="001E69D0">
        <w:rPr>
          <w:rFonts w:eastAsia="Times New Roman"/>
          <w:noProof/>
          <w:color w:val="000000"/>
          <w:sz w:val="22"/>
          <w:szCs w:val="20"/>
        </w:rPr>
        <w:t>Need for support and information</w:t>
      </w:r>
      <w:r w:rsidRPr="001E69D0">
        <w:rPr>
          <w:rFonts w:eastAsia="Times New Roman"/>
          <w:noProof/>
          <w:color w:val="000000"/>
          <w:sz w:val="22"/>
          <w:szCs w:val="20"/>
        </w:rPr>
        <w:tab/>
      </w:r>
      <w:r w:rsidRPr="001E69D0">
        <w:rPr>
          <w:rFonts w:eastAsia="Times New Roman"/>
          <w:noProof/>
          <w:color w:val="000000"/>
          <w:sz w:val="22"/>
          <w:szCs w:val="20"/>
        </w:rPr>
        <w:fldChar w:fldCharType="begin"/>
      </w:r>
      <w:r w:rsidRPr="001E69D0">
        <w:rPr>
          <w:rFonts w:eastAsia="Times New Roman"/>
          <w:noProof/>
          <w:color w:val="000000"/>
          <w:sz w:val="22"/>
          <w:szCs w:val="20"/>
        </w:rPr>
        <w:instrText xml:space="preserve"> PAGEREF _Toc121231613 \h </w:instrText>
      </w:r>
      <w:r w:rsidRPr="001E69D0">
        <w:rPr>
          <w:rFonts w:eastAsia="Times New Roman"/>
          <w:noProof/>
          <w:color w:val="000000"/>
          <w:sz w:val="22"/>
          <w:szCs w:val="20"/>
        </w:rPr>
      </w:r>
      <w:r w:rsidRPr="001E69D0">
        <w:rPr>
          <w:rFonts w:eastAsia="Times New Roman"/>
          <w:noProof/>
          <w:color w:val="000000"/>
          <w:sz w:val="22"/>
          <w:szCs w:val="20"/>
        </w:rPr>
        <w:fldChar w:fldCharType="separate"/>
      </w:r>
      <w:r w:rsidR="002178D6">
        <w:rPr>
          <w:rFonts w:eastAsia="Times New Roman"/>
          <w:noProof/>
          <w:color w:val="000000"/>
          <w:sz w:val="22"/>
          <w:szCs w:val="20"/>
        </w:rPr>
        <w:t>23</w:t>
      </w:r>
      <w:r w:rsidRPr="001E69D0">
        <w:rPr>
          <w:rFonts w:eastAsia="Times New Roman"/>
          <w:noProof/>
          <w:color w:val="000000"/>
          <w:sz w:val="22"/>
          <w:szCs w:val="20"/>
        </w:rPr>
        <w:fldChar w:fldCharType="end"/>
      </w:r>
    </w:p>
    <w:p w14:paraId="2F7873AB" w14:textId="24617E63" w:rsidR="001E69D0" w:rsidRPr="001E69D0" w:rsidRDefault="001E69D0" w:rsidP="001E69D0">
      <w:pPr>
        <w:tabs>
          <w:tab w:val="left" w:pos="1440"/>
          <w:tab w:val="right" w:leader="dot" w:pos="9016"/>
        </w:tabs>
        <w:spacing w:before="120" w:after="60" w:line="240" w:lineRule="auto"/>
        <w:ind w:left="1440" w:right="720" w:hanging="720"/>
        <w:jc w:val="left"/>
        <w:rPr>
          <w:rFonts w:eastAsia="MS Mincho"/>
          <w:noProof/>
          <w:sz w:val="22"/>
          <w:szCs w:val="22"/>
          <w:lang w:eastAsia="en-AU"/>
        </w:rPr>
      </w:pPr>
      <w:r w:rsidRPr="001E69D0">
        <w:rPr>
          <w:rFonts w:eastAsia="Times New Roman"/>
          <w:noProof/>
          <w:color w:val="000000"/>
          <w:sz w:val="22"/>
          <w:szCs w:val="20"/>
        </w:rPr>
        <w:t>Parallel support</w:t>
      </w:r>
      <w:r w:rsidRPr="001E69D0">
        <w:rPr>
          <w:rFonts w:eastAsia="Times New Roman"/>
          <w:noProof/>
          <w:color w:val="000000"/>
          <w:sz w:val="22"/>
          <w:szCs w:val="20"/>
        </w:rPr>
        <w:tab/>
      </w:r>
      <w:r w:rsidRPr="001E69D0">
        <w:rPr>
          <w:rFonts w:eastAsia="Times New Roman"/>
          <w:noProof/>
          <w:color w:val="000000"/>
          <w:sz w:val="22"/>
          <w:szCs w:val="20"/>
        </w:rPr>
        <w:fldChar w:fldCharType="begin"/>
      </w:r>
      <w:r w:rsidRPr="001E69D0">
        <w:rPr>
          <w:rFonts w:eastAsia="Times New Roman"/>
          <w:noProof/>
          <w:color w:val="000000"/>
          <w:sz w:val="22"/>
          <w:szCs w:val="20"/>
        </w:rPr>
        <w:instrText xml:space="preserve"> PAGEREF _Toc121231614 \h </w:instrText>
      </w:r>
      <w:r w:rsidRPr="001E69D0">
        <w:rPr>
          <w:rFonts w:eastAsia="Times New Roman"/>
          <w:noProof/>
          <w:color w:val="000000"/>
          <w:sz w:val="22"/>
          <w:szCs w:val="20"/>
        </w:rPr>
      </w:r>
      <w:r w:rsidRPr="001E69D0">
        <w:rPr>
          <w:rFonts w:eastAsia="Times New Roman"/>
          <w:noProof/>
          <w:color w:val="000000"/>
          <w:sz w:val="22"/>
          <w:szCs w:val="20"/>
        </w:rPr>
        <w:fldChar w:fldCharType="separate"/>
      </w:r>
      <w:r w:rsidR="002178D6">
        <w:rPr>
          <w:rFonts w:eastAsia="Times New Roman"/>
          <w:noProof/>
          <w:color w:val="000000"/>
          <w:sz w:val="22"/>
          <w:szCs w:val="20"/>
        </w:rPr>
        <w:t>25</w:t>
      </w:r>
      <w:r w:rsidRPr="001E69D0">
        <w:rPr>
          <w:rFonts w:eastAsia="Times New Roman"/>
          <w:noProof/>
          <w:color w:val="000000"/>
          <w:sz w:val="22"/>
          <w:szCs w:val="20"/>
        </w:rPr>
        <w:fldChar w:fldCharType="end"/>
      </w:r>
    </w:p>
    <w:p w14:paraId="3AFA4276" w14:textId="1AD20803" w:rsidR="001E69D0" w:rsidRPr="001E69D0" w:rsidRDefault="001E69D0" w:rsidP="001E69D0">
      <w:pPr>
        <w:tabs>
          <w:tab w:val="left" w:pos="1440"/>
          <w:tab w:val="right" w:leader="dot" w:pos="9016"/>
        </w:tabs>
        <w:spacing w:before="120" w:after="60" w:line="240" w:lineRule="auto"/>
        <w:ind w:left="1440" w:right="720" w:hanging="720"/>
        <w:jc w:val="left"/>
        <w:rPr>
          <w:rFonts w:eastAsia="MS Mincho"/>
          <w:noProof/>
          <w:sz w:val="22"/>
          <w:szCs w:val="22"/>
          <w:lang w:eastAsia="en-AU"/>
        </w:rPr>
      </w:pPr>
      <w:r w:rsidRPr="001E69D0">
        <w:rPr>
          <w:rFonts w:eastAsia="Times New Roman"/>
          <w:noProof/>
          <w:color w:val="000000"/>
          <w:sz w:val="22"/>
          <w:szCs w:val="20"/>
        </w:rPr>
        <w:t>Lack of autonomy</w:t>
      </w:r>
      <w:r w:rsidRPr="001E69D0">
        <w:rPr>
          <w:rFonts w:eastAsia="Times New Roman"/>
          <w:noProof/>
          <w:color w:val="000000"/>
          <w:sz w:val="22"/>
          <w:szCs w:val="20"/>
        </w:rPr>
        <w:tab/>
      </w:r>
      <w:r w:rsidRPr="001E69D0">
        <w:rPr>
          <w:rFonts w:eastAsia="Times New Roman"/>
          <w:noProof/>
          <w:color w:val="000000"/>
          <w:sz w:val="22"/>
          <w:szCs w:val="20"/>
        </w:rPr>
        <w:fldChar w:fldCharType="begin"/>
      </w:r>
      <w:r w:rsidRPr="001E69D0">
        <w:rPr>
          <w:rFonts w:eastAsia="Times New Roman"/>
          <w:noProof/>
          <w:color w:val="000000"/>
          <w:sz w:val="22"/>
          <w:szCs w:val="20"/>
        </w:rPr>
        <w:instrText xml:space="preserve"> PAGEREF _Toc121231615 \h </w:instrText>
      </w:r>
      <w:r w:rsidRPr="001E69D0">
        <w:rPr>
          <w:rFonts w:eastAsia="Times New Roman"/>
          <w:noProof/>
          <w:color w:val="000000"/>
          <w:sz w:val="22"/>
          <w:szCs w:val="20"/>
        </w:rPr>
      </w:r>
      <w:r w:rsidRPr="001E69D0">
        <w:rPr>
          <w:rFonts w:eastAsia="Times New Roman"/>
          <w:noProof/>
          <w:color w:val="000000"/>
          <w:sz w:val="22"/>
          <w:szCs w:val="20"/>
        </w:rPr>
        <w:fldChar w:fldCharType="separate"/>
      </w:r>
      <w:r w:rsidR="002178D6">
        <w:rPr>
          <w:rFonts w:eastAsia="Times New Roman"/>
          <w:noProof/>
          <w:color w:val="000000"/>
          <w:sz w:val="22"/>
          <w:szCs w:val="20"/>
        </w:rPr>
        <w:t>26</w:t>
      </w:r>
      <w:r w:rsidRPr="001E69D0">
        <w:rPr>
          <w:rFonts w:eastAsia="Times New Roman"/>
          <w:noProof/>
          <w:color w:val="000000"/>
          <w:sz w:val="22"/>
          <w:szCs w:val="20"/>
        </w:rPr>
        <w:fldChar w:fldCharType="end"/>
      </w:r>
    </w:p>
    <w:p w14:paraId="2DD46C74" w14:textId="7D45F557" w:rsidR="001E69D0" w:rsidRPr="001E69D0" w:rsidRDefault="001E69D0" w:rsidP="001E69D0">
      <w:pPr>
        <w:tabs>
          <w:tab w:val="left" w:pos="1440"/>
          <w:tab w:val="right" w:leader="dot" w:pos="9016"/>
        </w:tabs>
        <w:spacing w:before="120" w:after="60" w:line="240" w:lineRule="auto"/>
        <w:ind w:left="1440" w:right="720" w:hanging="720"/>
        <w:jc w:val="left"/>
        <w:rPr>
          <w:rFonts w:eastAsia="MS Mincho"/>
          <w:noProof/>
          <w:sz w:val="22"/>
          <w:szCs w:val="22"/>
          <w:lang w:eastAsia="en-AU"/>
        </w:rPr>
      </w:pPr>
      <w:r w:rsidRPr="001E69D0">
        <w:rPr>
          <w:rFonts w:eastAsia="Times New Roman"/>
          <w:noProof/>
          <w:color w:val="000000"/>
          <w:sz w:val="22"/>
          <w:szCs w:val="20"/>
        </w:rPr>
        <w:t>Fear of punitive measures</w:t>
      </w:r>
      <w:r w:rsidRPr="001E69D0">
        <w:rPr>
          <w:rFonts w:eastAsia="Times New Roman"/>
          <w:noProof/>
          <w:color w:val="000000"/>
          <w:sz w:val="22"/>
          <w:szCs w:val="20"/>
        </w:rPr>
        <w:tab/>
      </w:r>
      <w:r w:rsidRPr="001E69D0">
        <w:rPr>
          <w:rFonts w:eastAsia="Times New Roman"/>
          <w:noProof/>
          <w:color w:val="000000"/>
          <w:sz w:val="22"/>
          <w:szCs w:val="20"/>
        </w:rPr>
        <w:fldChar w:fldCharType="begin"/>
      </w:r>
      <w:r w:rsidRPr="001E69D0">
        <w:rPr>
          <w:rFonts w:eastAsia="Times New Roman"/>
          <w:noProof/>
          <w:color w:val="000000"/>
          <w:sz w:val="22"/>
          <w:szCs w:val="20"/>
        </w:rPr>
        <w:instrText xml:space="preserve"> PAGEREF _Toc121231616 \h </w:instrText>
      </w:r>
      <w:r w:rsidRPr="001E69D0">
        <w:rPr>
          <w:rFonts w:eastAsia="Times New Roman"/>
          <w:noProof/>
          <w:color w:val="000000"/>
          <w:sz w:val="22"/>
          <w:szCs w:val="20"/>
        </w:rPr>
      </w:r>
      <w:r w:rsidRPr="001E69D0">
        <w:rPr>
          <w:rFonts w:eastAsia="Times New Roman"/>
          <w:noProof/>
          <w:color w:val="000000"/>
          <w:sz w:val="22"/>
          <w:szCs w:val="20"/>
        </w:rPr>
        <w:fldChar w:fldCharType="separate"/>
      </w:r>
      <w:r w:rsidR="002178D6">
        <w:rPr>
          <w:rFonts w:eastAsia="Times New Roman"/>
          <w:noProof/>
          <w:color w:val="000000"/>
          <w:sz w:val="22"/>
          <w:szCs w:val="20"/>
        </w:rPr>
        <w:t>27</w:t>
      </w:r>
      <w:r w:rsidRPr="001E69D0">
        <w:rPr>
          <w:rFonts w:eastAsia="Times New Roman"/>
          <w:noProof/>
          <w:color w:val="000000"/>
          <w:sz w:val="22"/>
          <w:szCs w:val="20"/>
        </w:rPr>
        <w:fldChar w:fldCharType="end"/>
      </w:r>
    </w:p>
    <w:p w14:paraId="495171D6" w14:textId="1B80D313" w:rsidR="001E69D0" w:rsidRPr="001E69D0" w:rsidRDefault="001E69D0" w:rsidP="001E69D0">
      <w:pPr>
        <w:tabs>
          <w:tab w:val="left" w:pos="1440"/>
          <w:tab w:val="right" w:leader="dot" w:pos="9016"/>
        </w:tabs>
        <w:spacing w:before="120" w:after="60" w:line="240" w:lineRule="auto"/>
        <w:ind w:left="1440" w:right="720" w:hanging="720"/>
        <w:jc w:val="left"/>
        <w:rPr>
          <w:rFonts w:eastAsia="MS Mincho"/>
          <w:noProof/>
          <w:sz w:val="22"/>
          <w:szCs w:val="22"/>
          <w:lang w:eastAsia="en-AU"/>
        </w:rPr>
      </w:pPr>
      <w:r w:rsidRPr="001E69D0">
        <w:rPr>
          <w:rFonts w:eastAsia="Times New Roman"/>
          <w:noProof/>
          <w:color w:val="000000"/>
          <w:sz w:val="22"/>
          <w:szCs w:val="20"/>
        </w:rPr>
        <w:t>Stigma and discrimination</w:t>
      </w:r>
      <w:r w:rsidRPr="001E69D0">
        <w:rPr>
          <w:rFonts w:eastAsia="Times New Roman"/>
          <w:noProof/>
          <w:color w:val="000000"/>
          <w:sz w:val="22"/>
          <w:szCs w:val="20"/>
        </w:rPr>
        <w:tab/>
      </w:r>
      <w:r w:rsidRPr="001E69D0">
        <w:rPr>
          <w:rFonts w:eastAsia="Times New Roman"/>
          <w:noProof/>
          <w:color w:val="000000"/>
          <w:sz w:val="22"/>
          <w:szCs w:val="20"/>
        </w:rPr>
        <w:fldChar w:fldCharType="begin"/>
      </w:r>
      <w:r w:rsidRPr="001E69D0">
        <w:rPr>
          <w:rFonts w:eastAsia="Times New Roman"/>
          <w:noProof/>
          <w:color w:val="000000"/>
          <w:sz w:val="22"/>
          <w:szCs w:val="20"/>
        </w:rPr>
        <w:instrText xml:space="preserve"> PAGEREF _Toc121231617 \h </w:instrText>
      </w:r>
      <w:r w:rsidRPr="001E69D0">
        <w:rPr>
          <w:rFonts w:eastAsia="Times New Roman"/>
          <w:noProof/>
          <w:color w:val="000000"/>
          <w:sz w:val="22"/>
          <w:szCs w:val="20"/>
        </w:rPr>
      </w:r>
      <w:r w:rsidRPr="001E69D0">
        <w:rPr>
          <w:rFonts w:eastAsia="Times New Roman"/>
          <w:noProof/>
          <w:color w:val="000000"/>
          <w:sz w:val="22"/>
          <w:szCs w:val="20"/>
        </w:rPr>
        <w:fldChar w:fldCharType="separate"/>
      </w:r>
      <w:r w:rsidR="002178D6">
        <w:rPr>
          <w:rFonts w:eastAsia="Times New Roman"/>
          <w:noProof/>
          <w:color w:val="000000"/>
          <w:sz w:val="22"/>
          <w:szCs w:val="20"/>
        </w:rPr>
        <w:t>28</w:t>
      </w:r>
      <w:r w:rsidRPr="001E69D0">
        <w:rPr>
          <w:rFonts w:eastAsia="Times New Roman"/>
          <w:noProof/>
          <w:color w:val="000000"/>
          <w:sz w:val="22"/>
          <w:szCs w:val="20"/>
        </w:rPr>
        <w:fldChar w:fldCharType="end"/>
      </w:r>
    </w:p>
    <w:p w14:paraId="5488F476" w14:textId="5EB82A72" w:rsidR="001E69D0" w:rsidRPr="001E69D0" w:rsidRDefault="001E69D0" w:rsidP="001E69D0">
      <w:pPr>
        <w:tabs>
          <w:tab w:val="left" w:pos="2160"/>
          <w:tab w:val="right" w:leader="dot" w:pos="9016"/>
        </w:tabs>
        <w:spacing w:after="20" w:line="240" w:lineRule="auto"/>
        <w:ind w:left="2160" w:right="720" w:hanging="720"/>
        <w:jc w:val="left"/>
        <w:rPr>
          <w:rFonts w:eastAsia="MS Mincho"/>
          <w:noProof/>
          <w:sz w:val="22"/>
          <w:szCs w:val="22"/>
          <w:lang w:eastAsia="en-AU"/>
        </w:rPr>
      </w:pPr>
      <w:r w:rsidRPr="001E69D0">
        <w:rPr>
          <w:rFonts w:eastAsia="Times New Roman"/>
          <w:noProof/>
          <w:color w:val="000000"/>
          <w:sz w:val="22"/>
          <w:szCs w:val="20"/>
        </w:rPr>
        <w:t>Need for staff and health practitioner education</w:t>
      </w:r>
      <w:r w:rsidRPr="001E69D0">
        <w:rPr>
          <w:rFonts w:eastAsia="Times New Roman"/>
          <w:noProof/>
          <w:color w:val="000000"/>
          <w:sz w:val="22"/>
          <w:szCs w:val="20"/>
        </w:rPr>
        <w:tab/>
      </w:r>
      <w:r w:rsidRPr="001E69D0">
        <w:rPr>
          <w:rFonts w:eastAsia="Times New Roman"/>
          <w:noProof/>
          <w:color w:val="000000"/>
          <w:sz w:val="22"/>
          <w:szCs w:val="20"/>
        </w:rPr>
        <w:fldChar w:fldCharType="begin"/>
      </w:r>
      <w:r w:rsidRPr="001E69D0">
        <w:rPr>
          <w:rFonts w:eastAsia="Times New Roman"/>
          <w:noProof/>
          <w:color w:val="000000"/>
          <w:sz w:val="22"/>
          <w:szCs w:val="20"/>
        </w:rPr>
        <w:instrText xml:space="preserve"> PAGEREF _Toc121231618 \h </w:instrText>
      </w:r>
      <w:r w:rsidRPr="001E69D0">
        <w:rPr>
          <w:rFonts w:eastAsia="Times New Roman"/>
          <w:noProof/>
          <w:color w:val="000000"/>
          <w:sz w:val="22"/>
          <w:szCs w:val="20"/>
        </w:rPr>
      </w:r>
      <w:r w:rsidRPr="001E69D0">
        <w:rPr>
          <w:rFonts w:eastAsia="Times New Roman"/>
          <w:noProof/>
          <w:color w:val="000000"/>
          <w:sz w:val="22"/>
          <w:szCs w:val="20"/>
        </w:rPr>
        <w:fldChar w:fldCharType="separate"/>
      </w:r>
      <w:r w:rsidR="002178D6">
        <w:rPr>
          <w:rFonts w:eastAsia="Times New Roman"/>
          <w:noProof/>
          <w:color w:val="000000"/>
          <w:sz w:val="22"/>
          <w:szCs w:val="20"/>
        </w:rPr>
        <w:t>30</w:t>
      </w:r>
      <w:r w:rsidRPr="001E69D0">
        <w:rPr>
          <w:rFonts w:eastAsia="Times New Roman"/>
          <w:noProof/>
          <w:color w:val="000000"/>
          <w:sz w:val="22"/>
          <w:szCs w:val="20"/>
        </w:rPr>
        <w:fldChar w:fldCharType="end"/>
      </w:r>
    </w:p>
    <w:p w14:paraId="251724EA" w14:textId="127E571D" w:rsidR="001E69D0" w:rsidRPr="001E69D0" w:rsidRDefault="001E69D0" w:rsidP="001E69D0">
      <w:pPr>
        <w:tabs>
          <w:tab w:val="left" w:pos="1440"/>
          <w:tab w:val="right" w:leader="dot" w:pos="9016"/>
        </w:tabs>
        <w:spacing w:before="120" w:after="60" w:line="240" w:lineRule="auto"/>
        <w:ind w:left="1440" w:right="720" w:hanging="720"/>
        <w:jc w:val="left"/>
        <w:rPr>
          <w:rFonts w:eastAsia="MS Mincho"/>
          <w:noProof/>
          <w:sz w:val="22"/>
          <w:szCs w:val="22"/>
          <w:lang w:eastAsia="en-AU"/>
        </w:rPr>
      </w:pPr>
      <w:r w:rsidRPr="001E69D0">
        <w:rPr>
          <w:rFonts w:eastAsia="Times New Roman"/>
          <w:noProof/>
          <w:color w:val="000000"/>
          <w:sz w:val="22"/>
          <w:szCs w:val="20"/>
        </w:rPr>
        <w:t>Privacy concerns</w:t>
      </w:r>
      <w:r w:rsidRPr="001E69D0">
        <w:rPr>
          <w:rFonts w:eastAsia="Times New Roman"/>
          <w:noProof/>
          <w:color w:val="000000"/>
          <w:sz w:val="22"/>
          <w:szCs w:val="20"/>
        </w:rPr>
        <w:tab/>
      </w:r>
      <w:r w:rsidRPr="001E69D0">
        <w:rPr>
          <w:rFonts w:eastAsia="Times New Roman"/>
          <w:noProof/>
          <w:color w:val="000000"/>
          <w:sz w:val="22"/>
          <w:szCs w:val="20"/>
        </w:rPr>
        <w:fldChar w:fldCharType="begin"/>
      </w:r>
      <w:r w:rsidRPr="001E69D0">
        <w:rPr>
          <w:rFonts w:eastAsia="Times New Roman"/>
          <w:noProof/>
          <w:color w:val="000000"/>
          <w:sz w:val="22"/>
          <w:szCs w:val="20"/>
        </w:rPr>
        <w:instrText xml:space="preserve"> PAGEREF _Toc121231619 \h </w:instrText>
      </w:r>
      <w:r w:rsidRPr="001E69D0">
        <w:rPr>
          <w:rFonts w:eastAsia="Times New Roman"/>
          <w:noProof/>
          <w:color w:val="000000"/>
          <w:sz w:val="22"/>
          <w:szCs w:val="20"/>
        </w:rPr>
      </w:r>
      <w:r w:rsidRPr="001E69D0">
        <w:rPr>
          <w:rFonts w:eastAsia="Times New Roman"/>
          <w:noProof/>
          <w:color w:val="000000"/>
          <w:sz w:val="22"/>
          <w:szCs w:val="20"/>
        </w:rPr>
        <w:fldChar w:fldCharType="separate"/>
      </w:r>
      <w:r w:rsidR="002178D6">
        <w:rPr>
          <w:rFonts w:eastAsia="Times New Roman"/>
          <w:noProof/>
          <w:color w:val="000000"/>
          <w:sz w:val="22"/>
          <w:szCs w:val="20"/>
        </w:rPr>
        <w:t>30</w:t>
      </w:r>
      <w:r w:rsidRPr="001E69D0">
        <w:rPr>
          <w:rFonts w:eastAsia="Times New Roman"/>
          <w:noProof/>
          <w:color w:val="000000"/>
          <w:sz w:val="22"/>
          <w:szCs w:val="20"/>
        </w:rPr>
        <w:fldChar w:fldCharType="end"/>
      </w:r>
    </w:p>
    <w:p w14:paraId="03EFFAE1" w14:textId="306D81FB" w:rsidR="001E69D0" w:rsidRPr="001E69D0" w:rsidRDefault="001E69D0" w:rsidP="001E69D0">
      <w:pPr>
        <w:tabs>
          <w:tab w:val="left" w:pos="1440"/>
          <w:tab w:val="right" w:leader="dot" w:pos="9016"/>
        </w:tabs>
        <w:spacing w:before="120" w:after="60" w:line="240" w:lineRule="auto"/>
        <w:ind w:left="1440" w:right="720" w:hanging="720"/>
        <w:jc w:val="left"/>
        <w:rPr>
          <w:rFonts w:eastAsia="MS Mincho"/>
          <w:noProof/>
          <w:sz w:val="22"/>
          <w:szCs w:val="22"/>
          <w:lang w:eastAsia="en-AU"/>
        </w:rPr>
      </w:pPr>
      <w:r w:rsidRPr="001E69D0">
        <w:rPr>
          <w:rFonts w:eastAsia="Times New Roman"/>
          <w:noProof/>
          <w:color w:val="000000"/>
          <w:sz w:val="22"/>
          <w:szCs w:val="20"/>
        </w:rPr>
        <w:lastRenderedPageBreak/>
        <w:t>Impact of being registered on pharmacotherapy treatment</w:t>
      </w:r>
      <w:r w:rsidRPr="001E69D0">
        <w:rPr>
          <w:rFonts w:eastAsia="Times New Roman"/>
          <w:noProof/>
          <w:color w:val="000000"/>
          <w:sz w:val="22"/>
          <w:szCs w:val="20"/>
        </w:rPr>
        <w:tab/>
      </w:r>
      <w:r w:rsidRPr="001E69D0">
        <w:rPr>
          <w:rFonts w:eastAsia="Times New Roman"/>
          <w:noProof/>
          <w:color w:val="000000"/>
          <w:sz w:val="22"/>
          <w:szCs w:val="20"/>
        </w:rPr>
        <w:fldChar w:fldCharType="begin"/>
      </w:r>
      <w:r w:rsidRPr="001E69D0">
        <w:rPr>
          <w:rFonts w:eastAsia="Times New Roman"/>
          <w:noProof/>
          <w:color w:val="000000"/>
          <w:sz w:val="22"/>
          <w:szCs w:val="20"/>
        </w:rPr>
        <w:instrText xml:space="preserve"> PAGEREF _Toc121231620 \h </w:instrText>
      </w:r>
      <w:r w:rsidRPr="001E69D0">
        <w:rPr>
          <w:rFonts w:eastAsia="Times New Roman"/>
          <w:noProof/>
          <w:color w:val="000000"/>
          <w:sz w:val="22"/>
          <w:szCs w:val="20"/>
        </w:rPr>
      </w:r>
      <w:r w:rsidRPr="001E69D0">
        <w:rPr>
          <w:rFonts w:eastAsia="Times New Roman"/>
          <w:noProof/>
          <w:color w:val="000000"/>
          <w:sz w:val="22"/>
          <w:szCs w:val="20"/>
        </w:rPr>
        <w:fldChar w:fldCharType="separate"/>
      </w:r>
      <w:r w:rsidR="002178D6">
        <w:rPr>
          <w:rFonts w:eastAsia="Times New Roman"/>
          <w:noProof/>
          <w:color w:val="000000"/>
          <w:sz w:val="22"/>
          <w:szCs w:val="20"/>
        </w:rPr>
        <w:t>31</w:t>
      </w:r>
      <w:r w:rsidRPr="001E69D0">
        <w:rPr>
          <w:rFonts w:eastAsia="Times New Roman"/>
          <w:noProof/>
          <w:color w:val="000000"/>
          <w:sz w:val="22"/>
          <w:szCs w:val="20"/>
        </w:rPr>
        <w:fldChar w:fldCharType="end"/>
      </w:r>
    </w:p>
    <w:p w14:paraId="2878435C" w14:textId="170ABE71" w:rsidR="001E69D0" w:rsidRPr="001E69D0" w:rsidRDefault="001E69D0" w:rsidP="001E69D0">
      <w:pPr>
        <w:tabs>
          <w:tab w:val="left" w:pos="1440"/>
          <w:tab w:val="right" w:leader="dot" w:pos="9016"/>
        </w:tabs>
        <w:spacing w:before="120" w:after="60" w:line="240" w:lineRule="auto"/>
        <w:ind w:left="1440" w:right="720" w:hanging="720"/>
        <w:jc w:val="left"/>
        <w:rPr>
          <w:rFonts w:eastAsia="MS Mincho"/>
          <w:noProof/>
          <w:sz w:val="22"/>
          <w:szCs w:val="22"/>
          <w:lang w:eastAsia="en-AU"/>
        </w:rPr>
      </w:pPr>
      <w:r w:rsidRPr="001E69D0">
        <w:rPr>
          <w:rFonts w:eastAsia="Times New Roman"/>
          <w:noProof/>
          <w:color w:val="000000"/>
          <w:sz w:val="22"/>
          <w:szCs w:val="20"/>
        </w:rPr>
        <w:t>Supporting health practitioners to improve quality of care</w:t>
      </w:r>
      <w:r w:rsidRPr="001E69D0">
        <w:rPr>
          <w:rFonts w:eastAsia="Times New Roman"/>
          <w:noProof/>
          <w:color w:val="000000"/>
          <w:sz w:val="22"/>
          <w:szCs w:val="20"/>
        </w:rPr>
        <w:tab/>
      </w:r>
      <w:r w:rsidRPr="001E69D0">
        <w:rPr>
          <w:rFonts w:eastAsia="Times New Roman"/>
          <w:noProof/>
          <w:color w:val="000000"/>
          <w:sz w:val="22"/>
          <w:szCs w:val="20"/>
        </w:rPr>
        <w:fldChar w:fldCharType="begin"/>
      </w:r>
      <w:r w:rsidRPr="001E69D0">
        <w:rPr>
          <w:rFonts w:eastAsia="Times New Roman"/>
          <w:noProof/>
          <w:color w:val="000000"/>
          <w:sz w:val="22"/>
          <w:szCs w:val="20"/>
        </w:rPr>
        <w:instrText xml:space="preserve"> PAGEREF _Toc121231621 \h </w:instrText>
      </w:r>
      <w:r w:rsidRPr="001E69D0">
        <w:rPr>
          <w:rFonts w:eastAsia="Times New Roman"/>
          <w:noProof/>
          <w:color w:val="000000"/>
          <w:sz w:val="22"/>
          <w:szCs w:val="20"/>
        </w:rPr>
      </w:r>
      <w:r w:rsidRPr="001E69D0">
        <w:rPr>
          <w:rFonts w:eastAsia="Times New Roman"/>
          <w:noProof/>
          <w:color w:val="000000"/>
          <w:sz w:val="22"/>
          <w:szCs w:val="20"/>
        </w:rPr>
        <w:fldChar w:fldCharType="separate"/>
      </w:r>
      <w:r w:rsidR="002178D6">
        <w:rPr>
          <w:rFonts w:eastAsia="Times New Roman"/>
          <w:noProof/>
          <w:color w:val="000000"/>
          <w:sz w:val="22"/>
          <w:szCs w:val="20"/>
        </w:rPr>
        <w:t>32</w:t>
      </w:r>
      <w:r w:rsidRPr="001E69D0">
        <w:rPr>
          <w:rFonts w:eastAsia="Times New Roman"/>
          <w:noProof/>
          <w:color w:val="000000"/>
          <w:sz w:val="22"/>
          <w:szCs w:val="20"/>
        </w:rPr>
        <w:fldChar w:fldCharType="end"/>
      </w:r>
    </w:p>
    <w:p w14:paraId="28BCEE0D" w14:textId="23750B68" w:rsidR="001E69D0" w:rsidRPr="001E69D0" w:rsidRDefault="001E69D0" w:rsidP="001E69D0">
      <w:pPr>
        <w:tabs>
          <w:tab w:val="left" w:pos="720"/>
          <w:tab w:val="right" w:leader="dot" w:pos="9016"/>
        </w:tabs>
        <w:spacing w:before="360" w:after="60" w:line="240" w:lineRule="auto"/>
        <w:ind w:left="720" w:right="720" w:hanging="720"/>
        <w:jc w:val="left"/>
        <w:rPr>
          <w:rFonts w:eastAsia="MS Mincho"/>
          <w:noProof/>
          <w:sz w:val="22"/>
          <w:szCs w:val="22"/>
          <w:lang w:eastAsia="en-AU"/>
        </w:rPr>
      </w:pPr>
      <w:r w:rsidRPr="001E69D0">
        <w:rPr>
          <w:rFonts w:eastAsia="Times New Roman"/>
          <w:b/>
          <w:bCs/>
          <w:noProof/>
          <w:color w:val="000000"/>
          <w:sz w:val="22"/>
          <w:szCs w:val="20"/>
        </w:rPr>
        <w:t>Participant suggestions for improvements</w:t>
      </w:r>
      <w:r w:rsidRPr="001E69D0">
        <w:rPr>
          <w:rFonts w:eastAsia="Times New Roman"/>
          <w:b/>
          <w:bCs/>
          <w:noProof/>
          <w:color w:val="000000"/>
          <w:sz w:val="22"/>
          <w:szCs w:val="20"/>
        </w:rPr>
        <w:tab/>
      </w:r>
      <w:r w:rsidRPr="001E69D0">
        <w:rPr>
          <w:rFonts w:eastAsia="Times New Roman"/>
          <w:b/>
          <w:bCs/>
          <w:noProof/>
          <w:color w:val="000000"/>
          <w:sz w:val="22"/>
          <w:szCs w:val="20"/>
        </w:rPr>
        <w:fldChar w:fldCharType="begin"/>
      </w:r>
      <w:r w:rsidRPr="001E69D0">
        <w:rPr>
          <w:rFonts w:eastAsia="Times New Roman"/>
          <w:b/>
          <w:bCs/>
          <w:noProof/>
          <w:color w:val="000000"/>
          <w:sz w:val="22"/>
          <w:szCs w:val="20"/>
        </w:rPr>
        <w:instrText xml:space="preserve"> PAGEREF _Toc121231622 \h </w:instrText>
      </w:r>
      <w:r w:rsidRPr="001E69D0">
        <w:rPr>
          <w:rFonts w:eastAsia="Times New Roman"/>
          <w:b/>
          <w:bCs/>
          <w:noProof/>
          <w:color w:val="000000"/>
          <w:sz w:val="22"/>
          <w:szCs w:val="20"/>
        </w:rPr>
      </w:r>
      <w:r w:rsidRPr="001E69D0">
        <w:rPr>
          <w:rFonts w:eastAsia="Times New Roman"/>
          <w:b/>
          <w:bCs/>
          <w:noProof/>
          <w:color w:val="000000"/>
          <w:sz w:val="22"/>
          <w:szCs w:val="20"/>
        </w:rPr>
        <w:fldChar w:fldCharType="separate"/>
      </w:r>
      <w:r w:rsidR="002178D6">
        <w:rPr>
          <w:rFonts w:eastAsia="Times New Roman"/>
          <w:b/>
          <w:bCs/>
          <w:noProof/>
          <w:color w:val="000000"/>
          <w:sz w:val="22"/>
          <w:szCs w:val="20"/>
        </w:rPr>
        <w:t>33</w:t>
      </w:r>
      <w:r w:rsidRPr="001E69D0">
        <w:rPr>
          <w:rFonts w:eastAsia="Times New Roman"/>
          <w:b/>
          <w:bCs/>
          <w:noProof/>
          <w:color w:val="000000"/>
          <w:sz w:val="22"/>
          <w:szCs w:val="20"/>
        </w:rPr>
        <w:fldChar w:fldCharType="end"/>
      </w:r>
    </w:p>
    <w:p w14:paraId="73052317" w14:textId="1DAD8CD7" w:rsidR="001E69D0" w:rsidRPr="001E69D0" w:rsidRDefault="001E69D0" w:rsidP="001E69D0">
      <w:pPr>
        <w:tabs>
          <w:tab w:val="left" w:pos="720"/>
          <w:tab w:val="right" w:leader="dot" w:pos="9016"/>
        </w:tabs>
        <w:spacing w:before="360" w:after="60" w:line="240" w:lineRule="auto"/>
        <w:ind w:left="720" w:right="720" w:hanging="720"/>
        <w:jc w:val="left"/>
        <w:rPr>
          <w:rFonts w:eastAsia="MS Mincho"/>
          <w:noProof/>
          <w:sz w:val="22"/>
          <w:szCs w:val="22"/>
          <w:lang w:eastAsia="en-AU"/>
        </w:rPr>
      </w:pPr>
      <w:r w:rsidRPr="001E69D0">
        <w:rPr>
          <w:rFonts w:eastAsia="Times New Roman"/>
          <w:b/>
          <w:bCs/>
          <w:noProof/>
          <w:color w:val="000000"/>
          <w:sz w:val="22"/>
          <w:szCs w:val="20"/>
        </w:rPr>
        <w:t>Appendix 1: Participant characteristics</w:t>
      </w:r>
      <w:r w:rsidRPr="001E69D0">
        <w:rPr>
          <w:rFonts w:eastAsia="Times New Roman"/>
          <w:b/>
          <w:bCs/>
          <w:noProof/>
          <w:color w:val="000000"/>
          <w:sz w:val="22"/>
          <w:szCs w:val="20"/>
        </w:rPr>
        <w:tab/>
      </w:r>
      <w:r w:rsidRPr="001E69D0">
        <w:rPr>
          <w:rFonts w:eastAsia="Times New Roman"/>
          <w:b/>
          <w:bCs/>
          <w:noProof/>
          <w:color w:val="000000"/>
          <w:sz w:val="22"/>
          <w:szCs w:val="20"/>
        </w:rPr>
        <w:fldChar w:fldCharType="begin"/>
      </w:r>
      <w:r w:rsidRPr="001E69D0">
        <w:rPr>
          <w:rFonts w:eastAsia="Times New Roman"/>
          <w:b/>
          <w:bCs/>
          <w:noProof/>
          <w:color w:val="000000"/>
          <w:sz w:val="22"/>
          <w:szCs w:val="20"/>
        </w:rPr>
        <w:instrText xml:space="preserve"> PAGEREF _Toc121231623 \h </w:instrText>
      </w:r>
      <w:r w:rsidRPr="001E69D0">
        <w:rPr>
          <w:rFonts w:eastAsia="Times New Roman"/>
          <w:b/>
          <w:bCs/>
          <w:noProof/>
          <w:color w:val="000000"/>
          <w:sz w:val="22"/>
          <w:szCs w:val="20"/>
        </w:rPr>
      </w:r>
      <w:r w:rsidRPr="001E69D0">
        <w:rPr>
          <w:rFonts w:eastAsia="Times New Roman"/>
          <w:b/>
          <w:bCs/>
          <w:noProof/>
          <w:color w:val="000000"/>
          <w:sz w:val="22"/>
          <w:szCs w:val="20"/>
        </w:rPr>
        <w:fldChar w:fldCharType="separate"/>
      </w:r>
      <w:r w:rsidR="002178D6">
        <w:rPr>
          <w:rFonts w:eastAsia="Times New Roman"/>
          <w:b/>
          <w:bCs/>
          <w:noProof/>
          <w:color w:val="000000"/>
          <w:sz w:val="22"/>
          <w:szCs w:val="20"/>
        </w:rPr>
        <w:t>34</w:t>
      </w:r>
      <w:r w:rsidRPr="001E69D0">
        <w:rPr>
          <w:rFonts w:eastAsia="Times New Roman"/>
          <w:b/>
          <w:bCs/>
          <w:noProof/>
          <w:color w:val="000000"/>
          <w:sz w:val="22"/>
          <w:szCs w:val="20"/>
        </w:rPr>
        <w:fldChar w:fldCharType="end"/>
      </w:r>
    </w:p>
    <w:p w14:paraId="2720164E" w14:textId="0717EF41" w:rsidR="001E69D0" w:rsidRPr="001E69D0" w:rsidRDefault="001E69D0" w:rsidP="001E69D0">
      <w:pPr>
        <w:tabs>
          <w:tab w:val="left" w:pos="720"/>
          <w:tab w:val="right" w:leader="dot" w:pos="9016"/>
        </w:tabs>
        <w:spacing w:before="360" w:after="60" w:line="240" w:lineRule="auto"/>
        <w:ind w:left="720" w:right="720" w:hanging="720"/>
        <w:jc w:val="left"/>
        <w:rPr>
          <w:rFonts w:eastAsia="MS Mincho"/>
          <w:noProof/>
          <w:sz w:val="22"/>
          <w:szCs w:val="22"/>
          <w:lang w:eastAsia="en-AU"/>
        </w:rPr>
      </w:pPr>
      <w:r w:rsidRPr="001E69D0">
        <w:rPr>
          <w:rFonts w:eastAsia="Times New Roman"/>
          <w:b/>
          <w:bCs/>
          <w:noProof/>
          <w:color w:val="000000"/>
          <w:sz w:val="22"/>
          <w:szCs w:val="20"/>
        </w:rPr>
        <w:t>Appendix 2: Interview prompts</w:t>
      </w:r>
      <w:r w:rsidRPr="001E69D0">
        <w:rPr>
          <w:rFonts w:eastAsia="Times New Roman"/>
          <w:b/>
          <w:bCs/>
          <w:noProof/>
          <w:color w:val="000000"/>
          <w:sz w:val="22"/>
          <w:szCs w:val="20"/>
        </w:rPr>
        <w:tab/>
      </w:r>
      <w:r w:rsidRPr="001E69D0">
        <w:rPr>
          <w:rFonts w:eastAsia="Times New Roman"/>
          <w:b/>
          <w:bCs/>
          <w:noProof/>
          <w:color w:val="000000"/>
          <w:sz w:val="22"/>
          <w:szCs w:val="20"/>
        </w:rPr>
        <w:fldChar w:fldCharType="begin"/>
      </w:r>
      <w:r w:rsidRPr="001E69D0">
        <w:rPr>
          <w:rFonts w:eastAsia="Times New Roman"/>
          <w:b/>
          <w:bCs/>
          <w:noProof/>
          <w:color w:val="000000"/>
          <w:sz w:val="22"/>
          <w:szCs w:val="20"/>
        </w:rPr>
        <w:instrText xml:space="preserve"> PAGEREF _Toc121231624 \h </w:instrText>
      </w:r>
      <w:r w:rsidRPr="001E69D0">
        <w:rPr>
          <w:rFonts w:eastAsia="Times New Roman"/>
          <w:b/>
          <w:bCs/>
          <w:noProof/>
          <w:color w:val="000000"/>
          <w:sz w:val="22"/>
          <w:szCs w:val="20"/>
        </w:rPr>
      </w:r>
      <w:r w:rsidRPr="001E69D0">
        <w:rPr>
          <w:rFonts w:eastAsia="Times New Roman"/>
          <w:b/>
          <w:bCs/>
          <w:noProof/>
          <w:color w:val="000000"/>
          <w:sz w:val="22"/>
          <w:szCs w:val="20"/>
        </w:rPr>
        <w:fldChar w:fldCharType="separate"/>
      </w:r>
      <w:r w:rsidR="002178D6">
        <w:rPr>
          <w:rFonts w:eastAsia="Times New Roman"/>
          <w:b/>
          <w:bCs/>
          <w:noProof/>
          <w:color w:val="000000"/>
          <w:sz w:val="22"/>
          <w:szCs w:val="20"/>
        </w:rPr>
        <w:t>35</w:t>
      </w:r>
      <w:r w:rsidRPr="001E69D0">
        <w:rPr>
          <w:rFonts w:eastAsia="Times New Roman"/>
          <w:b/>
          <w:bCs/>
          <w:noProof/>
          <w:color w:val="000000"/>
          <w:sz w:val="22"/>
          <w:szCs w:val="20"/>
        </w:rPr>
        <w:fldChar w:fldCharType="end"/>
      </w:r>
    </w:p>
    <w:p w14:paraId="15046603" w14:textId="0633AAA9" w:rsidR="001E69D0" w:rsidRPr="001E69D0" w:rsidRDefault="001E69D0" w:rsidP="001E69D0">
      <w:pPr>
        <w:spacing w:after="240" w:line="240" w:lineRule="auto"/>
        <w:jc w:val="left"/>
        <w:rPr>
          <w:rFonts w:eastAsia="Times New Roman"/>
          <w:color w:val="000000"/>
          <w:sz w:val="22"/>
          <w:szCs w:val="20"/>
        </w:rPr>
      </w:pPr>
      <w:r w:rsidRPr="001E69D0">
        <w:rPr>
          <w:rFonts w:eastAsia="Times New Roman"/>
          <w:b/>
          <w:bCs/>
          <w:noProof/>
          <w:color w:val="000000"/>
          <w:sz w:val="22"/>
          <w:szCs w:val="20"/>
        </w:rPr>
        <w:fldChar w:fldCharType="end"/>
      </w:r>
    </w:p>
    <w:p w14:paraId="64CA32FD" w14:textId="77777777" w:rsidR="001E69D0" w:rsidRPr="001E69D0" w:rsidRDefault="001E69D0" w:rsidP="001E69D0">
      <w:pPr>
        <w:spacing w:after="240" w:line="240" w:lineRule="auto"/>
        <w:jc w:val="left"/>
        <w:rPr>
          <w:rFonts w:eastAsia="Times New Roman"/>
          <w:color w:val="000000"/>
          <w:sz w:val="22"/>
          <w:szCs w:val="20"/>
        </w:rPr>
        <w:sectPr w:rsidR="001E69D0" w:rsidRPr="001E69D0" w:rsidSect="00475593">
          <w:headerReference w:type="even" r:id="rId40"/>
          <w:headerReference w:type="default" r:id="rId41"/>
          <w:footerReference w:type="even" r:id="rId42"/>
          <w:footerReference w:type="default" r:id="rId43"/>
          <w:headerReference w:type="first" r:id="rId44"/>
          <w:footerReference w:type="first" r:id="rId45"/>
          <w:footnotePr>
            <w:numRestart w:val="eachSect"/>
          </w:footnotePr>
          <w:type w:val="oddPage"/>
          <w:pgSz w:w="11906" w:h="16838" w:code="9"/>
          <w:pgMar w:top="1440" w:right="1440" w:bottom="1440" w:left="1440" w:header="576" w:footer="576" w:gutter="0"/>
          <w:pgNumType w:fmt="lowerRoman" w:start="3"/>
          <w:cols w:space="720"/>
          <w:titlePg/>
        </w:sectPr>
      </w:pPr>
    </w:p>
    <w:p w14:paraId="3C131310" w14:textId="77777777" w:rsidR="001E69D0" w:rsidRPr="001E69D0" w:rsidRDefault="001E69D0" w:rsidP="001725C8">
      <w:pPr>
        <w:keepNext/>
        <w:pageBreakBefore/>
        <w:spacing w:after="480" w:line="240" w:lineRule="auto"/>
        <w:ind w:left="720" w:hanging="720"/>
        <w:jc w:val="left"/>
        <w:outlineLvl w:val="2"/>
        <w:rPr>
          <w:rFonts w:ascii="Open Sans" w:eastAsia="Times New Roman" w:hAnsi="Open Sans" w:cs="Open Sans"/>
          <w:b/>
          <w:bCs/>
          <w:color w:val="008CA6"/>
          <w:kern w:val="32"/>
          <w:sz w:val="40"/>
          <w:szCs w:val="40"/>
        </w:rPr>
      </w:pPr>
      <w:bookmarkStart w:id="717" w:name="_Toc121231585"/>
      <w:r w:rsidRPr="001E69D0">
        <w:rPr>
          <w:rFonts w:ascii="Open Sans" w:eastAsia="Times New Roman" w:hAnsi="Open Sans" w:cs="Open Sans"/>
          <w:b/>
          <w:bCs/>
          <w:color w:val="008CA6"/>
          <w:kern w:val="32"/>
          <w:sz w:val="40"/>
          <w:szCs w:val="40"/>
        </w:rPr>
        <w:lastRenderedPageBreak/>
        <w:t>Summary</w:t>
      </w:r>
      <w:bookmarkEnd w:id="717"/>
    </w:p>
    <w:p w14:paraId="42CF3005"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The Australian Government Department of Health and Aged Care is conducting a post-market review of the Pharmaceutical Benefits Scheme (PBS) medicines used to treat opioid dependence under the Opiate Dependence Treatment Program (ODTP).</w:t>
      </w:r>
    </w:p>
    <w:p w14:paraId="2171F62D"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A total of 106 clients of state and territory opioid dependence treatment programs shared their pharmacotherapy treatment journeys and experiences through focus groups and one-on-one interviews.</w:t>
      </w:r>
    </w:p>
    <w:p w14:paraId="2BFDE554" w14:textId="77777777" w:rsidR="001E69D0" w:rsidRPr="001E69D0" w:rsidRDefault="001E69D0" w:rsidP="001E69D0">
      <w:pPr>
        <w:spacing w:after="240" w:line="240" w:lineRule="auto"/>
        <w:jc w:val="left"/>
        <w:rPr>
          <w:rFonts w:eastAsia="Times New Roman"/>
          <w:color w:val="000000"/>
          <w:sz w:val="22"/>
          <w:szCs w:val="20"/>
          <w:highlight w:val="yellow"/>
        </w:rPr>
      </w:pPr>
      <w:r w:rsidRPr="001E69D0">
        <w:rPr>
          <w:rFonts w:eastAsia="Times New Roman"/>
          <w:color w:val="000000"/>
          <w:sz w:val="22"/>
          <w:szCs w:val="20"/>
        </w:rPr>
        <w:t>This report provides a summary of participants’ perspectives, including what they found works well, what does not work well and what changes could improve the program.</w:t>
      </w:r>
    </w:p>
    <w:p w14:paraId="46539E35" w14:textId="77777777" w:rsidR="001E69D0" w:rsidRPr="001E69D0" w:rsidRDefault="001E69D0" w:rsidP="001725C8">
      <w:pPr>
        <w:keepNext/>
        <w:spacing w:before="240" w:after="240" w:line="240" w:lineRule="auto"/>
        <w:ind w:left="720" w:hanging="720"/>
        <w:jc w:val="left"/>
        <w:outlineLvl w:val="3"/>
        <w:rPr>
          <w:rFonts w:ascii="Open Sans" w:eastAsia="Times New Roman" w:hAnsi="Open Sans" w:cs="Open Sans"/>
          <w:iCs/>
          <w:color w:val="008CA6"/>
          <w:sz w:val="28"/>
          <w:szCs w:val="28"/>
        </w:rPr>
      </w:pPr>
      <w:bookmarkStart w:id="718" w:name="_Toc121231586"/>
      <w:r w:rsidRPr="001E69D0">
        <w:rPr>
          <w:rFonts w:ascii="Open Sans" w:eastAsia="Times New Roman" w:hAnsi="Open Sans" w:cs="Open Sans"/>
          <w:iCs/>
          <w:color w:val="008CA6"/>
          <w:sz w:val="28"/>
          <w:szCs w:val="28"/>
        </w:rPr>
        <w:t>Key findings</w:t>
      </w:r>
      <w:bookmarkEnd w:id="718"/>
      <w:r w:rsidRPr="001E69D0">
        <w:rPr>
          <w:rFonts w:ascii="Open Sans" w:eastAsia="Times New Roman" w:hAnsi="Open Sans" w:cs="Open Sans"/>
          <w:iCs/>
          <w:color w:val="008CA6"/>
          <w:sz w:val="28"/>
          <w:szCs w:val="28"/>
        </w:rPr>
        <w:tab/>
      </w:r>
    </w:p>
    <w:p w14:paraId="10E9372A" w14:textId="77777777" w:rsidR="001E69D0" w:rsidRPr="001E69D0" w:rsidRDefault="001E69D0" w:rsidP="001E69D0">
      <w:pPr>
        <w:spacing w:after="240" w:line="240" w:lineRule="auto"/>
        <w:jc w:val="left"/>
        <w:rPr>
          <w:rFonts w:eastAsia="Times New Roman"/>
          <w:color w:val="000000"/>
          <w:sz w:val="22"/>
          <w:szCs w:val="20"/>
        </w:rPr>
      </w:pPr>
      <w:bookmarkStart w:id="719" w:name="_Hlk120682841"/>
      <w:r w:rsidRPr="001E69D0">
        <w:rPr>
          <w:rFonts w:eastAsia="Times New Roman"/>
          <w:color w:val="000000"/>
          <w:sz w:val="22"/>
          <w:szCs w:val="20"/>
        </w:rPr>
        <w:t xml:space="preserve">Experiences varied greatly between topics of discussion, but people’s individual journeys through the program are rarely smooth. </w:t>
      </w:r>
    </w:p>
    <w:p w14:paraId="5DF60CEA"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Although the program has enabled many people to stabilise their lives, and to study or maintain a job – accessing it is difficult, and it is expensive, restrictive and complicated.</w:t>
      </w:r>
    </w:p>
    <w:p w14:paraId="435A51DD"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The treatment is most participants’ top priority, over everything else, but managing its demanding logistics complicates many aspects of their lives. As one participant said:</w:t>
      </w:r>
    </w:p>
    <w:p w14:paraId="7B03517D"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Managing your dependency is a full-time job.</w:t>
      </w:r>
    </w:p>
    <w:p w14:paraId="495A302E" w14:textId="77777777" w:rsidR="001E69D0" w:rsidRPr="001E69D0" w:rsidRDefault="001E69D0" w:rsidP="001725C8">
      <w:pPr>
        <w:pStyle w:val="Consumerreportsubheading1"/>
        <w:outlineLvl w:val="4"/>
      </w:pPr>
      <w:r w:rsidRPr="001E69D0">
        <w:t>Access</w:t>
      </w:r>
    </w:p>
    <w:p w14:paraId="23F733A6" w14:textId="77777777" w:rsidR="001E69D0" w:rsidRPr="001E69D0" w:rsidRDefault="001E69D0" w:rsidP="001E69D0">
      <w:pPr>
        <w:keepNext/>
        <w:spacing w:line="240" w:lineRule="auto"/>
        <w:jc w:val="left"/>
        <w:rPr>
          <w:rFonts w:eastAsia="Times New Roman"/>
          <w:color w:val="000000"/>
          <w:sz w:val="22"/>
          <w:szCs w:val="20"/>
        </w:rPr>
      </w:pPr>
      <w:r w:rsidRPr="001E69D0">
        <w:rPr>
          <w:rFonts w:eastAsia="Times New Roman"/>
          <w:color w:val="000000"/>
          <w:sz w:val="22"/>
          <w:szCs w:val="20"/>
        </w:rPr>
        <w:t>Access was a major issue for many participants:</w:t>
      </w:r>
    </w:p>
    <w:p w14:paraId="5D852019" w14:textId="77777777" w:rsidR="001E69D0" w:rsidRPr="001E69D0" w:rsidRDefault="001E69D0" w:rsidP="007E3DC8">
      <w:pPr>
        <w:pStyle w:val="Bullet"/>
        <w:numPr>
          <w:ilvl w:val="0"/>
          <w:numId w:val="37"/>
        </w:numPr>
        <w:tabs>
          <w:tab w:val="num" w:pos="360"/>
        </w:tabs>
        <w:ind w:left="360"/>
      </w:pPr>
      <w:r w:rsidRPr="001E69D0">
        <w:t>A shortage of state and territory approved pharmacotherapy prescribers means that some people have trouble getting timely appointments for their prescriptions or have to travel long distances. The expansion of telehealth has helped to some degree.</w:t>
      </w:r>
    </w:p>
    <w:p w14:paraId="572D5325" w14:textId="77777777" w:rsidR="001E69D0" w:rsidRPr="001E69D0" w:rsidRDefault="001E69D0" w:rsidP="007E3DC8">
      <w:pPr>
        <w:pStyle w:val="Bullet"/>
        <w:numPr>
          <w:ilvl w:val="0"/>
          <w:numId w:val="37"/>
        </w:numPr>
        <w:tabs>
          <w:tab w:val="num" w:pos="360"/>
        </w:tabs>
        <w:ind w:left="360"/>
      </w:pPr>
      <w:r w:rsidRPr="001E69D0">
        <w:t>A shortage of dispensers means that there are long waiting lists, and dispensers can decline to take on clients.</w:t>
      </w:r>
    </w:p>
    <w:p w14:paraId="00DB9A25" w14:textId="77777777" w:rsidR="001E69D0" w:rsidRPr="001E69D0" w:rsidRDefault="001E69D0" w:rsidP="007E3DC8">
      <w:pPr>
        <w:pStyle w:val="Bullet"/>
        <w:numPr>
          <w:ilvl w:val="0"/>
          <w:numId w:val="37"/>
        </w:numPr>
        <w:tabs>
          <w:tab w:val="num" w:pos="360"/>
        </w:tabs>
        <w:ind w:left="360"/>
      </w:pPr>
      <w:r w:rsidRPr="001E69D0">
        <w:t>Restricted access hours set by dispensers and the long distances some participants must travel to their dispenser affect personal relationships and employment opportunities.</w:t>
      </w:r>
    </w:p>
    <w:p w14:paraId="03B53FE8" w14:textId="77777777" w:rsidR="001E69D0" w:rsidRPr="001E69D0" w:rsidRDefault="001E69D0" w:rsidP="001725C8">
      <w:pPr>
        <w:pStyle w:val="Consumerreportsubheading1"/>
        <w:outlineLvl w:val="4"/>
      </w:pPr>
      <w:r w:rsidRPr="001E69D0">
        <w:t>Cost</w:t>
      </w:r>
    </w:p>
    <w:p w14:paraId="5B615F2D" w14:textId="77777777" w:rsidR="001E69D0" w:rsidRPr="001E69D0" w:rsidRDefault="001E69D0" w:rsidP="001E69D0">
      <w:pPr>
        <w:keepNext/>
        <w:spacing w:line="240" w:lineRule="auto"/>
        <w:jc w:val="left"/>
        <w:rPr>
          <w:rFonts w:eastAsia="Times New Roman"/>
          <w:color w:val="000000"/>
          <w:sz w:val="22"/>
          <w:szCs w:val="20"/>
        </w:rPr>
      </w:pPr>
      <w:r w:rsidRPr="001E69D0">
        <w:rPr>
          <w:rFonts w:eastAsia="Times New Roman"/>
          <w:color w:val="000000"/>
          <w:sz w:val="22"/>
          <w:szCs w:val="20"/>
        </w:rPr>
        <w:t>Cost was a major issue for most participants:</w:t>
      </w:r>
    </w:p>
    <w:p w14:paraId="418D3A04" w14:textId="77777777" w:rsidR="001E69D0" w:rsidRPr="001E69D0" w:rsidRDefault="001E69D0" w:rsidP="007E3DC8">
      <w:pPr>
        <w:pStyle w:val="Bullet"/>
        <w:numPr>
          <w:ilvl w:val="0"/>
          <w:numId w:val="37"/>
        </w:numPr>
        <w:tabs>
          <w:tab w:val="num" w:pos="360"/>
        </w:tabs>
        <w:ind w:left="360"/>
      </w:pPr>
      <w:r w:rsidRPr="001E69D0">
        <w:t>Few prescribers bulk bill and dispensing fees vary, so the cost of treatment takes up a large proportion of many participants’ income.</w:t>
      </w:r>
    </w:p>
    <w:p w14:paraId="61F77EEC" w14:textId="77777777" w:rsidR="001E69D0" w:rsidRPr="001E69D0" w:rsidRDefault="001E69D0" w:rsidP="007E3DC8">
      <w:pPr>
        <w:pStyle w:val="Bullet"/>
        <w:numPr>
          <w:ilvl w:val="0"/>
          <w:numId w:val="37"/>
        </w:numPr>
        <w:tabs>
          <w:tab w:val="num" w:pos="360"/>
        </w:tabs>
        <w:ind w:left="360"/>
      </w:pPr>
      <w:r w:rsidRPr="001E69D0">
        <w:t>Although public clinics provide free treatment, they are often not a viable option for participants, because of distance and restricted opening hours.</w:t>
      </w:r>
    </w:p>
    <w:p w14:paraId="6ECD0AE8" w14:textId="77777777" w:rsidR="001E69D0" w:rsidRPr="001E69D0" w:rsidRDefault="001E69D0" w:rsidP="007E3DC8">
      <w:pPr>
        <w:pStyle w:val="Bullet"/>
        <w:numPr>
          <w:ilvl w:val="0"/>
          <w:numId w:val="37"/>
        </w:numPr>
        <w:tabs>
          <w:tab w:val="num" w:pos="360"/>
        </w:tabs>
        <w:ind w:left="360"/>
      </w:pPr>
      <w:r w:rsidRPr="001E69D0">
        <w:t>Participants prioritise paying for their treatment over everything else, because they struggle to function without it. This sometimes means they forego food or other critical medicines, or they get behind on rent and utilities payments.</w:t>
      </w:r>
    </w:p>
    <w:p w14:paraId="4B286B0E" w14:textId="77777777" w:rsidR="001E69D0" w:rsidRPr="001E69D0" w:rsidRDefault="001E69D0" w:rsidP="001E69D0">
      <w:pPr>
        <w:pStyle w:val="Bullet"/>
      </w:pPr>
      <w:r w:rsidRPr="001E69D0">
        <w:lastRenderedPageBreak/>
        <w:t>Many participants said they wanted medicines on the program to be treated like any other prescription medicine, with a cap on pricing, a safety net threshold, and the ability to collect from any pharmacy at any time.</w:t>
      </w:r>
    </w:p>
    <w:p w14:paraId="689FCCD4" w14:textId="77777777" w:rsidR="001E69D0" w:rsidRPr="001E69D0" w:rsidRDefault="001E69D0" w:rsidP="001725C8">
      <w:pPr>
        <w:pStyle w:val="Consumerreportsubheading1"/>
        <w:outlineLvl w:val="4"/>
      </w:pPr>
      <w:r w:rsidRPr="001E69D0">
        <w:t>Treatment frequency</w:t>
      </w:r>
    </w:p>
    <w:p w14:paraId="5581CB90"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Frequent attendance during restricted hours and limited numbers of takeaway doses caused significant disruption in people’s lives – many worked reduced hours or had to turn down job opportunities as a result.</w:t>
      </w:r>
    </w:p>
    <w:p w14:paraId="6F6B3863"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In general, people with fewer interactions with prescribers and dispensers (those who had longer intervals between prescriptions, more takeaway doses, or monthly injections) had a more positive experience.</w:t>
      </w:r>
    </w:p>
    <w:p w14:paraId="7F5F2F70" w14:textId="77777777" w:rsidR="001E69D0" w:rsidRPr="001E69D0" w:rsidRDefault="001E69D0" w:rsidP="001725C8">
      <w:pPr>
        <w:pStyle w:val="Consumerreportsubheading1"/>
        <w:outlineLvl w:val="4"/>
      </w:pPr>
      <w:r w:rsidRPr="001E69D0">
        <w:t>Autonomy and choice</w:t>
      </w:r>
    </w:p>
    <w:p w14:paraId="01ABD719"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Participants stressed the importance of having the choice of medicine type, and autonomy to manage their own medicines, because their experiences on different medicines varied greatly. But many had no choice in the type of medicine they received or felt pressured to switch medicine.</w:t>
      </w:r>
    </w:p>
    <w:p w14:paraId="386793DA" w14:textId="77777777" w:rsidR="001E69D0" w:rsidRPr="001E69D0" w:rsidRDefault="001E69D0" w:rsidP="001725C8">
      <w:pPr>
        <w:pStyle w:val="Consumerreportsubheading1"/>
        <w:outlineLvl w:val="4"/>
      </w:pPr>
      <w:r w:rsidRPr="001E69D0">
        <w:t>Impact on access to other medicines</w:t>
      </w:r>
    </w:p>
    <w:p w14:paraId="789FEDC2"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Being registered on a pharmacotherapy program means that people cannot access other medicines when they need them, even for significant pain. Several participants had experienced major issues as a result.</w:t>
      </w:r>
    </w:p>
    <w:p w14:paraId="2A711AF9" w14:textId="77777777" w:rsidR="001E69D0" w:rsidRPr="001E69D0" w:rsidRDefault="001E69D0" w:rsidP="001725C8">
      <w:pPr>
        <w:pStyle w:val="Consumerreportsubheading1"/>
        <w:outlineLvl w:val="4"/>
      </w:pPr>
      <w:r w:rsidRPr="001E69D0">
        <w:t>Transfers</w:t>
      </w:r>
    </w:p>
    <w:p w14:paraId="502480B9" w14:textId="35457C2F"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Participants found the process for transferring between states and territories to be complicated and stressful, and to</w:t>
      </w:r>
      <w:r w:rsidR="00D2178D">
        <w:rPr>
          <w:rFonts w:eastAsia="Times New Roman"/>
          <w:color w:val="000000"/>
          <w:sz w:val="22"/>
          <w:szCs w:val="20"/>
        </w:rPr>
        <w:t>o</w:t>
      </w:r>
      <w:r w:rsidRPr="001E69D0">
        <w:rPr>
          <w:rFonts w:eastAsia="Times New Roman"/>
          <w:color w:val="000000"/>
          <w:sz w:val="22"/>
          <w:szCs w:val="20"/>
        </w:rPr>
        <w:t xml:space="preserve"> often go wrong. Some participants miss out on travel or work opportunities to avoid going through it. Many called for a national system or better use of technology to simplify transfers. </w:t>
      </w:r>
    </w:p>
    <w:p w14:paraId="236B10E0" w14:textId="77777777" w:rsidR="001E69D0" w:rsidRPr="001E69D0" w:rsidRDefault="001E69D0" w:rsidP="001725C8">
      <w:pPr>
        <w:pStyle w:val="Consumerreportsubheading1"/>
        <w:outlineLvl w:val="4"/>
      </w:pPr>
      <w:r w:rsidRPr="001E69D0">
        <w:t>Parallel support</w:t>
      </w:r>
    </w:p>
    <w:p w14:paraId="5D7328C8"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Very few people have been referred to other support services, such as counselling, through the program. Many were afraid to seek other support for fear of punitive measures.</w:t>
      </w:r>
    </w:p>
    <w:p w14:paraId="25F05E78" w14:textId="77777777" w:rsidR="001E69D0" w:rsidRPr="001E69D0" w:rsidRDefault="001E69D0" w:rsidP="001725C8">
      <w:pPr>
        <w:pStyle w:val="Consumerreportsubheading1"/>
        <w:outlineLvl w:val="4"/>
      </w:pPr>
      <w:r w:rsidRPr="001E69D0">
        <w:t>Stigma and relationships with prescribers and dispensers</w:t>
      </w:r>
    </w:p>
    <w:p w14:paraId="1164E4F5"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The service provided by different prescribers and dispensers varied vastly. The relationships that participants have with their prescriber and dispenser make a huge difference to their experience of the program.</w:t>
      </w:r>
    </w:p>
    <w:p w14:paraId="66B049CB" w14:textId="77777777" w:rsidR="001E69D0" w:rsidRPr="001E69D0" w:rsidRDefault="001E69D0" w:rsidP="001E69D0">
      <w:pPr>
        <w:keepNext/>
        <w:spacing w:line="240" w:lineRule="auto"/>
        <w:jc w:val="left"/>
        <w:rPr>
          <w:rFonts w:eastAsia="Times New Roman"/>
          <w:color w:val="000000"/>
          <w:sz w:val="22"/>
          <w:szCs w:val="20"/>
        </w:rPr>
      </w:pPr>
      <w:r w:rsidRPr="001E69D0">
        <w:rPr>
          <w:rFonts w:eastAsia="Times New Roman"/>
          <w:color w:val="000000"/>
          <w:sz w:val="22"/>
          <w:szCs w:val="20"/>
        </w:rPr>
        <w:t>All participants who discussed the topic had experienced stigma and discrimination from members of the public, pharmacy staff and health practitioners, and many had faced privacy issues:</w:t>
      </w:r>
    </w:p>
    <w:p w14:paraId="140BD2D5" w14:textId="77777777" w:rsidR="001E69D0" w:rsidRPr="001E69D0" w:rsidRDefault="001E69D0" w:rsidP="007E3DC8">
      <w:pPr>
        <w:pStyle w:val="Bullet"/>
        <w:numPr>
          <w:ilvl w:val="0"/>
          <w:numId w:val="37"/>
        </w:numPr>
        <w:tabs>
          <w:tab w:val="num" w:pos="360"/>
        </w:tabs>
        <w:ind w:left="360"/>
      </w:pPr>
      <w:r w:rsidRPr="001E69D0">
        <w:t>At some dispensers, even if they are the first to arrive, participants often wait for their dose in full view of other customers for long periods until all other customers have been served.</w:t>
      </w:r>
    </w:p>
    <w:p w14:paraId="24A3DFF1" w14:textId="77777777" w:rsidR="001E69D0" w:rsidRPr="001E69D0" w:rsidRDefault="001E69D0" w:rsidP="007E3DC8">
      <w:pPr>
        <w:pStyle w:val="Bullet"/>
        <w:numPr>
          <w:ilvl w:val="0"/>
          <w:numId w:val="37"/>
        </w:numPr>
        <w:tabs>
          <w:tab w:val="num" w:pos="360"/>
        </w:tabs>
        <w:ind w:left="360"/>
      </w:pPr>
      <w:r w:rsidRPr="001E69D0">
        <w:t>Participants felt they were seen as one-dimensional ‘drug addicts/junkies’ rather than people with health concerns. Needing other medicine is often seen as drug-seeking behaviour rather than a genuine need, and other health issues are sometimes not investigated or diagnosed.</w:t>
      </w:r>
    </w:p>
    <w:p w14:paraId="3DD2DA9F" w14:textId="77777777" w:rsidR="001E69D0" w:rsidRPr="001E69D0" w:rsidRDefault="001E69D0" w:rsidP="007E3DC8">
      <w:pPr>
        <w:pStyle w:val="Bullet"/>
        <w:numPr>
          <w:ilvl w:val="0"/>
          <w:numId w:val="37"/>
        </w:numPr>
        <w:tabs>
          <w:tab w:val="num" w:pos="360"/>
        </w:tabs>
        <w:ind w:left="360"/>
      </w:pPr>
      <w:r w:rsidRPr="001E69D0">
        <w:t>Some participants raised urine testing as being humiliating, stigmatising and punitive.</w:t>
      </w:r>
    </w:p>
    <w:p w14:paraId="5D19D6D5" w14:textId="77777777" w:rsidR="001E69D0" w:rsidRPr="001E69D0" w:rsidRDefault="001E69D0" w:rsidP="007E3DC8">
      <w:pPr>
        <w:pStyle w:val="Bullet"/>
        <w:numPr>
          <w:ilvl w:val="0"/>
          <w:numId w:val="37"/>
        </w:numPr>
        <w:tabs>
          <w:tab w:val="num" w:pos="360"/>
        </w:tabs>
        <w:ind w:left="360"/>
      </w:pPr>
      <w:r w:rsidRPr="001E69D0">
        <w:t>Many participants felt that health practitioners and other staff needed more education about their circumstances.</w:t>
      </w:r>
    </w:p>
    <w:p w14:paraId="435397C0" w14:textId="55726AB0" w:rsidR="001E69D0" w:rsidRPr="001E69D0" w:rsidRDefault="001E69D0" w:rsidP="001725C8">
      <w:pPr>
        <w:keepNext/>
        <w:pageBreakBefore/>
        <w:spacing w:after="480" w:line="240" w:lineRule="auto"/>
        <w:ind w:left="720" w:hanging="720"/>
        <w:jc w:val="left"/>
        <w:outlineLvl w:val="2"/>
        <w:rPr>
          <w:rFonts w:ascii="Open Sans" w:eastAsia="Times New Roman" w:hAnsi="Open Sans" w:cs="Open Sans"/>
          <w:b/>
          <w:bCs/>
          <w:color w:val="008CA6"/>
          <w:kern w:val="32"/>
          <w:sz w:val="40"/>
          <w:szCs w:val="40"/>
        </w:rPr>
      </w:pPr>
      <w:bookmarkStart w:id="720" w:name="_Toc121231587"/>
      <w:bookmarkEnd w:id="719"/>
      <w:r w:rsidRPr="001E69D0">
        <w:rPr>
          <w:rFonts w:ascii="Open Sans" w:eastAsia="Times New Roman" w:hAnsi="Open Sans" w:cs="Open Sans"/>
          <w:b/>
          <w:bCs/>
          <w:color w:val="008CA6"/>
          <w:kern w:val="32"/>
          <w:sz w:val="40"/>
          <w:szCs w:val="40"/>
        </w:rPr>
        <w:lastRenderedPageBreak/>
        <w:t>Background</w:t>
      </w:r>
      <w:bookmarkEnd w:id="720"/>
    </w:p>
    <w:p w14:paraId="78F16994" w14:textId="77777777" w:rsidR="001E69D0" w:rsidRPr="001E69D0" w:rsidRDefault="001E69D0" w:rsidP="001725C8">
      <w:pPr>
        <w:keepNext/>
        <w:spacing w:before="240" w:after="240" w:line="240" w:lineRule="auto"/>
        <w:ind w:left="720" w:hanging="720"/>
        <w:jc w:val="left"/>
        <w:outlineLvl w:val="3"/>
        <w:rPr>
          <w:rFonts w:ascii="Open Sans" w:eastAsia="Times New Roman" w:hAnsi="Open Sans" w:cs="Open Sans"/>
          <w:iCs/>
          <w:color w:val="008CA6"/>
          <w:sz w:val="28"/>
          <w:szCs w:val="28"/>
        </w:rPr>
      </w:pPr>
      <w:bookmarkStart w:id="721" w:name="_Toc121231588"/>
      <w:r w:rsidRPr="001E69D0">
        <w:rPr>
          <w:rFonts w:ascii="Open Sans" w:eastAsia="Times New Roman" w:hAnsi="Open Sans" w:cs="Open Sans"/>
          <w:iCs/>
          <w:color w:val="008CA6"/>
          <w:sz w:val="28"/>
          <w:szCs w:val="28"/>
        </w:rPr>
        <w:t>The review</w:t>
      </w:r>
      <w:bookmarkEnd w:id="721"/>
    </w:p>
    <w:p w14:paraId="606C41E2"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The Australian Government Department of Health and Aged Care is conducting a post-market review of the PBS medicines used to treat opioid dependence under the ODTP.</w:t>
      </w:r>
    </w:p>
    <w:p w14:paraId="34286354" w14:textId="77777777" w:rsidR="001E69D0" w:rsidRPr="001E69D0" w:rsidRDefault="001E69D0" w:rsidP="001E69D0">
      <w:pPr>
        <w:keepNext/>
        <w:spacing w:line="240" w:lineRule="auto"/>
        <w:jc w:val="left"/>
        <w:rPr>
          <w:rFonts w:eastAsia="Times New Roman"/>
          <w:color w:val="000000"/>
          <w:sz w:val="22"/>
          <w:szCs w:val="20"/>
        </w:rPr>
      </w:pPr>
      <w:r w:rsidRPr="001E69D0">
        <w:rPr>
          <w:rFonts w:eastAsia="Times New Roman"/>
          <w:color w:val="000000"/>
          <w:sz w:val="22"/>
          <w:szCs w:val="20"/>
        </w:rPr>
        <w:t>The 3 medicines provided by the program are:</w:t>
      </w:r>
    </w:p>
    <w:p w14:paraId="0C775A65" w14:textId="77777777" w:rsidR="001E69D0" w:rsidRPr="0031367D" w:rsidRDefault="001E69D0" w:rsidP="007E3DC8">
      <w:pPr>
        <w:pStyle w:val="Bullet"/>
        <w:numPr>
          <w:ilvl w:val="0"/>
          <w:numId w:val="38"/>
        </w:numPr>
        <w:tabs>
          <w:tab w:val="num" w:pos="360"/>
        </w:tabs>
        <w:ind w:left="360"/>
      </w:pPr>
      <w:r w:rsidRPr="0031367D">
        <w:t xml:space="preserve">buprenorphine (sublingual tablets, Subutex®, and </w:t>
      </w:r>
      <w:bookmarkStart w:id="722" w:name="_Hlk120783516"/>
      <w:r w:rsidRPr="0031367D">
        <w:t>modified-release injections</w:t>
      </w:r>
      <w:bookmarkEnd w:id="722"/>
      <w:r w:rsidRPr="0031367D">
        <w:t>, Buvidal® and Sublocade®)</w:t>
      </w:r>
    </w:p>
    <w:p w14:paraId="59D3961A" w14:textId="77777777" w:rsidR="001E69D0" w:rsidRPr="0031367D" w:rsidRDefault="001E69D0" w:rsidP="007E3DC8">
      <w:pPr>
        <w:pStyle w:val="Bullet"/>
        <w:numPr>
          <w:ilvl w:val="0"/>
          <w:numId w:val="38"/>
        </w:numPr>
        <w:tabs>
          <w:tab w:val="num" w:pos="360"/>
        </w:tabs>
        <w:ind w:left="360"/>
      </w:pPr>
      <w:r w:rsidRPr="0031367D">
        <w:t>buprenorphine with naloxone (sublingual films, Subutex®)</w:t>
      </w:r>
    </w:p>
    <w:p w14:paraId="2532533E" w14:textId="77777777" w:rsidR="001E69D0" w:rsidRPr="0031367D" w:rsidRDefault="001E69D0" w:rsidP="0031367D">
      <w:pPr>
        <w:pStyle w:val="Consumerreportbullets"/>
      </w:pPr>
      <w:r w:rsidRPr="0031367D">
        <w:t>methadone (oral liquid, Aspen Methadone Syrup® and Biodone Forte®).</w:t>
      </w:r>
    </w:p>
    <w:p w14:paraId="16B0254D" w14:textId="77777777" w:rsidR="001E69D0" w:rsidRPr="001E69D0" w:rsidRDefault="001E69D0" w:rsidP="001E69D0">
      <w:pPr>
        <w:keepNext/>
        <w:spacing w:line="240" w:lineRule="auto"/>
        <w:jc w:val="left"/>
        <w:rPr>
          <w:rFonts w:eastAsia="Times New Roman"/>
          <w:color w:val="000000"/>
          <w:sz w:val="22"/>
          <w:szCs w:val="20"/>
        </w:rPr>
      </w:pPr>
      <w:r w:rsidRPr="001E69D0">
        <w:rPr>
          <w:rFonts w:eastAsia="Times New Roman"/>
          <w:color w:val="000000"/>
          <w:sz w:val="22"/>
          <w:szCs w:val="20"/>
        </w:rPr>
        <w:t>The Australian Government pays the full cost of ODTP medicines. State and territory governments are responsible for program regulation and administration, including:</w:t>
      </w:r>
    </w:p>
    <w:p w14:paraId="7E93C227" w14:textId="77777777" w:rsidR="001E69D0" w:rsidRPr="0031367D" w:rsidRDefault="001E69D0" w:rsidP="0031367D">
      <w:pPr>
        <w:pStyle w:val="Consumerreportbullets"/>
      </w:pPr>
      <w:r w:rsidRPr="0031367D">
        <w:t>approving prescribers and dispensing sites</w:t>
      </w:r>
    </w:p>
    <w:p w14:paraId="058C4171" w14:textId="77777777" w:rsidR="001E69D0" w:rsidRPr="0031367D" w:rsidRDefault="001E69D0" w:rsidP="0031367D">
      <w:pPr>
        <w:pStyle w:val="Consumerreportbullets"/>
      </w:pPr>
      <w:r w:rsidRPr="0031367D">
        <w:t>enrolling clients</w:t>
      </w:r>
    </w:p>
    <w:p w14:paraId="70B7357C" w14:textId="77777777" w:rsidR="001E69D0" w:rsidRPr="0031367D" w:rsidRDefault="001E69D0" w:rsidP="0031367D">
      <w:pPr>
        <w:pStyle w:val="Consumerreportbullets"/>
      </w:pPr>
      <w:r w:rsidRPr="0031367D">
        <w:t>regulating the prescribing, supply and supervised dosing of the medicines.</w:t>
      </w:r>
    </w:p>
    <w:p w14:paraId="3F8BC10B" w14:textId="77777777" w:rsidR="001E69D0" w:rsidRPr="001E69D0" w:rsidRDefault="001E69D0" w:rsidP="001E69D0">
      <w:pPr>
        <w:spacing w:after="240" w:line="240" w:lineRule="auto"/>
        <w:jc w:val="left"/>
        <w:rPr>
          <w:rFonts w:eastAsia="Times New Roman" w:cs="Calibri"/>
          <w:bCs/>
          <w:color w:val="000000"/>
          <w:sz w:val="22"/>
        </w:rPr>
      </w:pPr>
      <w:r w:rsidRPr="001E69D0">
        <w:rPr>
          <w:rFonts w:eastAsia="Times New Roman"/>
          <w:color w:val="000000"/>
          <w:sz w:val="22"/>
          <w:szCs w:val="20"/>
        </w:rPr>
        <w:t xml:space="preserve">People in opioid dependence treatment programs do not pay a PBS co-payment, and there is no Australian Government subsidy for dispensing and dose management activities. Dispensers charge clients a private dosing fee, which can vary and does not count towards the client’s </w:t>
      </w:r>
      <w:bookmarkStart w:id="723" w:name="_Hlk120783870"/>
      <w:r w:rsidRPr="001E69D0">
        <w:rPr>
          <w:rFonts w:eastAsia="Times New Roman" w:cs="Calibri"/>
          <w:bCs/>
          <w:color w:val="000000"/>
          <w:sz w:val="22"/>
        </w:rPr>
        <w:t>PBS safety net threshold</w:t>
      </w:r>
      <w:bookmarkEnd w:id="723"/>
      <w:r w:rsidRPr="001E69D0">
        <w:rPr>
          <w:rFonts w:eastAsia="Times New Roman" w:cs="Calibri"/>
          <w:bCs/>
          <w:color w:val="000000"/>
          <w:sz w:val="22"/>
        </w:rPr>
        <w:t>.</w:t>
      </w:r>
    </w:p>
    <w:p w14:paraId="6F79AB85"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The majority of clients access their medicines from community pharmacies, but other dosing sites include public and private clinics, correctional facilities and other health services.</w:t>
      </w:r>
    </w:p>
    <w:p w14:paraId="29B5F611" w14:textId="77777777" w:rsidR="001E69D0" w:rsidRPr="001E69D0" w:rsidRDefault="00000000" w:rsidP="001E69D0">
      <w:pPr>
        <w:spacing w:after="240" w:line="240" w:lineRule="auto"/>
        <w:jc w:val="left"/>
        <w:rPr>
          <w:rFonts w:eastAsia="Times New Roman"/>
          <w:color w:val="000000"/>
          <w:sz w:val="22"/>
          <w:szCs w:val="20"/>
        </w:rPr>
      </w:pPr>
      <w:hyperlink r:id="rId46" w:history="1">
        <w:r w:rsidR="001E69D0" w:rsidRPr="001E69D0">
          <w:rPr>
            <w:rFonts w:eastAsia="Times New Roman"/>
            <w:color w:val="0000FF"/>
            <w:sz w:val="22"/>
            <w:szCs w:val="20"/>
            <w:u w:val="single"/>
          </w:rPr>
          <w:t>Read more about the review</w:t>
        </w:r>
      </w:hyperlink>
      <w:r w:rsidR="001E69D0" w:rsidRPr="001E69D0">
        <w:rPr>
          <w:rFonts w:eastAsia="Times New Roman"/>
          <w:color w:val="000000"/>
          <w:sz w:val="22"/>
          <w:szCs w:val="20"/>
        </w:rPr>
        <w:t>.</w:t>
      </w:r>
    </w:p>
    <w:p w14:paraId="44ADC19E" w14:textId="77777777" w:rsidR="001E69D0" w:rsidRPr="001E69D0" w:rsidRDefault="001E69D0" w:rsidP="001725C8">
      <w:pPr>
        <w:keepNext/>
        <w:spacing w:before="240" w:after="240" w:line="240" w:lineRule="auto"/>
        <w:ind w:left="720" w:hanging="720"/>
        <w:jc w:val="left"/>
        <w:outlineLvl w:val="3"/>
        <w:rPr>
          <w:rFonts w:ascii="Open Sans" w:eastAsia="Times New Roman" w:hAnsi="Open Sans" w:cs="Open Sans"/>
          <w:iCs/>
          <w:color w:val="008CA6"/>
          <w:sz w:val="28"/>
          <w:szCs w:val="28"/>
        </w:rPr>
      </w:pPr>
      <w:bookmarkStart w:id="724" w:name="_Toc121231589"/>
      <w:r w:rsidRPr="001E69D0">
        <w:rPr>
          <w:rFonts w:ascii="Open Sans" w:eastAsia="Times New Roman" w:hAnsi="Open Sans" w:cs="Open Sans"/>
          <w:iCs/>
          <w:color w:val="008CA6"/>
          <w:sz w:val="28"/>
          <w:szCs w:val="28"/>
        </w:rPr>
        <w:t>The focus groups and interviews</w:t>
      </w:r>
      <w:bookmarkEnd w:id="724"/>
    </w:p>
    <w:p w14:paraId="58E9A343"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 xml:space="preserve">As part of the post-market review, the department commissioned the </w:t>
      </w:r>
      <w:hyperlink r:id="rId47" w:history="1">
        <w:r w:rsidRPr="001E69D0">
          <w:rPr>
            <w:rFonts w:eastAsia="Times New Roman"/>
            <w:color w:val="0000FF"/>
            <w:sz w:val="22"/>
            <w:szCs w:val="20"/>
            <w:u w:val="single"/>
          </w:rPr>
          <w:t>Australian Injecting and Illicit Drug Users League</w:t>
        </w:r>
      </w:hyperlink>
      <w:r w:rsidRPr="001E69D0">
        <w:rPr>
          <w:rFonts w:eastAsia="Times New Roman"/>
          <w:color w:val="000000"/>
          <w:sz w:val="22"/>
          <w:szCs w:val="20"/>
        </w:rPr>
        <w:t xml:space="preserve"> to coordinate focus groups and in-depth one-on-one interviews with clients of state and territory opioid dependence treatment programs from all states and territories. A total of 106 current and former clients took part.</w:t>
      </w:r>
    </w:p>
    <w:p w14:paraId="16292B84"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The interviews, which took place in November 2022, aimed to understand the participants’ experiences and treatment journeys, and get feedback on how the program has worked for them.</w:t>
      </w:r>
    </w:p>
    <w:p w14:paraId="44772931" w14:textId="77777777" w:rsidR="001E69D0" w:rsidRPr="001E69D0" w:rsidRDefault="001E69D0" w:rsidP="001E69D0">
      <w:pPr>
        <w:keepNext/>
        <w:spacing w:line="240" w:lineRule="auto"/>
        <w:jc w:val="left"/>
        <w:rPr>
          <w:rFonts w:eastAsia="Times New Roman"/>
          <w:color w:val="000000"/>
          <w:sz w:val="22"/>
          <w:szCs w:val="20"/>
        </w:rPr>
      </w:pPr>
      <w:r w:rsidRPr="001E69D0">
        <w:rPr>
          <w:rFonts w:eastAsia="Times New Roman"/>
          <w:color w:val="000000"/>
          <w:sz w:val="22"/>
          <w:szCs w:val="20"/>
        </w:rPr>
        <w:t>Participants represented various age groups (20 to 69 years) and genders (male, female and non</w:t>
      </w:r>
      <w:r w:rsidRPr="001E69D0">
        <w:rPr>
          <w:rFonts w:eastAsia="Times New Roman"/>
          <w:color w:val="000000"/>
          <w:sz w:val="22"/>
          <w:szCs w:val="20"/>
        </w:rPr>
        <w:noBreakHyphen/>
        <w:t>binary), as well as various population groups, including:</w:t>
      </w:r>
    </w:p>
    <w:p w14:paraId="2A740628" w14:textId="77777777" w:rsidR="001E69D0" w:rsidRPr="001E69D0" w:rsidRDefault="001E69D0" w:rsidP="0031367D">
      <w:pPr>
        <w:pStyle w:val="Consumerreportbullets"/>
      </w:pPr>
      <w:r w:rsidRPr="001E69D0">
        <w:t>First Nations people</w:t>
      </w:r>
    </w:p>
    <w:p w14:paraId="401CFFB4" w14:textId="77777777" w:rsidR="001E69D0" w:rsidRPr="001E69D0" w:rsidRDefault="001E69D0" w:rsidP="0031367D">
      <w:pPr>
        <w:pStyle w:val="Consumerreportbullets"/>
      </w:pPr>
      <w:r w:rsidRPr="001E69D0">
        <w:t>non-Indigenous Australians</w:t>
      </w:r>
    </w:p>
    <w:p w14:paraId="338A67B2" w14:textId="77777777" w:rsidR="001E69D0" w:rsidRPr="001E69D0" w:rsidRDefault="001E69D0" w:rsidP="0031367D">
      <w:pPr>
        <w:pStyle w:val="Consumerreportbullets"/>
      </w:pPr>
      <w:r w:rsidRPr="001E69D0">
        <w:t>LGBTQIA+ people</w:t>
      </w:r>
    </w:p>
    <w:p w14:paraId="5FB8E031" w14:textId="77777777" w:rsidR="001E69D0" w:rsidRPr="001E69D0" w:rsidRDefault="001E69D0" w:rsidP="0031367D">
      <w:pPr>
        <w:pStyle w:val="Consumerreportbullets"/>
      </w:pPr>
      <w:r w:rsidRPr="001E69D0">
        <w:t>people living in metropolitan, regional, rural and remote regions of Australia</w:t>
      </w:r>
    </w:p>
    <w:p w14:paraId="527DB169" w14:textId="77777777" w:rsidR="001E69D0" w:rsidRPr="001E69D0" w:rsidRDefault="001E69D0" w:rsidP="0031367D">
      <w:pPr>
        <w:pStyle w:val="Consumerreportbullets"/>
      </w:pPr>
      <w:r w:rsidRPr="001E69D0">
        <w:lastRenderedPageBreak/>
        <w:t>people experiencing homelessness</w:t>
      </w:r>
    </w:p>
    <w:p w14:paraId="3B0BDB6B" w14:textId="77777777" w:rsidR="001E69D0" w:rsidRPr="001E69D0" w:rsidRDefault="001E69D0" w:rsidP="0031367D">
      <w:pPr>
        <w:pStyle w:val="Consumerreportbullets"/>
      </w:pPr>
      <w:r w:rsidRPr="001E69D0">
        <w:t>people experiencing chronic pain</w:t>
      </w:r>
    </w:p>
    <w:p w14:paraId="50ED5C48" w14:textId="77777777" w:rsidR="001E69D0" w:rsidRPr="001E69D0" w:rsidRDefault="001E69D0" w:rsidP="0031367D">
      <w:pPr>
        <w:pStyle w:val="Consumerreportbullets"/>
      </w:pPr>
      <w:r w:rsidRPr="001E69D0">
        <w:t>people recently released from prison or custodial settings</w:t>
      </w:r>
    </w:p>
    <w:p w14:paraId="3CFA09C7" w14:textId="77777777" w:rsidR="001E69D0" w:rsidRPr="001E69D0" w:rsidRDefault="001E69D0" w:rsidP="0031367D">
      <w:pPr>
        <w:pStyle w:val="Consumerreportbullets"/>
      </w:pPr>
      <w:r w:rsidRPr="001E69D0">
        <w:t>people who had transitioned in and out of different settings (including the community, hospitals, prisons) and geographical locations</w:t>
      </w:r>
    </w:p>
    <w:p w14:paraId="5F55E60B" w14:textId="77777777" w:rsidR="001E69D0" w:rsidRPr="001E69D0" w:rsidRDefault="001E69D0" w:rsidP="007E3DC8">
      <w:pPr>
        <w:pStyle w:val="BulletBeforeDash"/>
        <w:keepNext/>
        <w:numPr>
          <w:ilvl w:val="0"/>
          <w:numId w:val="38"/>
        </w:numPr>
        <w:tabs>
          <w:tab w:val="num" w:pos="360"/>
        </w:tabs>
        <w:ind w:left="357" w:hanging="357"/>
      </w:pPr>
      <w:r w:rsidRPr="001E69D0">
        <w:t>people at different stages of their treatment journey, such as those who</w:t>
      </w:r>
    </w:p>
    <w:p w14:paraId="7D670A29" w14:textId="77777777" w:rsidR="001E69D0" w:rsidRPr="001E69D0" w:rsidRDefault="001E69D0" w:rsidP="007E3DC8">
      <w:pPr>
        <w:pStyle w:val="Dash"/>
        <w:numPr>
          <w:ilvl w:val="1"/>
          <w:numId w:val="39"/>
        </w:numPr>
        <w:ind w:left="714" w:hanging="357"/>
      </w:pPr>
      <w:r w:rsidRPr="001E69D0">
        <w:t>had been in the program for a long time (some for more than 30 years)</w:t>
      </w:r>
    </w:p>
    <w:p w14:paraId="74FDC2C0" w14:textId="77777777" w:rsidR="001E69D0" w:rsidRPr="001E69D0" w:rsidRDefault="001E69D0" w:rsidP="007E3DC8">
      <w:pPr>
        <w:pStyle w:val="Dash"/>
        <w:numPr>
          <w:ilvl w:val="1"/>
          <w:numId w:val="39"/>
        </w:numPr>
        <w:ind w:left="714" w:hanging="357"/>
      </w:pPr>
      <w:r w:rsidRPr="001E69D0">
        <w:t>had been in and out of the program many times</w:t>
      </w:r>
    </w:p>
    <w:p w14:paraId="46252354" w14:textId="77777777" w:rsidR="001E69D0" w:rsidRPr="001E69D0" w:rsidRDefault="001E69D0" w:rsidP="007E3DC8">
      <w:pPr>
        <w:pStyle w:val="DashLast"/>
        <w:numPr>
          <w:ilvl w:val="1"/>
          <w:numId w:val="39"/>
        </w:numPr>
        <w:ind w:left="714" w:hanging="357"/>
      </w:pPr>
      <w:r w:rsidRPr="001E69D0">
        <w:t>had successfully exited the program.</w:t>
      </w:r>
    </w:p>
    <w:p w14:paraId="19C936CB" w14:textId="77777777" w:rsidR="001E69D0" w:rsidRPr="001E69D0" w:rsidRDefault="00000000" w:rsidP="001E69D0">
      <w:pPr>
        <w:spacing w:after="240" w:line="240" w:lineRule="auto"/>
        <w:jc w:val="left"/>
        <w:rPr>
          <w:rFonts w:eastAsia="Times New Roman"/>
          <w:color w:val="000000"/>
          <w:sz w:val="22"/>
          <w:szCs w:val="20"/>
        </w:rPr>
      </w:pPr>
      <w:hyperlink w:anchor="_Appendix_1:_Participant" w:history="1">
        <w:r w:rsidR="001E69D0" w:rsidRPr="001E69D0">
          <w:rPr>
            <w:rFonts w:eastAsia="Times New Roman"/>
            <w:color w:val="0000FF"/>
            <w:sz w:val="22"/>
            <w:szCs w:val="20"/>
            <w:u w:val="single"/>
          </w:rPr>
          <w:t>Appendix 1</w:t>
        </w:r>
      </w:hyperlink>
      <w:r w:rsidR="001E69D0" w:rsidRPr="001E69D0">
        <w:rPr>
          <w:rFonts w:eastAsia="Times New Roman"/>
          <w:color w:val="000000"/>
          <w:sz w:val="22"/>
          <w:szCs w:val="20"/>
        </w:rPr>
        <w:t xml:space="preserve"> provides a breakdown of participant demographics and characteristics.</w:t>
      </w:r>
    </w:p>
    <w:p w14:paraId="5747C517" w14:textId="77777777" w:rsidR="001E69D0" w:rsidRPr="001E69D0" w:rsidRDefault="00000000" w:rsidP="001E69D0">
      <w:pPr>
        <w:spacing w:after="240" w:line="240" w:lineRule="auto"/>
        <w:jc w:val="left"/>
        <w:rPr>
          <w:rFonts w:eastAsia="Times New Roman"/>
          <w:color w:val="000000"/>
          <w:sz w:val="22"/>
          <w:szCs w:val="20"/>
        </w:rPr>
      </w:pPr>
      <w:hyperlink w:anchor="_Appendix_2:_Interview" w:history="1">
        <w:r w:rsidR="001E69D0" w:rsidRPr="001E69D0">
          <w:rPr>
            <w:rFonts w:eastAsia="Times New Roman"/>
            <w:color w:val="0000FF"/>
            <w:sz w:val="22"/>
            <w:szCs w:val="20"/>
            <w:u w:val="single"/>
          </w:rPr>
          <w:t>Appendix 2</w:t>
        </w:r>
      </w:hyperlink>
      <w:r w:rsidR="001E69D0" w:rsidRPr="001E69D0">
        <w:rPr>
          <w:rFonts w:eastAsia="Times New Roman"/>
          <w:color w:val="000000"/>
          <w:sz w:val="22"/>
          <w:szCs w:val="20"/>
        </w:rPr>
        <w:t xml:space="preserve"> provides the questions and prompts used during the interviews.</w:t>
      </w:r>
    </w:p>
    <w:p w14:paraId="7760D7CC" w14:textId="77777777" w:rsidR="001E69D0" w:rsidRPr="001E69D0" w:rsidRDefault="001E69D0" w:rsidP="001725C8">
      <w:pPr>
        <w:keepNext/>
        <w:spacing w:before="240" w:after="240" w:line="240" w:lineRule="auto"/>
        <w:ind w:left="720" w:hanging="720"/>
        <w:jc w:val="left"/>
        <w:outlineLvl w:val="3"/>
        <w:rPr>
          <w:rFonts w:ascii="Open Sans" w:eastAsia="Times New Roman" w:hAnsi="Open Sans" w:cs="Open Sans"/>
          <w:iCs/>
          <w:color w:val="008CA6"/>
          <w:sz w:val="28"/>
          <w:szCs w:val="28"/>
        </w:rPr>
      </w:pPr>
      <w:bookmarkStart w:id="725" w:name="_Toc121231590"/>
      <w:r w:rsidRPr="001E69D0">
        <w:rPr>
          <w:rFonts w:ascii="Open Sans" w:eastAsia="Times New Roman" w:hAnsi="Open Sans" w:cs="Open Sans"/>
          <w:iCs/>
          <w:color w:val="008CA6"/>
          <w:sz w:val="28"/>
          <w:szCs w:val="28"/>
        </w:rPr>
        <w:t>The report</w:t>
      </w:r>
      <w:bookmarkEnd w:id="725"/>
    </w:p>
    <w:p w14:paraId="5943A225" w14:textId="693B56FF" w:rsidR="001E69D0" w:rsidRPr="001E69D0" w:rsidRDefault="001E69D0" w:rsidP="001E69D0">
      <w:pPr>
        <w:spacing w:after="240" w:line="240" w:lineRule="auto"/>
        <w:jc w:val="left"/>
        <w:rPr>
          <w:rFonts w:eastAsia="Times New Roman"/>
          <w:iCs/>
          <w:color w:val="000000"/>
          <w:sz w:val="22"/>
          <w:szCs w:val="20"/>
        </w:rPr>
      </w:pPr>
      <w:r w:rsidRPr="001E69D0">
        <w:rPr>
          <w:rFonts w:eastAsia="Times New Roman"/>
          <w:iCs/>
          <w:color w:val="000000"/>
          <w:sz w:val="22"/>
          <w:szCs w:val="20"/>
        </w:rPr>
        <w:t xml:space="preserve">This report will be included as an appendix to the </w:t>
      </w:r>
      <w:r w:rsidRPr="001E69D0">
        <w:rPr>
          <w:rFonts w:eastAsia="Times New Roman"/>
          <w:i/>
          <w:color w:val="000000"/>
          <w:sz w:val="22"/>
          <w:szCs w:val="20"/>
        </w:rPr>
        <w:t xml:space="preserve">Post-market review of the PBS </w:t>
      </w:r>
      <w:r w:rsidR="00105085">
        <w:rPr>
          <w:rFonts w:eastAsia="Times New Roman"/>
          <w:i/>
          <w:color w:val="000000"/>
          <w:sz w:val="22"/>
          <w:szCs w:val="20"/>
        </w:rPr>
        <w:t>Opioid</w:t>
      </w:r>
      <w:r w:rsidR="00105085" w:rsidRPr="001E69D0">
        <w:rPr>
          <w:rFonts w:eastAsia="Times New Roman"/>
          <w:i/>
          <w:color w:val="000000"/>
          <w:sz w:val="22"/>
          <w:szCs w:val="20"/>
        </w:rPr>
        <w:t xml:space="preserve"> </w:t>
      </w:r>
      <w:r w:rsidRPr="001E69D0">
        <w:rPr>
          <w:rFonts w:eastAsia="Times New Roman"/>
          <w:i/>
          <w:color w:val="000000"/>
          <w:sz w:val="22"/>
          <w:szCs w:val="20"/>
        </w:rPr>
        <w:t>Dependence Treatment Program medicines: report to the Pharmaceutical Benefits Advisory Committee</w:t>
      </w:r>
      <w:r w:rsidRPr="001E69D0">
        <w:rPr>
          <w:rFonts w:eastAsia="Times New Roman"/>
          <w:iCs/>
          <w:color w:val="000000"/>
          <w:sz w:val="22"/>
          <w:szCs w:val="20"/>
        </w:rPr>
        <w:t xml:space="preserve">, which will </w:t>
      </w:r>
      <w:r w:rsidRPr="001E69D0">
        <w:rPr>
          <w:rFonts w:eastAsia="Times New Roman"/>
          <w:color w:val="000000"/>
          <w:sz w:val="22"/>
          <w:szCs w:val="20"/>
        </w:rPr>
        <w:t>help inform discussions about future options for the ODTP. It outlines the views and concerns expressed during one-on-one interviews and focus groups with 106 clients of state and territory opioid dependence treatment programs</w:t>
      </w:r>
      <w:r w:rsidRPr="001E69D0">
        <w:rPr>
          <w:rFonts w:eastAsia="Times New Roman"/>
          <w:iCs/>
          <w:color w:val="000000"/>
          <w:sz w:val="22"/>
          <w:szCs w:val="20"/>
        </w:rPr>
        <w:t>, including what they found works well, what does not work and what changes would improve their experience.</w:t>
      </w:r>
    </w:p>
    <w:p w14:paraId="12B05B28" w14:textId="77777777" w:rsidR="001E69D0" w:rsidRPr="001E69D0" w:rsidRDefault="001E69D0" w:rsidP="001E69D0">
      <w:pPr>
        <w:spacing w:after="240" w:line="240" w:lineRule="auto"/>
        <w:jc w:val="left"/>
        <w:rPr>
          <w:rFonts w:eastAsia="Times New Roman"/>
          <w:iCs/>
          <w:color w:val="000000"/>
          <w:sz w:val="22"/>
          <w:szCs w:val="20"/>
        </w:rPr>
      </w:pPr>
      <w:r w:rsidRPr="001E69D0">
        <w:rPr>
          <w:rFonts w:eastAsia="Times New Roman"/>
          <w:iCs/>
          <w:color w:val="000000"/>
          <w:sz w:val="22"/>
          <w:szCs w:val="20"/>
        </w:rPr>
        <w:t>We have included many direct quotes from participants, because these most powerfully illustrate their experiences in their own words. To maintain the privacy of participants’ and the services they use, we have removed any identifying information, such as names and locations.</w:t>
      </w:r>
    </w:p>
    <w:p w14:paraId="12A5CEB9"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iCs/>
          <w:color w:val="000000"/>
          <w:sz w:val="22"/>
          <w:szCs w:val="20"/>
        </w:rPr>
        <w:t>W</w:t>
      </w:r>
      <w:r w:rsidRPr="001E69D0">
        <w:rPr>
          <w:rFonts w:eastAsia="Times New Roman"/>
          <w:color w:val="000000"/>
          <w:sz w:val="22"/>
          <w:szCs w:val="20"/>
        </w:rPr>
        <w:t>e thank all the people who took the time to share their experiences and treatment journeys.</w:t>
      </w:r>
    </w:p>
    <w:p w14:paraId="7DF843BA" w14:textId="77777777" w:rsidR="001E69D0" w:rsidRPr="001E69D0" w:rsidRDefault="001E69D0" w:rsidP="007E3DC8">
      <w:pPr>
        <w:keepNext/>
        <w:numPr>
          <w:ilvl w:val="0"/>
          <w:numId w:val="28"/>
        </w:numPr>
        <w:spacing w:before="240" w:after="240" w:line="240" w:lineRule="auto"/>
        <w:ind w:left="0" w:firstLine="0"/>
        <w:jc w:val="left"/>
        <w:outlineLvl w:val="4"/>
        <w:rPr>
          <w:rFonts w:ascii="Open Sans" w:eastAsia="Times New Roman" w:hAnsi="Open Sans" w:cs="Open Sans"/>
          <w:color w:val="008CA6"/>
        </w:rPr>
      </w:pPr>
      <w:bookmarkStart w:id="726" w:name="_Toc121231591"/>
      <w:r w:rsidRPr="001E69D0">
        <w:rPr>
          <w:rFonts w:ascii="Open Sans" w:eastAsia="Times New Roman" w:hAnsi="Open Sans" w:cs="Open Sans"/>
          <w:color w:val="008CA6"/>
        </w:rPr>
        <w:t>Constraints</w:t>
      </w:r>
      <w:bookmarkEnd w:id="726"/>
    </w:p>
    <w:p w14:paraId="384B4370" w14:textId="77777777" w:rsidR="001E69D0" w:rsidRPr="001E69D0" w:rsidRDefault="001E69D0" w:rsidP="001E69D0">
      <w:pPr>
        <w:keepNext/>
        <w:spacing w:line="240" w:lineRule="auto"/>
        <w:jc w:val="left"/>
        <w:rPr>
          <w:rFonts w:eastAsia="Times New Roman"/>
          <w:color w:val="000000"/>
          <w:sz w:val="22"/>
          <w:szCs w:val="20"/>
        </w:rPr>
      </w:pPr>
      <w:r w:rsidRPr="001E69D0">
        <w:rPr>
          <w:rFonts w:eastAsia="Times New Roman"/>
          <w:color w:val="000000"/>
          <w:sz w:val="22"/>
          <w:szCs w:val="20"/>
        </w:rPr>
        <w:t>The program involves 2 levels of government and has complex legislative requirements. Additionally, some participants access different types of health care and support from various health practitioners. Inevitably, given this complexity, some participants had limited understanding of how the program works, what level of government is responsible for what part, and what their dispensing fees paid for. The phrasing of some questions also led to some confusion, which is reflected in some of the responses. For example:</w:t>
      </w:r>
    </w:p>
    <w:p w14:paraId="3A66E5BF" w14:textId="77777777" w:rsidR="001E69D0" w:rsidRPr="001E69D0" w:rsidRDefault="001E69D0" w:rsidP="0031367D">
      <w:pPr>
        <w:pStyle w:val="Consumerreportbullets"/>
      </w:pPr>
      <w:r w:rsidRPr="001E69D0">
        <w:t>many answered the ‘supervised/unsupervised’ question in terms of whether the pharmacists watched and timed them as they took their dose (to make sure they had taken it), rather than in terms of taking onsite or takeaway doses</w:t>
      </w:r>
    </w:p>
    <w:p w14:paraId="1888A3DC" w14:textId="77777777" w:rsidR="001E69D0" w:rsidRPr="001E69D0" w:rsidRDefault="001E69D0" w:rsidP="0031367D">
      <w:pPr>
        <w:pStyle w:val="Consumerreportbullets"/>
      </w:pPr>
      <w:r w:rsidRPr="001E69D0">
        <w:t xml:space="preserve">many answered the question about what would make the program more affordable with ‘if it was cheaper/free’, without expanding further. </w:t>
      </w:r>
    </w:p>
    <w:p w14:paraId="4D02EFBC" w14:textId="77777777" w:rsidR="001E69D0" w:rsidRPr="001E69D0" w:rsidRDefault="001E69D0" w:rsidP="001E69D0">
      <w:pPr>
        <w:spacing w:after="240" w:line="240" w:lineRule="auto"/>
        <w:jc w:val="left"/>
        <w:rPr>
          <w:rFonts w:eastAsia="Times New Roman"/>
          <w:color w:val="000000"/>
          <w:sz w:val="22"/>
          <w:szCs w:val="20"/>
        </w:rPr>
      </w:pPr>
    </w:p>
    <w:p w14:paraId="04B3DDB6" w14:textId="77777777" w:rsidR="001E69D0" w:rsidRPr="001E69D0" w:rsidRDefault="001E69D0" w:rsidP="001725C8">
      <w:pPr>
        <w:keepNext/>
        <w:pageBreakBefore/>
        <w:spacing w:after="480" w:line="240" w:lineRule="auto"/>
        <w:ind w:left="720" w:hanging="720"/>
        <w:jc w:val="left"/>
        <w:outlineLvl w:val="2"/>
        <w:rPr>
          <w:rFonts w:ascii="Open Sans" w:eastAsia="Times New Roman" w:hAnsi="Open Sans" w:cs="Open Sans"/>
          <w:b/>
          <w:bCs/>
          <w:noProof/>
          <w:color w:val="008CA6"/>
          <w:kern w:val="32"/>
          <w:sz w:val="40"/>
          <w:szCs w:val="40"/>
        </w:rPr>
      </w:pPr>
      <w:bookmarkStart w:id="727" w:name="_Toc121231592"/>
      <w:r w:rsidRPr="001E69D0">
        <w:rPr>
          <w:rFonts w:ascii="Open Sans" w:eastAsia="Times New Roman" w:hAnsi="Open Sans" w:cs="Open Sans"/>
          <w:b/>
          <w:bCs/>
          <w:noProof/>
          <w:color w:val="008CA6"/>
          <w:kern w:val="32"/>
          <w:sz w:val="40"/>
          <w:szCs w:val="40"/>
        </w:rPr>
        <w:lastRenderedPageBreak/>
        <w:t>Interview responses</w:t>
      </w:r>
      <w:bookmarkEnd w:id="727"/>
    </w:p>
    <w:p w14:paraId="034D3D80" w14:textId="77777777" w:rsidR="001E69D0" w:rsidRPr="001E69D0" w:rsidRDefault="001E69D0" w:rsidP="001725C8">
      <w:pPr>
        <w:keepNext/>
        <w:spacing w:before="240" w:after="240" w:line="240" w:lineRule="auto"/>
        <w:ind w:left="720" w:hanging="720"/>
        <w:jc w:val="left"/>
        <w:outlineLvl w:val="3"/>
        <w:rPr>
          <w:rFonts w:ascii="Open Sans" w:eastAsia="Times New Roman" w:hAnsi="Open Sans" w:cs="Open Sans"/>
          <w:iCs/>
          <w:color w:val="008CA6"/>
          <w:sz w:val="28"/>
          <w:szCs w:val="28"/>
        </w:rPr>
      </w:pPr>
      <w:bookmarkStart w:id="728" w:name="_Toc121231593"/>
      <w:r w:rsidRPr="001E69D0">
        <w:rPr>
          <w:rFonts w:ascii="Open Sans" w:eastAsia="Times New Roman" w:hAnsi="Open Sans" w:cs="Open Sans"/>
          <w:iCs/>
          <w:color w:val="008CA6"/>
          <w:sz w:val="28"/>
          <w:szCs w:val="28"/>
        </w:rPr>
        <w:t>Overall perceptions of the program</w:t>
      </w:r>
      <w:bookmarkEnd w:id="728"/>
    </w:p>
    <w:p w14:paraId="453D1BAF" w14:textId="77777777" w:rsidR="001E69D0" w:rsidRPr="001E69D0" w:rsidRDefault="001E69D0" w:rsidP="007E3DC8">
      <w:pPr>
        <w:keepNext/>
        <w:numPr>
          <w:ilvl w:val="0"/>
          <w:numId w:val="28"/>
        </w:numPr>
        <w:spacing w:before="240" w:after="240" w:line="240" w:lineRule="auto"/>
        <w:ind w:left="0" w:firstLine="0"/>
        <w:jc w:val="left"/>
        <w:outlineLvl w:val="4"/>
        <w:rPr>
          <w:rFonts w:ascii="Open Sans" w:eastAsia="Times New Roman" w:hAnsi="Open Sans" w:cs="Open Sans"/>
          <w:color w:val="008CA6"/>
        </w:rPr>
      </w:pPr>
      <w:bookmarkStart w:id="729" w:name="_Toc121231594"/>
      <w:r w:rsidRPr="001E69D0">
        <w:rPr>
          <w:rFonts w:ascii="Open Sans" w:eastAsia="Times New Roman" w:hAnsi="Open Sans" w:cs="Open Sans"/>
          <w:color w:val="008CA6"/>
        </w:rPr>
        <w:t>What works well</w:t>
      </w:r>
      <w:bookmarkEnd w:id="729"/>
    </w:p>
    <w:p w14:paraId="545BEDA7" w14:textId="77777777" w:rsidR="001E69D0" w:rsidRPr="001E69D0" w:rsidRDefault="001E69D0" w:rsidP="001E69D0">
      <w:pPr>
        <w:keepNext/>
        <w:spacing w:line="240" w:lineRule="auto"/>
        <w:jc w:val="left"/>
        <w:rPr>
          <w:rFonts w:eastAsia="Times New Roman"/>
          <w:color w:val="000000"/>
          <w:sz w:val="22"/>
          <w:szCs w:val="20"/>
        </w:rPr>
      </w:pPr>
      <w:r w:rsidRPr="001E69D0">
        <w:rPr>
          <w:rFonts w:eastAsia="Times New Roman"/>
          <w:color w:val="000000"/>
          <w:sz w:val="22"/>
          <w:szCs w:val="20"/>
        </w:rPr>
        <w:t>Participants reported some positive aspects of the program, but these positives were often restricted by difficulties. For many, pharmacotherapy treatment provides:</w:t>
      </w:r>
    </w:p>
    <w:p w14:paraId="65B911C8" w14:textId="77777777" w:rsidR="001E69D0" w:rsidRPr="001E69D0" w:rsidRDefault="001E69D0" w:rsidP="0031367D">
      <w:pPr>
        <w:pStyle w:val="Consumerreportbullets"/>
      </w:pPr>
      <w:r w:rsidRPr="001E69D0">
        <w:t>some stability in their lives, which enables them to work or study – although restrictions on dispensing hours and travel time can create barriers</w:t>
      </w:r>
    </w:p>
    <w:p w14:paraId="07EC1800" w14:textId="77777777" w:rsidR="001E69D0" w:rsidRPr="001E69D0" w:rsidRDefault="001E69D0" w:rsidP="0031367D">
      <w:pPr>
        <w:pStyle w:val="Consumerreportbullets"/>
      </w:pPr>
      <w:r w:rsidRPr="001E69D0">
        <w:t>flexibility to choose a dispenser – although this was greatly limited by the number and availability of dispensers participating in the program</w:t>
      </w:r>
    </w:p>
    <w:p w14:paraId="07617286" w14:textId="77777777" w:rsidR="001E69D0" w:rsidRPr="001E69D0" w:rsidRDefault="001E69D0" w:rsidP="0031367D">
      <w:pPr>
        <w:pStyle w:val="Consumerreportbullets"/>
      </w:pPr>
      <w:r w:rsidRPr="001E69D0">
        <w:t>flexibility to choose a medicine (and its associated frequency of administration) that suits individual needs – but many could not get the option they wanted.</w:t>
      </w:r>
    </w:p>
    <w:p w14:paraId="40732CD6"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 went straight onto methadone, and it saved my life. Best thing ever. No problems with it. I took to it really good, and it’s the best thing that happened to me. I dose every day. I haven’t missed a day, ever. It’s a routine for me. I’ve got nothing but praise for it. Life changer.</w:t>
      </w:r>
    </w:p>
    <w:p w14:paraId="1D8BE363"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 xml:space="preserve">It was a life saver for me, after getting a heroin habit and working 2 jobs just to support it. </w:t>
      </w:r>
    </w:p>
    <w:p w14:paraId="1A9F180C"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 xml:space="preserve">It’s helped me stabilise, it’s helped [me] get back into study. It’s changed my life. </w:t>
      </w:r>
    </w:p>
    <w:p w14:paraId="646A37FC" w14:textId="77777777" w:rsidR="001E69D0" w:rsidRPr="001E69D0" w:rsidRDefault="001E69D0" w:rsidP="007E3DC8">
      <w:pPr>
        <w:keepNext/>
        <w:numPr>
          <w:ilvl w:val="0"/>
          <w:numId w:val="28"/>
        </w:numPr>
        <w:spacing w:before="240" w:after="240" w:line="240" w:lineRule="auto"/>
        <w:ind w:left="0" w:firstLine="0"/>
        <w:jc w:val="left"/>
        <w:outlineLvl w:val="4"/>
        <w:rPr>
          <w:rFonts w:ascii="Open Sans" w:eastAsia="Times New Roman" w:hAnsi="Open Sans" w:cs="Open Sans"/>
          <w:color w:val="008CA6"/>
        </w:rPr>
      </w:pPr>
      <w:bookmarkStart w:id="730" w:name="_Toc121231595"/>
      <w:r w:rsidRPr="001E69D0">
        <w:rPr>
          <w:rFonts w:ascii="Open Sans" w:eastAsia="Times New Roman" w:hAnsi="Open Sans" w:cs="Open Sans"/>
          <w:color w:val="008CA6"/>
        </w:rPr>
        <w:t>What does not work well</w:t>
      </w:r>
      <w:bookmarkEnd w:id="730"/>
    </w:p>
    <w:p w14:paraId="59F29E27" w14:textId="77777777" w:rsidR="001E69D0" w:rsidRPr="001E69D0" w:rsidRDefault="001E69D0" w:rsidP="001E69D0">
      <w:pPr>
        <w:keepNext/>
        <w:spacing w:line="240" w:lineRule="auto"/>
        <w:jc w:val="left"/>
        <w:rPr>
          <w:rFonts w:eastAsia="Times New Roman"/>
          <w:color w:val="000000"/>
          <w:sz w:val="22"/>
          <w:szCs w:val="20"/>
        </w:rPr>
      </w:pPr>
      <w:r w:rsidRPr="001E69D0">
        <w:rPr>
          <w:rFonts w:eastAsia="Times New Roman"/>
          <w:color w:val="000000"/>
          <w:sz w:val="22"/>
          <w:szCs w:val="20"/>
        </w:rPr>
        <w:t>Although there were some variations between states and territories, participants consistently raised common issues, including the:</w:t>
      </w:r>
    </w:p>
    <w:p w14:paraId="4BAA35AE" w14:textId="77777777" w:rsidR="001E69D0" w:rsidRPr="001E69D0" w:rsidRDefault="001E69D0" w:rsidP="0031367D">
      <w:pPr>
        <w:pStyle w:val="Consumerreportbullets"/>
      </w:pPr>
      <w:r w:rsidRPr="001E69D0">
        <w:t>insufficient number of prescribers and dispensers and long waiting lists, resulting in participants either continuing to use opioids while waiting for a place, or spending a lot of time and money (for petrol or other transport) travelling long distances</w:t>
      </w:r>
    </w:p>
    <w:p w14:paraId="5BDA232F" w14:textId="77777777" w:rsidR="001E69D0" w:rsidRPr="001E69D0" w:rsidRDefault="001E69D0" w:rsidP="0031367D">
      <w:pPr>
        <w:pStyle w:val="Consumerreportbullets"/>
      </w:pPr>
      <w:r w:rsidRPr="001E69D0">
        <w:t>high and variable prescribing and dispensing fees – the only exception was the Australian Capital Territory, where the dispensing fee is capped and subsidised by the territory government</w:t>
      </w:r>
    </w:p>
    <w:p w14:paraId="5A84AD25" w14:textId="77777777" w:rsidR="001E69D0" w:rsidRPr="001E69D0" w:rsidRDefault="001E69D0" w:rsidP="0031367D">
      <w:pPr>
        <w:pStyle w:val="Consumerreportbullets"/>
      </w:pPr>
      <w:r w:rsidRPr="001E69D0">
        <w:t>requirement for frequent prescriptions and dosing during restricted opening hours, with no or very few takeaway doses allowed</w:t>
      </w:r>
    </w:p>
    <w:p w14:paraId="2EF353F0" w14:textId="77777777" w:rsidR="001E69D0" w:rsidRPr="001E69D0" w:rsidRDefault="001E69D0" w:rsidP="0031367D">
      <w:pPr>
        <w:pStyle w:val="Consumerreportbullets"/>
      </w:pPr>
      <w:r w:rsidRPr="001E69D0">
        <w:t>lack of national consistency, making transfers and travel extremely complicated, and often leading to missed doses</w:t>
      </w:r>
    </w:p>
    <w:p w14:paraId="47E7DC74" w14:textId="77777777" w:rsidR="001E69D0" w:rsidRPr="001E69D0" w:rsidRDefault="001E69D0" w:rsidP="0031367D">
      <w:pPr>
        <w:pStyle w:val="Consumerreportbullets"/>
      </w:pPr>
      <w:r w:rsidRPr="001E69D0">
        <w:t>lack of autonomy and flexibility for people to choose and manage their own medicine</w:t>
      </w:r>
    </w:p>
    <w:p w14:paraId="250125CF" w14:textId="77777777" w:rsidR="001E69D0" w:rsidRPr="001E69D0" w:rsidRDefault="001E69D0" w:rsidP="0031367D">
      <w:pPr>
        <w:pStyle w:val="Consumerreportbullets"/>
      </w:pPr>
      <w:r w:rsidRPr="001E69D0">
        <w:t>stigmatisation, discrimination and lack of understanding from health practitioners, as well as a power imbalance where participants felt doses are used as reward or punishment</w:t>
      </w:r>
    </w:p>
    <w:p w14:paraId="38143D9B" w14:textId="77777777" w:rsidR="001E69D0" w:rsidRPr="001E69D0" w:rsidRDefault="001E69D0" w:rsidP="0031367D">
      <w:pPr>
        <w:pStyle w:val="Consumerreportbullets"/>
      </w:pPr>
      <w:r w:rsidRPr="001E69D0">
        <w:t>lack of privacy in many clinics and pharmacies</w:t>
      </w:r>
    </w:p>
    <w:p w14:paraId="7B8C411E" w14:textId="77777777" w:rsidR="001E69D0" w:rsidRPr="001E69D0" w:rsidRDefault="001E69D0" w:rsidP="0031367D">
      <w:pPr>
        <w:pStyle w:val="Consumerreportbullets"/>
      </w:pPr>
      <w:r w:rsidRPr="001E69D0">
        <w:t>pressure to switch medicine, and lack of information about what to expect when switching</w:t>
      </w:r>
    </w:p>
    <w:p w14:paraId="4EAB059F" w14:textId="77777777" w:rsidR="001E69D0" w:rsidRPr="001E69D0" w:rsidRDefault="001E69D0" w:rsidP="0031367D">
      <w:pPr>
        <w:pStyle w:val="Consumerreportbullets"/>
      </w:pPr>
      <w:r w:rsidRPr="001E69D0">
        <w:t>inability to access other medicines as a result of being a registered opioid user.</w:t>
      </w:r>
    </w:p>
    <w:p w14:paraId="120389FE"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We know people who have given up on the program because it’s too hard, and it’s sad because it shouldn’t be like that.</w:t>
      </w:r>
    </w:p>
    <w:p w14:paraId="2CD197F6" w14:textId="77777777" w:rsidR="001E69D0" w:rsidRPr="001E69D0" w:rsidRDefault="001E69D0" w:rsidP="001725C8">
      <w:pPr>
        <w:keepNext/>
        <w:spacing w:before="240" w:after="240" w:line="240" w:lineRule="auto"/>
        <w:ind w:left="720" w:hanging="720"/>
        <w:jc w:val="left"/>
        <w:outlineLvl w:val="3"/>
        <w:rPr>
          <w:rFonts w:ascii="Open Sans" w:eastAsia="Times New Roman" w:hAnsi="Open Sans" w:cs="Open Sans"/>
          <w:iCs/>
          <w:color w:val="008CA6"/>
          <w:sz w:val="28"/>
          <w:szCs w:val="28"/>
        </w:rPr>
      </w:pPr>
      <w:bookmarkStart w:id="731" w:name="_Toc121231596"/>
      <w:r w:rsidRPr="001E69D0">
        <w:rPr>
          <w:rFonts w:ascii="Open Sans" w:eastAsia="Times New Roman" w:hAnsi="Open Sans" w:cs="Open Sans"/>
          <w:iCs/>
          <w:color w:val="008CA6"/>
          <w:sz w:val="28"/>
          <w:szCs w:val="28"/>
        </w:rPr>
        <w:lastRenderedPageBreak/>
        <w:t>Treatment access</w:t>
      </w:r>
      <w:bookmarkEnd w:id="731"/>
    </w:p>
    <w:p w14:paraId="7FBF852A" w14:textId="77777777" w:rsidR="001E69D0" w:rsidRPr="001E69D0" w:rsidRDefault="001E69D0" w:rsidP="001E69D0">
      <w:pPr>
        <w:keepNext/>
        <w:spacing w:line="240" w:lineRule="auto"/>
        <w:jc w:val="left"/>
        <w:rPr>
          <w:rFonts w:eastAsia="Times New Roman"/>
          <w:color w:val="000000"/>
          <w:sz w:val="22"/>
          <w:szCs w:val="20"/>
        </w:rPr>
      </w:pPr>
      <w:r w:rsidRPr="001E69D0">
        <w:rPr>
          <w:rFonts w:eastAsia="Times New Roman"/>
          <w:color w:val="000000"/>
          <w:sz w:val="22"/>
          <w:szCs w:val="20"/>
        </w:rPr>
        <w:t>Most participants first entered the program through a doctor and received their medicine through a community pharmacy. A smaller number attended public or private clinics.</w:t>
      </w:r>
    </w:p>
    <w:p w14:paraId="7164A36D" w14:textId="77777777" w:rsidR="001E69D0" w:rsidRPr="001E69D0" w:rsidRDefault="001E69D0" w:rsidP="001E69D0">
      <w:pPr>
        <w:keepNext/>
        <w:spacing w:line="240" w:lineRule="auto"/>
        <w:jc w:val="left"/>
        <w:rPr>
          <w:rFonts w:eastAsia="Times New Roman"/>
          <w:color w:val="000000"/>
          <w:sz w:val="22"/>
          <w:szCs w:val="20"/>
        </w:rPr>
      </w:pPr>
      <w:r w:rsidRPr="001E69D0">
        <w:rPr>
          <w:rFonts w:eastAsia="Times New Roman"/>
          <w:color w:val="000000"/>
          <w:sz w:val="22"/>
          <w:szCs w:val="20"/>
        </w:rPr>
        <w:t xml:space="preserve">In general, although more expensive than public clinics, pharmacies were the most convenient options. </w:t>
      </w:r>
    </w:p>
    <w:p w14:paraId="3CDE8083"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[Pharmacies] are generally easy to access. They’re in your local community, often … A lot of pharmacies are open … decent hours, long hours, so you’ve got a bit of flexibility in how and when you collect your dose. You can establish a relationship with the person or people providing your medication. And that normalisation aspect of just getting medication from a pharmacy, like every other person in the world, so there’s an element of … less stigma.</w:t>
      </w:r>
    </w:p>
    <w:p w14:paraId="3EF4FB6E" w14:textId="77777777" w:rsidR="001E69D0" w:rsidRPr="001E69D0" w:rsidRDefault="001E69D0" w:rsidP="001E69D0">
      <w:pPr>
        <w:keepNext/>
        <w:spacing w:line="240" w:lineRule="auto"/>
        <w:jc w:val="left"/>
        <w:rPr>
          <w:rFonts w:eastAsia="Times New Roman"/>
          <w:color w:val="000000"/>
          <w:sz w:val="22"/>
          <w:szCs w:val="20"/>
        </w:rPr>
      </w:pPr>
      <w:r w:rsidRPr="001E69D0">
        <w:rPr>
          <w:rFonts w:eastAsia="Times New Roman"/>
          <w:color w:val="000000"/>
          <w:sz w:val="22"/>
          <w:szCs w:val="20"/>
        </w:rPr>
        <w:t xml:space="preserve">Public clinics were often not viable options because of distance or restricted access hours, or because of the </w:t>
      </w:r>
      <w:hyperlink w:anchor="_Impact_of_being_1" w:history="1">
        <w:r w:rsidRPr="001E69D0">
          <w:rPr>
            <w:rFonts w:eastAsia="Times New Roman"/>
            <w:color w:val="0000FF"/>
            <w:sz w:val="22"/>
            <w:szCs w:val="20"/>
            <w:u w:val="single"/>
          </w:rPr>
          <w:t>poor quality of service provided</w:t>
        </w:r>
      </w:hyperlink>
      <w:r w:rsidRPr="001E69D0">
        <w:rPr>
          <w:rFonts w:eastAsia="Times New Roman"/>
          <w:color w:val="000000"/>
          <w:sz w:val="22"/>
          <w:szCs w:val="20"/>
        </w:rPr>
        <w:t>.</w:t>
      </w:r>
    </w:p>
    <w:p w14:paraId="575E7CA2"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 xml:space="preserve">There is no [public] clinic either in [location removed] or in rural areas. Considering we’ve just had a new hospital built … that’s a big issue for this community. </w:t>
      </w:r>
    </w:p>
    <w:p w14:paraId="5EE02C3D" w14:textId="77777777" w:rsidR="001E69D0" w:rsidRPr="001E69D0" w:rsidRDefault="001E69D0" w:rsidP="001E69D0">
      <w:pPr>
        <w:keepNext/>
        <w:spacing w:line="240" w:lineRule="auto"/>
        <w:jc w:val="left"/>
        <w:rPr>
          <w:rFonts w:eastAsia="Times New Roman"/>
          <w:color w:val="000000"/>
          <w:sz w:val="22"/>
          <w:szCs w:val="20"/>
        </w:rPr>
      </w:pPr>
      <w:r w:rsidRPr="001E69D0">
        <w:rPr>
          <w:rFonts w:eastAsia="Times New Roman"/>
          <w:color w:val="000000"/>
          <w:sz w:val="22"/>
          <w:szCs w:val="20"/>
        </w:rPr>
        <w:t>Participants appreciated the notion of being able to choose a prescriber and dispenser, but access experiences varied. Although some participants had been able to find a prescriber and dispenser without any trouble, many faced significant difficulties.</w:t>
      </w:r>
    </w:p>
    <w:p w14:paraId="590E14BF" w14:textId="77777777" w:rsidR="001E69D0" w:rsidRPr="001E69D0" w:rsidRDefault="001E69D0" w:rsidP="001E69D0">
      <w:pPr>
        <w:keepNext/>
        <w:spacing w:line="240" w:lineRule="auto"/>
        <w:jc w:val="left"/>
        <w:rPr>
          <w:rFonts w:eastAsia="Times New Roman"/>
          <w:color w:val="000000"/>
          <w:sz w:val="22"/>
          <w:szCs w:val="20"/>
        </w:rPr>
      </w:pPr>
      <w:r w:rsidRPr="001E69D0">
        <w:rPr>
          <w:rFonts w:eastAsia="Times New Roman"/>
          <w:color w:val="000000"/>
          <w:sz w:val="22"/>
          <w:szCs w:val="20"/>
        </w:rPr>
        <w:t>The fact that access to medicines on the program is managed differently from access to other medicines was seen as stigmatising and unfair.</w:t>
      </w:r>
    </w:p>
    <w:p w14:paraId="0C3ED582"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At the end of the day, it’s a medication, and anybody can go and get their own medication, so why should this be any different. It shouldn’t be, and we shouldn’t have a limit on how many people can be dosed.</w:t>
      </w:r>
    </w:p>
    <w:p w14:paraId="619181D7" w14:textId="77777777" w:rsidR="001E69D0" w:rsidRPr="001E69D0" w:rsidRDefault="001E69D0" w:rsidP="007E3DC8">
      <w:pPr>
        <w:keepNext/>
        <w:numPr>
          <w:ilvl w:val="0"/>
          <w:numId w:val="28"/>
        </w:numPr>
        <w:spacing w:before="240" w:after="240" w:line="240" w:lineRule="auto"/>
        <w:ind w:left="0" w:firstLine="0"/>
        <w:jc w:val="left"/>
        <w:outlineLvl w:val="4"/>
        <w:rPr>
          <w:rFonts w:ascii="Open Sans" w:eastAsia="Times New Roman" w:hAnsi="Open Sans" w:cs="Open Sans"/>
          <w:color w:val="008CA6"/>
        </w:rPr>
      </w:pPr>
      <w:bookmarkStart w:id="732" w:name="_Availability_of_prescribers"/>
      <w:bookmarkStart w:id="733" w:name="_Toc121231597"/>
      <w:bookmarkEnd w:id="732"/>
      <w:r w:rsidRPr="001E69D0">
        <w:rPr>
          <w:rFonts w:ascii="Open Sans" w:eastAsia="Times New Roman" w:hAnsi="Open Sans" w:cs="Open Sans"/>
          <w:color w:val="008CA6"/>
        </w:rPr>
        <w:t>Availability of prescribers and dispensers</w:t>
      </w:r>
      <w:bookmarkEnd w:id="733"/>
    </w:p>
    <w:p w14:paraId="262EF5FD"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Participants reported that dispensers often have long waiting lists, can decline to take on a client for any reason, or might require an interview to decide whether they will take on a client. Some participants also found it hard to make timely appointments with their doctor for their prescription. Those who lived in rural and regional areas, in particular, had faced access difficulties.</w:t>
      </w:r>
    </w:p>
    <w:p w14:paraId="729FBF6D"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At the moment, we have, I think, around half-a-dozen prescribers in the whole state and 2 public places where you can be prescribed … and a waiting list of up to 12 months. It’s crazy.</w:t>
      </w:r>
    </w:p>
    <w:p w14:paraId="757FB49A"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I’d have to take whatever pharmacist was willing to have a place for me.</w:t>
      </w:r>
    </w:p>
    <w:p w14:paraId="3F406976"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It’s not a simple choice. I can choose as long as there’s availability and it’s in close proximity, and that’s not always the case. There are some chemists unwilling to do it.</w:t>
      </w:r>
    </w:p>
    <w:p w14:paraId="251AB4E7"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It’s this constant feeling of anxiety, I think, like what if this doctor stops prescribing or doesn’t want to do it anymore, what am I going to do?</w:t>
      </w:r>
    </w:p>
    <w:p w14:paraId="0C9ABE04" w14:textId="77777777" w:rsidR="001E69D0" w:rsidRPr="001E69D0" w:rsidRDefault="001E69D0" w:rsidP="001E69D0">
      <w:pPr>
        <w:keepNext/>
        <w:spacing w:line="240" w:lineRule="auto"/>
        <w:jc w:val="left"/>
        <w:rPr>
          <w:rFonts w:eastAsia="Times New Roman"/>
          <w:color w:val="000000"/>
          <w:sz w:val="22"/>
          <w:szCs w:val="20"/>
        </w:rPr>
      </w:pPr>
      <w:r w:rsidRPr="001E69D0">
        <w:rPr>
          <w:rFonts w:eastAsia="Times New Roman"/>
          <w:color w:val="000000"/>
          <w:sz w:val="22"/>
          <w:szCs w:val="20"/>
        </w:rPr>
        <w:t>These issues meant that some participants:</w:t>
      </w:r>
    </w:p>
    <w:p w14:paraId="2778467E" w14:textId="77777777" w:rsidR="001E69D0" w:rsidRPr="001E69D0" w:rsidRDefault="001E69D0" w:rsidP="0031367D">
      <w:pPr>
        <w:pStyle w:val="Consumerreportbullets"/>
      </w:pPr>
      <w:r w:rsidRPr="001E69D0">
        <w:t>could not see the prescriber or dispenser they would have liked</w:t>
      </w:r>
    </w:p>
    <w:p w14:paraId="4C351B9A" w14:textId="77777777" w:rsidR="001E69D0" w:rsidRPr="001E69D0" w:rsidRDefault="001E69D0" w:rsidP="0031367D">
      <w:pPr>
        <w:pStyle w:val="Consumerreportbullets"/>
      </w:pPr>
      <w:r w:rsidRPr="001E69D0">
        <w:t xml:space="preserve">had to travel further that they would have liked, which cost them time and </w:t>
      </w:r>
      <w:hyperlink w:anchor="_Treatment_cost" w:history="1">
        <w:r w:rsidRPr="001E69D0">
          <w:rPr>
            <w:color w:val="0000FF"/>
            <w:u w:val="single"/>
          </w:rPr>
          <w:t>extra money</w:t>
        </w:r>
      </w:hyperlink>
    </w:p>
    <w:p w14:paraId="2C70B5E4" w14:textId="77777777" w:rsidR="001E69D0" w:rsidRPr="001E69D0" w:rsidRDefault="001E69D0" w:rsidP="0031367D">
      <w:pPr>
        <w:pStyle w:val="Consumerreportbullets"/>
      </w:pPr>
      <w:r w:rsidRPr="001E69D0">
        <w:t>continued to use opioids while waiting for a place in the program, despite wanting to stop using.</w:t>
      </w:r>
    </w:p>
    <w:p w14:paraId="7AFEC896"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lastRenderedPageBreak/>
        <w:t>Where I lived when I first started getting dosed, they only have certain capacity of people that they would take on, and that doesn’t work. There’s a lot of people in the community who have drug problems, and if you can’t get dosed in [location removed] then you have to travel to [location removed], and when you don’t have a licence or a way to get there, it makes it very difficult.</w:t>
      </w:r>
    </w:p>
    <w:p w14:paraId="1B621DC0"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 have to go all the way to [capital city] to get my monthly injection, because it’s too booked up here. It’s about 2 hours because I can't get any treatment here … they said that I’d have to wait 8 months … I couldn't wait that long.</w:t>
      </w:r>
    </w:p>
    <w:p w14:paraId="1E1C20F3"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 wish there was a shorter waiting list. When people are waiting to get treatment, they need to get treated straight away, you know, not tomorrow, not in 6 weeks. But there is obviously not enough staff, not enough people treating it.</w:t>
      </w:r>
    </w:p>
    <w:p w14:paraId="3828C7B8"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You really need the support when you are in the mental state to want it. You often end up failing and falling hard before you can even get on the program.</w:t>
      </w:r>
    </w:p>
    <w:p w14:paraId="0F82B597"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I’d like to see more places being made available, I’d like to see more places that dispense the drugs, more clinics being opened up. I’d like to see GPs being encouraged to take on people for pharmacotherapy treatment programs.</w:t>
      </w:r>
    </w:p>
    <w:p w14:paraId="247D09DF"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 xml:space="preserve">Many people have dropped out of the program, or were kicked out, and faced waiting lists to get back on again. </w:t>
      </w:r>
    </w:p>
    <w:p w14:paraId="6BF06356"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I’ve been kicked off before, and I’ve been with a private doctor who kicked me off really quickly because I refused to do a urine or didn’t do a urine in time, and so I was forced to go to [a public clinic] … Upon intake they told me there would be up to a 6-week wait, which made me bawl my eyes out, because I needed the treatment then and there … I had to use in that time to stop myself from hanging out … I actually overdosed after they kicked me off, for the first time in my life … I overdosed twice.</w:t>
      </w:r>
    </w:p>
    <w:p w14:paraId="001FC458"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All participants who mentioned telehealth said that having the option to have phone consultations had made getting prescriptions much easier and, for some, had reduced travel costs.</w:t>
      </w:r>
    </w:p>
    <w:p w14:paraId="5DBC1F3C" w14:textId="77777777" w:rsidR="001E69D0" w:rsidRPr="001E69D0" w:rsidRDefault="001E69D0" w:rsidP="001E69D0">
      <w:pPr>
        <w:spacing w:after="240" w:line="240" w:lineRule="auto"/>
        <w:ind w:left="720" w:right="720"/>
        <w:jc w:val="left"/>
        <w:rPr>
          <w:rFonts w:eastAsia="Times New Roman"/>
          <w:color w:val="000000"/>
          <w:sz w:val="20"/>
          <w:szCs w:val="20"/>
        </w:rPr>
      </w:pPr>
      <w:bookmarkStart w:id="734" w:name="OLE_LINK1"/>
      <w:r w:rsidRPr="001E69D0">
        <w:rPr>
          <w:rFonts w:eastAsia="Times New Roman"/>
          <w:color w:val="000000"/>
          <w:sz w:val="20"/>
          <w:szCs w:val="20"/>
        </w:rPr>
        <w:t>I’ve been on it 20 years, nothing’s changing [in my treatment], it’s so much easier [to have a phone consultation].</w:t>
      </w:r>
    </w:p>
    <w:p w14:paraId="150734A4" w14:textId="77777777" w:rsidR="001E69D0" w:rsidRPr="001E69D0" w:rsidRDefault="001E69D0" w:rsidP="001725C8">
      <w:pPr>
        <w:keepNext/>
        <w:spacing w:before="240" w:after="240" w:line="240" w:lineRule="auto"/>
        <w:jc w:val="left"/>
        <w:outlineLvl w:val="4"/>
        <w:rPr>
          <w:rFonts w:ascii="Open Sans" w:eastAsia="Times New Roman" w:hAnsi="Open Sans" w:cs="Open Sans"/>
          <w:color w:val="008CA6"/>
        </w:rPr>
      </w:pPr>
      <w:bookmarkStart w:id="735" w:name="_Toc121231598"/>
      <w:bookmarkEnd w:id="734"/>
      <w:r w:rsidRPr="001E69D0">
        <w:rPr>
          <w:rFonts w:ascii="Open Sans" w:eastAsia="Times New Roman" w:hAnsi="Open Sans" w:cs="Open Sans"/>
          <w:color w:val="008CA6"/>
        </w:rPr>
        <w:t>Opening hours</w:t>
      </w:r>
      <w:bookmarkEnd w:id="735"/>
    </w:p>
    <w:p w14:paraId="507B3265"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Access hours for pharmacotherapy clients varied greatly between dispensers.</w:t>
      </w:r>
    </w:p>
    <w:p w14:paraId="21493D16"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Some participants said that their dispensers had long or flexible opening hours, which helped them maintain employment or study and generally manage their lives.</w:t>
      </w:r>
    </w:p>
    <w:p w14:paraId="11B93A27"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But many dispensers restrict the times when program participants can access their medicine. These windows are often when people work or take their children to school – such as after 9 am – which participants found very stressful. This caused significant disruption to people’s daily lives.</w:t>
      </w:r>
    </w:p>
    <w:p w14:paraId="09F8B6C0"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It’s difficult trying to get there on time, especially if your life is unmanageable a lot of the time, like mine is. And having to go there every day... I have a car, but otherwise it’s 50 minutes by public transport, so it adds up.</w:t>
      </w:r>
    </w:p>
    <w:p w14:paraId="2587894B"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At the public hospital, you’ve got to be before 10 [am], and in the afternoon, 1.30 to 3 [pm]. It’s hard for work.</w:t>
      </w:r>
    </w:p>
    <w:p w14:paraId="5BAAB5CC"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lastRenderedPageBreak/>
        <w:t>The hospital pharmacy is a particular nightmare, because they’re only open for half an hour and you’ve got to be there in that half hour.</w:t>
      </w:r>
    </w:p>
    <w:p w14:paraId="3F0D2BC0" w14:textId="77777777" w:rsidR="001E69D0" w:rsidRPr="001E69D0" w:rsidRDefault="001E69D0" w:rsidP="001E69D0">
      <w:pPr>
        <w:spacing w:after="240" w:line="240" w:lineRule="auto"/>
        <w:jc w:val="left"/>
        <w:rPr>
          <w:rFonts w:eastAsia="Times New Roman"/>
          <w:color w:val="000000"/>
          <w:sz w:val="22"/>
          <w:szCs w:val="20"/>
          <w:highlight w:val="yellow"/>
        </w:rPr>
      </w:pPr>
      <w:r w:rsidRPr="001E69D0">
        <w:rPr>
          <w:rFonts w:eastAsia="Times New Roman"/>
          <w:color w:val="000000"/>
          <w:sz w:val="22"/>
          <w:szCs w:val="20"/>
        </w:rPr>
        <w:t>For some participants, their dispenser’s allocated dosing window had prevented them from accepting or keeping a job, while for others it meant working shorter hours than they would have liked.</w:t>
      </w:r>
    </w:p>
    <w:p w14:paraId="77543A04"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There’s particular times... We’re not allowed to come in after 5.30 [pm], and [location removed] open at 8 [am], but you’re not allowed to go in until 9 [am]. I’ve had to quit jobs before, because you just can’t get in to dose.</w:t>
      </w:r>
    </w:p>
    <w:p w14:paraId="7542A06A"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These restricted hours also affected participant personal relationships, especially for those who wanted to keep their treatment confidential.</w:t>
      </w:r>
    </w:p>
    <w:p w14:paraId="1810F12E"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Unless your family knows you’re on methadone, you’ve got no way of getting them to understand why you’re late every time or why you can’t show up until later in the afternoon. And often they take it personally and think you’re just not willing to make an effort for the sake of your family, and then that fractures the family bonds which you’re trying to maintain.</w:t>
      </w:r>
    </w:p>
    <w:p w14:paraId="5D013020"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The public clinic would make you go in on a public holiday. How are you meant to maintain family relationships when you’re trekking in – it’s 50 minutes on a regular day, how bad is it going to be on a public holiday on public transport? It’s the whole day.</w:t>
      </w:r>
    </w:p>
    <w:p w14:paraId="11A0213B" w14:textId="77777777" w:rsidR="001E69D0" w:rsidRPr="001E69D0" w:rsidRDefault="001E69D0" w:rsidP="001725C8">
      <w:pPr>
        <w:keepNext/>
        <w:spacing w:before="240" w:after="240" w:line="240" w:lineRule="auto"/>
        <w:jc w:val="left"/>
        <w:outlineLvl w:val="4"/>
        <w:rPr>
          <w:rFonts w:ascii="Open Sans" w:eastAsia="Times New Roman" w:hAnsi="Open Sans" w:cs="Open Sans"/>
          <w:color w:val="008CA6"/>
        </w:rPr>
      </w:pPr>
      <w:bookmarkStart w:id="736" w:name="_Toc121231599"/>
      <w:r w:rsidRPr="001E69D0">
        <w:rPr>
          <w:rFonts w:ascii="Open Sans" w:eastAsia="Times New Roman" w:hAnsi="Open Sans" w:cs="Open Sans"/>
          <w:color w:val="008CA6"/>
        </w:rPr>
        <w:t>Eligibility limitations</w:t>
      </w:r>
      <w:bookmarkEnd w:id="736"/>
    </w:p>
    <w:p w14:paraId="47279399"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Participants felt that signing up to the program should be quicker and easier, because when people are ready to seek help, they are often not in a state of mind that can cope with complicated processes.</w:t>
      </w:r>
    </w:p>
    <w:p w14:paraId="54563324"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 xml:space="preserve">When you start, they make you jump through so many hoops, and at that time you’re not a stable person to be able to jump through them hoops. I knew a girl who died of an overdose waiting to get on the program because of them hoops.  </w:t>
      </w:r>
    </w:p>
    <w:p w14:paraId="09F4CEC3"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 detoxed before attempting to start treatment, so I had no opiates in my system when I was first urine tested … I was told I had to have drugs in my system to be even allowed into the program. So I had to go back and use, and then wait another 6 weeks before the program would start, so I had 6 weeks of intravenous using until I was then starting on the program again. That was pretty disheartening to go through that withdrawal in that couple of weeks … and then be told, ‘actually come back to us with some drugs in your system’. It was a really horrible way to go about it.</w:t>
      </w:r>
    </w:p>
    <w:p w14:paraId="0FACCAC9" w14:textId="77777777" w:rsidR="001E69D0" w:rsidRPr="001E69D0" w:rsidRDefault="001E69D0" w:rsidP="001725C8">
      <w:pPr>
        <w:keepNext/>
        <w:spacing w:before="240" w:after="240" w:line="240" w:lineRule="auto"/>
        <w:jc w:val="left"/>
        <w:outlineLvl w:val="4"/>
        <w:rPr>
          <w:rFonts w:ascii="Open Sans" w:eastAsia="Times New Roman" w:hAnsi="Open Sans" w:cs="Open Sans"/>
          <w:color w:val="008CA6"/>
        </w:rPr>
      </w:pPr>
      <w:bookmarkStart w:id="737" w:name="_Costs_of_the"/>
      <w:bookmarkStart w:id="738" w:name="_Relationship_with_prescribers"/>
      <w:bookmarkStart w:id="739" w:name="_Toc121231600"/>
      <w:bookmarkEnd w:id="737"/>
      <w:bookmarkEnd w:id="738"/>
      <w:r w:rsidRPr="001E69D0">
        <w:rPr>
          <w:rFonts w:ascii="Open Sans" w:eastAsia="Times New Roman" w:hAnsi="Open Sans" w:cs="Open Sans"/>
          <w:color w:val="008CA6"/>
        </w:rPr>
        <w:t>Relationship with prescribers and dispensers</w:t>
      </w:r>
      <w:bookmarkEnd w:id="739"/>
    </w:p>
    <w:p w14:paraId="72EC407B"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 xml:space="preserve">Participants reported vastly different experiences with their prescribers and dispensers – some received caring support, while others reported being </w:t>
      </w:r>
      <w:hyperlink w:anchor="_Stigma_and_discrimination_1" w:history="1">
        <w:r w:rsidRPr="001E69D0">
          <w:rPr>
            <w:rFonts w:eastAsia="Times New Roman"/>
            <w:color w:val="0000FF"/>
            <w:sz w:val="22"/>
            <w:szCs w:val="20"/>
            <w:u w:val="single"/>
          </w:rPr>
          <w:t>treated as second-class citizens</w:t>
        </w:r>
      </w:hyperlink>
      <w:r w:rsidRPr="001E69D0">
        <w:rPr>
          <w:rFonts w:eastAsia="Times New Roman"/>
          <w:color w:val="000000"/>
          <w:sz w:val="22"/>
          <w:szCs w:val="20"/>
        </w:rPr>
        <w:t>.</w:t>
      </w:r>
    </w:p>
    <w:p w14:paraId="6C72A91D"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The level of care and the relationship that participants had with their prescriber and dispenser made all the difference to their experience of the program. Several participants reported seeing a prescriber or dispenser that was not the most convenient simply to be treated with respect.</w:t>
      </w:r>
    </w:p>
    <w:p w14:paraId="05CEB640"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 actually go to a chemist that’s a bit further away from my house because they’re nicer there. And I’ve stayed with that chemist for that reason … I had some bad experience in the past with chemists. They don’t treat you very nicely when you’re dosing. But this one does, so I like to go there.</w:t>
      </w:r>
    </w:p>
    <w:p w14:paraId="66325A56"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lastRenderedPageBreak/>
        <w:t>If you find a good pharmacy, you stick with them.</w:t>
      </w:r>
    </w:p>
    <w:p w14:paraId="34C09213"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I’ve got a lovely chemist, actually. They will see me pretty much straight away, and if they’re going to be a while, they’ll ask me to come back, which is fine, I’ll come back. I’ve been going to them 9 years.</w:t>
      </w:r>
    </w:p>
    <w:p w14:paraId="5AB0ADE7"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It works great with the GP, because he understands me and I’ve been seeing him for over 10 years. So we have a really good relationship, and he knows what medications don’t work well for me. I have to see him every 3 months to get my script … He was just very busy; being able to get in to see him was very difficult.</w:t>
      </w:r>
    </w:p>
    <w:p w14:paraId="470C704D"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This is a great little service … I think it’s unreal … it feels good to come here, and that’s the first [time], you know, of not worrying about being judged and all that.</w:t>
      </w:r>
    </w:p>
    <w:p w14:paraId="433D1DB4"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Some participants said that the good relationship they had built with their prescriber or dispenser had resulted in added support and flexibility – for example, with opening hours, switching treatment or transferring interstate.</w:t>
      </w:r>
    </w:p>
    <w:p w14:paraId="1AA9532A"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All of them are really nice ... They’ve been really good with work. I can get [my doctor] to email across if I need to pick up early because of work. Because they open at 8 am and I start work at 8.30 am, so it’s kind hard, so they’ve been really good in accommodating this.</w:t>
      </w:r>
    </w:p>
    <w:p w14:paraId="6CE844C0"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 xml:space="preserve">Some felt that handling pharmacotherapy treatment in the same way as any other medicine and providing health practitioners more training and support would help address shortages, </w:t>
      </w:r>
      <w:hyperlink w:anchor="_Availability_of_prescribers" w:history="1">
        <w:r w:rsidRPr="001E69D0">
          <w:rPr>
            <w:rFonts w:eastAsia="Times New Roman"/>
            <w:color w:val="0000FF"/>
            <w:sz w:val="22"/>
            <w:szCs w:val="20"/>
            <w:u w:val="single"/>
          </w:rPr>
          <w:t>reduce waiting lists</w:t>
        </w:r>
      </w:hyperlink>
      <w:r w:rsidRPr="001E69D0">
        <w:rPr>
          <w:rFonts w:eastAsia="Times New Roman"/>
          <w:color w:val="000000"/>
          <w:sz w:val="22"/>
          <w:szCs w:val="20"/>
        </w:rPr>
        <w:t xml:space="preserve"> and </w:t>
      </w:r>
      <w:hyperlink w:anchor="_Supporting_health_practitioners_1" w:history="1">
        <w:r w:rsidRPr="001E69D0">
          <w:rPr>
            <w:rFonts w:eastAsia="Times New Roman"/>
            <w:color w:val="0000FF"/>
            <w:sz w:val="22"/>
            <w:szCs w:val="20"/>
            <w:u w:val="single"/>
          </w:rPr>
          <w:t>improve quality of care</w:t>
        </w:r>
      </w:hyperlink>
      <w:r w:rsidRPr="001E69D0">
        <w:rPr>
          <w:rFonts w:eastAsia="Times New Roman"/>
          <w:color w:val="000000"/>
          <w:sz w:val="22"/>
          <w:szCs w:val="20"/>
        </w:rPr>
        <w:t xml:space="preserve">. </w:t>
      </w:r>
    </w:p>
    <w:p w14:paraId="25A2796E" w14:textId="77777777" w:rsidR="001E69D0" w:rsidRPr="001E69D0" w:rsidRDefault="001E69D0" w:rsidP="001725C8">
      <w:pPr>
        <w:keepNext/>
        <w:spacing w:before="240" w:after="240" w:line="240" w:lineRule="auto"/>
        <w:jc w:val="left"/>
        <w:outlineLvl w:val="4"/>
        <w:rPr>
          <w:rFonts w:ascii="Open Sans" w:eastAsia="Times New Roman" w:hAnsi="Open Sans" w:cs="Open Sans"/>
          <w:color w:val="008CA6"/>
        </w:rPr>
      </w:pPr>
      <w:bookmarkStart w:id="740" w:name="_Impact_of_COVID-19"/>
      <w:bookmarkStart w:id="741" w:name="_Toc121231601"/>
      <w:bookmarkEnd w:id="740"/>
      <w:r w:rsidRPr="001E69D0">
        <w:rPr>
          <w:rFonts w:ascii="Open Sans" w:eastAsia="Times New Roman" w:hAnsi="Open Sans" w:cs="Open Sans"/>
          <w:color w:val="008CA6"/>
        </w:rPr>
        <w:t>Impact of COVID-19</w:t>
      </w:r>
      <w:bookmarkEnd w:id="741"/>
    </w:p>
    <w:p w14:paraId="65193837"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COVID-19 infections, quarantine and lockdowns caused a lot of anxiety among participants, and the approach varied significantly between jurisdictions.</w:t>
      </w:r>
    </w:p>
    <w:p w14:paraId="138E8C38"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Some were able to access extra takeaway doses, while others were not.</w:t>
      </w:r>
    </w:p>
    <w:p w14:paraId="5EA60BF2"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 get 5 takeaway doses a week. I was stuck at 3 for years and years and years, and they only gave me my fourth one because of COVID. Then I’ve been offered the fifth takeaway just recently.</w:t>
      </w:r>
    </w:p>
    <w:p w14:paraId="23252752"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Through most of COVID, they just gave me a box of subbie strips for the month. I just rocked in once a month and it’s how it should be. Stupidly enough, they can snap their fingers and, all of a sudden, I can pick up once, like a normal med … I didn’t have to be late for work or run the risk of being late for work. Instead of having to wait half an hour, I could just go in there and get my box and go. It was funny how it just changed overnight, and then it changed back overnight, and now I’m back to normal.</w:t>
      </w:r>
    </w:p>
    <w:p w14:paraId="6362378C"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 xml:space="preserve">This changed with COVID. They were 2 months for a long time, then the doctor started giving me 3 months. It’s better. </w:t>
      </w:r>
    </w:p>
    <w:p w14:paraId="49F9EFFE"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And if they did [offer more takeaways during COVID], it would have been great, because my dad was dying and I felt really bad going to the chemist all the time, because I was bringing ’flus home. It was terrible.</w:t>
      </w:r>
    </w:p>
    <w:p w14:paraId="1478BFF6" w14:textId="77777777" w:rsidR="001E69D0" w:rsidRPr="001E69D0" w:rsidRDefault="001E69D0" w:rsidP="001E69D0">
      <w:pPr>
        <w:keepNext/>
        <w:spacing w:after="240" w:line="240" w:lineRule="auto"/>
        <w:jc w:val="left"/>
        <w:rPr>
          <w:rFonts w:eastAsia="Times New Roman"/>
          <w:color w:val="000000"/>
          <w:sz w:val="22"/>
          <w:szCs w:val="20"/>
        </w:rPr>
      </w:pPr>
      <w:r w:rsidRPr="001E69D0">
        <w:rPr>
          <w:rFonts w:eastAsia="Times New Roman"/>
          <w:color w:val="000000"/>
          <w:sz w:val="22"/>
          <w:szCs w:val="20"/>
        </w:rPr>
        <w:lastRenderedPageBreak/>
        <w:t>Some had their doses delivered, while others had to organise other ways to collect their doses, which created privacy issues for those who wanted to keep their treatment confidential.</w:t>
      </w:r>
    </w:p>
    <w:p w14:paraId="77690E4A"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 was in quarantine, and I had to get my brother to get it, but I didn’t want my brother to know.</w:t>
      </w:r>
    </w:p>
    <w:p w14:paraId="1456297E"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 had COVID and I had to get somebody to go there with a licence to pick up my dose and take it to me. If I didn’t have a mate that was kind enough and do it with a licence, which was hard to find... I had to pay him money. [I missed] 2 doses at the start, because I couldn’t find anybody.</w:t>
      </w:r>
    </w:p>
    <w:p w14:paraId="48827CF2"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All participants agreed that the increased availability of telehealth appointments was one of the good things to come out of the COVID-19 pandemic, though not all participants have had access to such appointments.</w:t>
      </w:r>
    </w:p>
    <w:p w14:paraId="51003644" w14:textId="77777777" w:rsidR="001E69D0" w:rsidRPr="001E69D0" w:rsidRDefault="001E69D0" w:rsidP="001725C8">
      <w:pPr>
        <w:keepNext/>
        <w:spacing w:before="240" w:after="240" w:line="240" w:lineRule="auto"/>
        <w:jc w:val="left"/>
        <w:outlineLvl w:val="4"/>
        <w:rPr>
          <w:rFonts w:ascii="Open Sans" w:eastAsia="Times New Roman" w:hAnsi="Open Sans" w:cs="Open Sans"/>
          <w:color w:val="008CA6"/>
        </w:rPr>
      </w:pPr>
      <w:bookmarkStart w:id="742" w:name="_Toc121231602"/>
      <w:r w:rsidRPr="001E69D0">
        <w:rPr>
          <w:rFonts w:ascii="Open Sans" w:eastAsia="Times New Roman" w:hAnsi="Open Sans" w:cs="Open Sans"/>
          <w:color w:val="008CA6"/>
        </w:rPr>
        <w:t>End of treatment</w:t>
      </w:r>
      <w:bookmarkEnd w:id="742"/>
    </w:p>
    <w:p w14:paraId="102EAD31"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 xml:space="preserve">Most participants had been part of the program for some years – some as many as 30 years – and many saw it as a lifetime treatment. Some said they appreciated not being under pressure to come off the program, as they did not think they could ever go without their medicine. Several people reported having been </w:t>
      </w:r>
      <w:hyperlink w:anchor="_Lack_of_autonomy" w:history="1">
        <w:r w:rsidRPr="001E69D0">
          <w:rPr>
            <w:rFonts w:eastAsia="Times New Roman"/>
            <w:color w:val="0000FF"/>
            <w:sz w:val="22"/>
            <w:szCs w:val="20"/>
            <w:u w:val="single"/>
          </w:rPr>
          <w:t>under pressure to exit the program</w:t>
        </w:r>
      </w:hyperlink>
      <w:r w:rsidRPr="001E69D0">
        <w:rPr>
          <w:rFonts w:eastAsia="Times New Roman"/>
          <w:color w:val="000000"/>
          <w:sz w:val="22"/>
          <w:szCs w:val="20"/>
        </w:rPr>
        <w:t xml:space="preserve"> before they were ready. </w:t>
      </w:r>
    </w:p>
    <w:p w14:paraId="69B6E626"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I’m on a high dose, stable, very happy. I think I’ll be on it for the rest of my life, but let’s see.</w:t>
      </w:r>
    </w:p>
    <w:p w14:paraId="28A8263C"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 don’t think I know anybody that’s actually ever gotten off it, which is a good thing, because it saves them from using, it saves them from crime, it saves them from a whole bunch of things.</w:t>
      </w:r>
    </w:p>
    <w:p w14:paraId="55CF8AE3"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Some people aim to get clean, some people expect to stay on the rest of their lives.</w:t>
      </w:r>
    </w:p>
    <w:p w14:paraId="160FFE0F"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Several participants said they had ‘fallen off the wagon’ at various stages to use opioids again, and they appreciated being able to return to the program, though many had to re-join a waiting list.</w:t>
      </w:r>
    </w:p>
    <w:p w14:paraId="7E9245E2"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 xml:space="preserve">Others had gradually reduced their dose until they were able to stop treatment altogether. These participants would have liked to have this achievement acknowledged in some way and reflected in their </w:t>
      </w:r>
      <w:hyperlink w:anchor="_Supporting_health_practitioners" w:history="1">
        <w:r w:rsidRPr="001E69D0">
          <w:rPr>
            <w:rFonts w:eastAsia="Times New Roman"/>
            <w:color w:val="0000FF"/>
            <w:sz w:val="22"/>
            <w:szCs w:val="20"/>
            <w:u w:val="single"/>
          </w:rPr>
          <w:t>medical records</w:t>
        </w:r>
      </w:hyperlink>
      <w:r w:rsidRPr="001E69D0">
        <w:rPr>
          <w:rFonts w:eastAsia="Times New Roman"/>
          <w:color w:val="000000"/>
          <w:sz w:val="22"/>
          <w:szCs w:val="20"/>
        </w:rPr>
        <w:t>.</w:t>
      </w:r>
    </w:p>
    <w:p w14:paraId="4C8FF765"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An official congratulations at the end of the program – it shows the same as if you drop out … it’s not listed differently in your records than if you spend 2 years reducing your dose and coming off it.</w:t>
      </w:r>
    </w:p>
    <w:p w14:paraId="4A12C71D" w14:textId="77777777" w:rsidR="001E69D0" w:rsidRPr="001E69D0" w:rsidRDefault="001E69D0" w:rsidP="001725C8">
      <w:pPr>
        <w:keepNext/>
        <w:spacing w:before="240" w:after="240" w:line="240" w:lineRule="auto"/>
        <w:ind w:left="720" w:hanging="720"/>
        <w:jc w:val="left"/>
        <w:outlineLvl w:val="3"/>
        <w:rPr>
          <w:rFonts w:ascii="Open Sans" w:eastAsia="Times New Roman" w:hAnsi="Open Sans" w:cs="Open Sans"/>
          <w:iCs/>
          <w:color w:val="008CA6"/>
          <w:sz w:val="28"/>
          <w:szCs w:val="28"/>
        </w:rPr>
      </w:pPr>
      <w:bookmarkStart w:id="743" w:name="_Treatment_cost"/>
      <w:bookmarkStart w:id="744" w:name="_Toc121231603"/>
      <w:bookmarkEnd w:id="743"/>
      <w:r w:rsidRPr="001E69D0">
        <w:rPr>
          <w:rFonts w:ascii="Open Sans" w:eastAsia="Times New Roman" w:hAnsi="Open Sans" w:cs="Open Sans"/>
          <w:iCs/>
          <w:color w:val="008CA6"/>
          <w:sz w:val="28"/>
          <w:szCs w:val="28"/>
        </w:rPr>
        <w:t>Treatment cost</w:t>
      </w:r>
      <w:bookmarkEnd w:id="744"/>
    </w:p>
    <w:p w14:paraId="4D6D932E"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The high and ongoing cost of the treatment was a significant issue for most participants. The only jurisdiction where participants did not feel this financial pressure was the Australian Capital Territory, where dispensing fees are subsidised by the territory government and capped at $14.70.</w:t>
      </w:r>
    </w:p>
    <w:p w14:paraId="7FB417E9"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 xml:space="preserve">For many, the cost of treatment represented a significant proportion of their income, and, in some cases, was the reason they dropped out of the program. For others, their inability to pay led to </w:t>
      </w:r>
      <w:hyperlink w:anchor="_Impact_of_being_1" w:history="1">
        <w:r w:rsidRPr="001E69D0">
          <w:rPr>
            <w:rFonts w:eastAsia="Times New Roman"/>
            <w:color w:val="0000FF"/>
            <w:sz w:val="22"/>
            <w:szCs w:val="20"/>
            <w:u w:val="single"/>
          </w:rPr>
          <w:t>punitive measures</w:t>
        </w:r>
      </w:hyperlink>
      <w:r w:rsidRPr="001E69D0">
        <w:rPr>
          <w:rFonts w:eastAsia="Times New Roman"/>
          <w:color w:val="000000"/>
          <w:sz w:val="22"/>
          <w:szCs w:val="20"/>
        </w:rPr>
        <w:t xml:space="preserve"> from their prescriber or dispenser, such as being taken off the program.</w:t>
      </w:r>
    </w:p>
    <w:p w14:paraId="3B063B6F"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[The cost is] huge at the moment, especially not being able to work long hours because you’ve got to get to the chemist 4 times a week. It’s really, really, really difficult. It’s a huge cost. I get $300 a week and $60 goes to my methadone. It’s a big chunk.</w:t>
      </w:r>
    </w:p>
    <w:p w14:paraId="7922D97A"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lastRenderedPageBreak/>
        <w:t>The cost impacts my life very much. I pay $50 … and when you’ve got $250 to see you for a fortnight, $100 taken out of that is quite a big chunk. And because it is your methadone, you have to pay, you can’t cope if you don’t. It’s an absolute necessity.</w:t>
      </w:r>
    </w:p>
    <w:p w14:paraId="48FE1A73"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When I lived in boarding houses in Melbourne, by the time I had paid my rent, paid my travel to the chemist every day, and paid the dispensing fee, I had $15 left for the fortnight for food. Similarly, when I was in Sydney, because I was working, I had to get on a private clinic there … it was like $80 a week and that’s a substantial amount of money every week to pay.</w:t>
      </w:r>
    </w:p>
    <w:p w14:paraId="574994CD"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Getting out to the chemist every single day is actually quite costly for me, because I’ve got to get petrol money, and my sister’s car uses a lot of petrol. I can’t just give her $5, that’s only 3 litres of petrol. There is no buses here that go there.</w:t>
      </w:r>
    </w:p>
    <w:p w14:paraId="3CDE734F"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It is a struggle, absolutely. I’ve had to borrow from family to pay that. I’m only on a pension, so $40 a week is a fair sum. Obviously, the best outcome would be for it to be on the PBS for people to pay for it as a normal script.</w:t>
      </w:r>
    </w:p>
    <w:p w14:paraId="3CFA7AB0"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 xml:space="preserve">I know of others who wouldn’t go and pick up their medication because they didn’t have the $5, and that’s not good enough. They shouldn’t be not allowed to dose because they didn’t have money. </w:t>
      </w:r>
    </w:p>
    <w:p w14:paraId="7041755F"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I’ve seen with friends and other community members that the financial impact, the cost of opioid treatment is a reason why they stop dosing, and they fall behind. They can’t afford to pay for their dose. It gets too much. And so people end up coming off the program because of the cost.</w:t>
      </w:r>
    </w:p>
    <w:p w14:paraId="1A40A9A3"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 xml:space="preserve">Some participants acknowledged that pharmacotherapy treatment was much cheaper than illicit drugs. But many stressed it is not comparable, as the treatment is about getting their lives in order and </w:t>
      </w:r>
      <w:r w:rsidRPr="001E69D0">
        <w:rPr>
          <w:rFonts w:eastAsia="Times New Roman"/>
          <w:color w:val="000000"/>
          <w:sz w:val="22"/>
          <w:szCs w:val="22"/>
        </w:rPr>
        <w:t>paying for rent, utilities, food and other medication, and th</w:t>
      </w:r>
      <w:r w:rsidRPr="001E69D0">
        <w:rPr>
          <w:rFonts w:eastAsia="Times New Roman"/>
          <w:color w:val="000000"/>
          <w:sz w:val="22"/>
          <w:szCs w:val="20"/>
        </w:rPr>
        <w:t>e added financial burden of the treatment could be demoralising.</w:t>
      </w:r>
    </w:p>
    <w:p w14:paraId="3DB889E3"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That $140+ a fortnight [for 2 people] was absolutely noticeable … It made times even tougher, it was really stressful, an added stressor … Bills accumulate … Being in active addiction, I wasn’t very good with money, so there were some things owing, so the added stress of trying to get on track, you seem to always be just behind.</w:t>
      </w:r>
    </w:p>
    <w:p w14:paraId="6B8EA1BA"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 xml:space="preserve">When I first got on the program it was lifesaving, because I was spending I don’t even want to tell you how much a day on morphine. So I was saving money, but then eventually, you get a normal lifestyle, where you’re paying your rent again, you’re paying your power again. [Previously] I was squatting in my own flat. I had no power, I never ate food, I had to do other things to try and get income in that weren’t necessarily legal … When I was on the program, I got those freedoms back, because I was only paying $6 a day … When I got behind in the pharmacy, the pharmacist said to me, ‘why can you not afford this when you would have spent way more money on drugs’. I was so shocked because 1. it’s treatment, 2. now I can live a normal life. I can pay my bills again, I can go shopping, do normal stuff … I was only working part time. I couldn’t believe someone said that to me. Would you rather I go back … to doing all kinds of other things to make it work? </w:t>
      </w:r>
    </w:p>
    <w:p w14:paraId="59DF5BB9"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 xml:space="preserve">[They say,] ‘how much did you use to spend on heroin?’ Well if you could afford that, you can afford the $60 a week. The whole point of this is so we can change our lives, not so we still have to break and enter into people’s houses and cars … That’s how they judge the success of these, is by getting people out of crime … $60 a week for somebody on Newstart, you’re not getting them out of crime … and if you’re getting them out of crime, you’re getting them into starvation, and that’s not any better. </w:t>
      </w:r>
    </w:p>
    <w:p w14:paraId="68CEAB7C"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lastRenderedPageBreak/>
        <w:t>It is a legitimate drug, it’s a need. I’m 61, so I’m looking on being on the old age pension. It’s going to really affect me then, because I won’t be working at all. And I’m only working casually now. So, I do worry about it in the future.</w:t>
      </w:r>
    </w:p>
    <w:p w14:paraId="5B95A7BC"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Several participants said they would like medicines for opioid dependence treatment to be available free from pharmacies. Although public clinics offer free dispensing, they are often not a viable option. Many wanted the medicines to be treated like any other medicine on the PBS, with a cap on pricing, a safety net threshold, and the ability to pick them up at any time during opening hours.</w:t>
      </w:r>
    </w:p>
    <w:p w14:paraId="1750C286"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 xml:space="preserve">I definitely believe it should be on the PBS, because the people that are on it … we’re coming from struggles. We’re not coming from money. We’re coming from the bottom of the rack. We’re fighting from day dot. Then when we’re trying to do the right thing, we’re getting slugged with this huge amount of money taken off us. </w:t>
      </w:r>
    </w:p>
    <w:p w14:paraId="10433F63"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 don’t really understand how methadone is any different to any other long-term prescribing drug. Our methadone is not counted [towards the PBS safety net threshold], even though it’s $50 a week. So why is that not counted? We’ve always been told that methadone is given to the pharmacies for free. I do understand that they have to dispense it, so the bottles, the labelling, the time. I do appreciate that it is important that the pharmacies get compensated for providing the service, but I think that the government should offer some subsidies to make it more affordable.</w:t>
      </w:r>
    </w:p>
    <w:p w14:paraId="7EE36EFC"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Prices of everything’s going up … We can’t survive paying rent, we can’t survive buying food and everything else. It’s a big problem when someone’s trying to better their life and they have this problem of not being able to dose because they don’t have the money … It should be like any other medication, any other script that you get, a cost of $6.80 … and that’s all we should be paying for that.</w:t>
      </w:r>
    </w:p>
    <w:p w14:paraId="7625B853"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We’re accessing a health service. You have a brain injury, you see the neurologist. You have a heart problem, you go to see that heart doctor. We’re getting medication to treat a disease.</w:t>
      </w:r>
    </w:p>
    <w:p w14:paraId="201D2EE2"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 xml:space="preserve">At bare minimum, it should be part of the cap. It’s a needed medication. It’s like saying to someone with a with epilepsy, ‘oh look, we’re not going to cap your medication’. </w:t>
      </w:r>
    </w:p>
    <w:p w14:paraId="1A9C48C7"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I’ve got a concession card. If I could pay like I do my antidepressants or any other, like $6.80 or whatever it is a month. But instead I’m paying $120 a month. I'm not even paying for the drug. It’s funded by the government.</w:t>
      </w:r>
    </w:p>
    <w:p w14:paraId="78A0C85D"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If I could get a monthly script of $6.80, that would be brilliant!</w:t>
      </w:r>
    </w:p>
    <w:p w14:paraId="4B33A254"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When I was on methadone, it would have been amazing to just be able to treat it like any other medication and [not have it] feel like a penalty … almost as though we’re such a burden to the pharmacy that they’ve got to charge about 10 times what they would charge for any other drug.</w:t>
      </w:r>
    </w:p>
    <w:p w14:paraId="16E744D0"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Under Closing the Gap, I get all my medication for free, but they wouldn’t put that under Closing the Gap. It’s like a service fee.</w:t>
      </w:r>
    </w:p>
    <w:p w14:paraId="4147A04D" w14:textId="77777777" w:rsidR="001E69D0" w:rsidRPr="001E69D0" w:rsidRDefault="001E69D0" w:rsidP="001725C8">
      <w:pPr>
        <w:keepNext/>
        <w:spacing w:before="240" w:after="240" w:line="240" w:lineRule="auto"/>
        <w:jc w:val="left"/>
        <w:outlineLvl w:val="4"/>
        <w:rPr>
          <w:rFonts w:ascii="Open Sans" w:eastAsia="Times New Roman" w:hAnsi="Open Sans" w:cs="Open Sans"/>
          <w:color w:val="008CA6"/>
        </w:rPr>
      </w:pPr>
      <w:bookmarkStart w:id="745" w:name="_Toc121231604"/>
      <w:r w:rsidRPr="001E69D0">
        <w:rPr>
          <w:rFonts w:ascii="Open Sans" w:eastAsia="Times New Roman" w:hAnsi="Open Sans" w:cs="Open Sans"/>
          <w:color w:val="008CA6"/>
        </w:rPr>
        <w:lastRenderedPageBreak/>
        <w:t>Cost of prescribers</w:t>
      </w:r>
      <w:bookmarkEnd w:id="745"/>
    </w:p>
    <w:p w14:paraId="73DD8169" w14:textId="77777777" w:rsidR="001E69D0" w:rsidRPr="001E69D0" w:rsidRDefault="001E69D0" w:rsidP="001E69D0">
      <w:pPr>
        <w:keepNext/>
        <w:spacing w:line="240" w:lineRule="auto"/>
        <w:jc w:val="left"/>
        <w:rPr>
          <w:rFonts w:eastAsia="Times New Roman"/>
          <w:color w:val="000000"/>
          <w:sz w:val="22"/>
          <w:szCs w:val="20"/>
        </w:rPr>
      </w:pPr>
      <w:r w:rsidRPr="001E69D0">
        <w:rPr>
          <w:rFonts w:eastAsia="Times New Roman"/>
          <w:color w:val="000000"/>
          <w:sz w:val="22"/>
          <w:szCs w:val="20"/>
        </w:rPr>
        <w:t>Many participants could not access bulk-billing prescribers, so had to pay to see their prescriber each time they needed to renew their prescription – the timeframe between appointments varied greatly between participants, from every 2 weeks to every 3 months.</w:t>
      </w:r>
    </w:p>
    <w:p w14:paraId="13BA9860"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Because I go to a private prescriber, that also costs me money once a month. No one bulk bills down here anymore, so I have to have at least $100 a month in my account to pay my doctor just to get a prescription once a month. So that’s added on top of methadone.</w:t>
      </w:r>
    </w:p>
    <w:p w14:paraId="78745ED5"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 xml:space="preserve">The increased access to telehealth as a result of the </w:t>
      </w:r>
      <w:hyperlink w:anchor="_Impact_of_COVID-19" w:history="1">
        <w:r w:rsidRPr="001E69D0">
          <w:rPr>
            <w:rFonts w:eastAsia="Times New Roman"/>
            <w:color w:val="0000FF"/>
            <w:sz w:val="22"/>
            <w:szCs w:val="20"/>
            <w:u w:val="single"/>
          </w:rPr>
          <w:t>COVID-19 pandemic</w:t>
        </w:r>
      </w:hyperlink>
      <w:r w:rsidRPr="001E69D0">
        <w:rPr>
          <w:rFonts w:eastAsia="Times New Roman"/>
          <w:color w:val="000000"/>
          <w:sz w:val="22"/>
          <w:szCs w:val="20"/>
        </w:rPr>
        <w:t xml:space="preserve"> had been beneficial to those who had accessed it.</w:t>
      </w:r>
    </w:p>
    <w:p w14:paraId="236707EB" w14:textId="77777777" w:rsidR="001E69D0" w:rsidRPr="001E69D0" w:rsidRDefault="001E69D0" w:rsidP="001725C8">
      <w:pPr>
        <w:keepNext/>
        <w:spacing w:before="240" w:after="240" w:line="240" w:lineRule="auto"/>
        <w:jc w:val="left"/>
        <w:outlineLvl w:val="4"/>
        <w:rPr>
          <w:rFonts w:ascii="Open Sans" w:eastAsia="Times New Roman" w:hAnsi="Open Sans" w:cs="Open Sans"/>
          <w:color w:val="008CA6"/>
        </w:rPr>
      </w:pPr>
      <w:bookmarkStart w:id="746" w:name="_Toc121231605"/>
      <w:r w:rsidRPr="001E69D0">
        <w:rPr>
          <w:rFonts w:ascii="Open Sans" w:eastAsia="Times New Roman" w:hAnsi="Open Sans" w:cs="Open Sans"/>
          <w:color w:val="008CA6"/>
        </w:rPr>
        <w:t>Cost of dispensers</w:t>
      </w:r>
      <w:bookmarkEnd w:id="746"/>
    </w:p>
    <w:p w14:paraId="42A783A2" w14:textId="77777777" w:rsidR="001E69D0" w:rsidRPr="001E69D0" w:rsidRDefault="001E69D0" w:rsidP="001E69D0">
      <w:pPr>
        <w:keepNext/>
        <w:spacing w:line="240" w:lineRule="auto"/>
        <w:jc w:val="left"/>
        <w:rPr>
          <w:rFonts w:eastAsia="Times New Roman"/>
          <w:color w:val="000000"/>
          <w:sz w:val="22"/>
          <w:szCs w:val="20"/>
        </w:rPr>
      </w:pPr>
      <w:r w:rsidRPr="001E69D0">
        <w:rPr>
          <w:rFonts w:eastAsia="Times New Roman"/>
          <w:color w:val="000000"/>
          <w:sz w:val="22"/>
          <w:szCs w:val="20"/>
        </w:rPr>
        <w:t>Dispensing fees varied between pharmacies. Some charge more for takeaway doses than for those taken at the pharmacy, and others charge a dispensing fee for each day, even when participants picked up takeaway doses only twice a week.</w:t>
      </w:r>
    </w:p>
    <w:p w14:paraId="2F71BFB6"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If you miss a day [of dosing], they still charge you the $5 to ‘keep your place’.</w:t>
      </w:r>
    </w:p>
    <w:p w14:paraId="39D46523"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You go in and get your takeaways, and you get charged for 5 days of dispensing fees, but they only dispense once. That’s my pet peeve – don’t charge us for days we haven’t come in.</w:t>
      </w:r>
    </w:p>
    <w:p w14:paraId="2438B626"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I’m in a regional area, and it’s a 90-kilometre round trip, and with the price of fuel, it’s ridiculous. And then it’s $10 a day [dispensing fee]. I only get a couple of takeaway doses. How they come up with that $10 for 5 minutes, I don’t know... Nobody else has to pay for dispensing. I don’t understand what we’re paying for when the actual drug is free.</w:t>
      </w:r>
    </w:p>
    <w:p w14:paraId="2EB09FC1"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It’s just unbelievable to me that there is no cap on how much a pharmacy can charge... There should at least be a cap and it should be the same as any other prescription that you’re paying for.</w:t>
      </w:r>
    </w:p>
    <w:p w14:paraId="48ED81AF" w14:textId="77777777" w:rsidR="001E69D0" w:rsidRPr="001E69D0" w:rsidRDefault="001E69D0" w:rsidP="001725C8">
      <w:pPr>
        <w:keepNext/>
        <w:spacing w:before="240" w:after="240" w:line="240" w:lineRule="auto"/>
        <w:jc w:val="left"/>
        <w:outlineLvl w:val="4"/>
        <w:rPr>
          <w:rFonts w:ascii="Open Sans" w:eastAsia="Times New Roman" w:hAnsi="Open Sans" w:cs="Open Sans"/>
          <w:color w:val="008CA6"/>
        </w:rPr>
      </w:pPr>
      <w:bookmarkStart w:id="747" w:name="_Toc121231606"/>
      <w:r w:rsidRPr="001E69D0">
        <w:rPr>
          <w:rFonts w:ascii="Open Sans" w:eastAsia="Times New Roman" w:hAnsi="Open Sans" w:cs="Open Sans"/>
          <w:color w:val="008CA6"/>
        </w:rPr>
        <w:t>The consequences of cost</w:t>
      </w:r>
      <w:bookmarkEnd w:id="747"/>
    </w:p>
    <w:p w14:paraId="5A94F6DB"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Participants said they prioritised paying for their treatment over everything else, because not having it made them sick and they struggled to function without it. This sometimes meant they had to forego food or other critical medicines, or get behind on rent and utilities payments.</w:t>
      </w:r>
    </w:p>
    <w:p w14:paraId="1FCF190F"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 go without my other medication. I make my 2 other medications last twice as long as they need to, just so I can have the one that’s most important, so that I don’t miss doses, so I don’t start feeling sick. I don’t get the full range of medication that I need, because one of them is so expensive that it stops me being able to afford the other ones.</w:t>
      </w:r>
    </w:p>
    <w:p w14:paraId="670124B2"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 buy less food, and I don’t buy any luxuries, none, not even a packet of biscuits.</w:t>
      </w:r>
    </w:p>
    <w:p w14:paraId="31E9AF1C"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Sometimes, it’s like food or methadone. And it’s obviously got to be methadone first.</w:t>
      </w:r>
    </w:p>
    <w:p w14:paraId="6CEF94F8"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 do work, but only part time, and I’m on a low income... I have to have that medication, because [without it] I can’t work, and if I can’t work, I can’t get paid, I lose my job, it’s a round circle, and I’ve gone without other medications, because this is the one that affects me day-to-day the most, it has the most physical effects … If I miss my other medications, I’m in trouble too, but this is the most noticeable. I’ve gone without food, I’ve been late on my rent, I’ve gone without power … because [with it] I can function. If I have to deal with everything else on top of the fact that I’m in withdrawals, then it all becomes too much.</w:t>
      </w:r>
    </w:p>
    <w:p w14:paraId="3E32D917"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lastRenderedPageBreak/>
        <w:t>I’ve struggled to pay for my dose each week and pay for food sometimes.</w:t>
      </w:r>
    </w:p>
    <w:p w14:paraId="3FBF2FE1"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 xml:space="preserve">It’s the first thing I pay before I buy anything. My rent comes out of my pay, so what’s in my account is mine, so I go straight to the pharmacy and pay my bill. </w:t>
      </w:r>
    </w:p>
    <w:p w14:paraId="249CB37D"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For others, the cost means that they do not follow a regular treatment schedule as prescribed by their doctor.</w:t>
      </w:r>
    </w:p>
    <w:p w14:paraId="2A9E99B4"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 can’t afford to dose the way they want me to. So one of the ways that I’ve found is by switching to alternate days and then asking for a higher dose. I pay less money, because it doesn’t matter the amount you’re on, the cost of the dose is the same. I cut my squares really small and I take one every 6 hours.</w:t>
      </w:r>
    </w:p>
    <w:p w14:paraId="217B5952" w14:textId="77777777" w:rsidR="001E69D0" w:rsidRPr="001E69D0" w:rsidRDefault="001E69D0" w:rsidP="001725C8">
      <w:pPr>
        <w:keepNext/>
        <w:spacing w:before="240" w:after="240" w:line="240" w:lineRule="auto"/>
        <w:ind w:left="720" w:hanging="720"/>
        <w:jc w:val="left"/>
        <w:outlineLvl w:val="3"/>
        <w:rPr>
          <w:rFonts w:ascii="Open Sans" w:eastAsia="Times New Roman" w:hAnsi="Open Sans" w:cs="Open Sans"/>
          <w:iCs/>
          <w:color w:val="008CA6"/>
          <w:sz w:val="28"/>
          <w:szCs w:val="28"/>
        </w:rPr>
      </w:pPr>
      <w:bookmarkStart w:id="748" w:name="_Toc121231607"/>
      <w:r w:rsidRPr="001E69D0">
        <w:rPr>
          <w:rFonts w:ascii="Open Sans" w:eastAsia="Times New Roman" w:hAnsi="Open Sans" w:cs="Open Sans"/>
          <w:iCs/>
          <w:color w:val="008CA6"/>
          <w:sz w:val="28"/>
          <w:szCs w:val="28"/>
        </w:rPr>
        <w:t>Dosing frequency</w:t>
      </w:r>
      <w:bookmarkEnd w:id="748"/>
    </w:p>
    <w:p w14:paraId="141E6AD8" w14:textId="5A1A29AC"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The vast majority of participants said daily attendance during specific times of day restricted their freedom greatly, affecting their ability to work, study or travel or to take their children to school. Many called it the ‘liquid handcuffs’ or the ‘b</w:t>
      </w:r>
      <w:r w:rsidR="007A1264">
        <w:rPr>
          <w:rFonts w:eastAsia="Times New Roman"/>
          <w:color w:val="000000"/>
          <w:sz w:val="22"/>
          <w:szCs w:val="20"/>
        </w:rPr>
        <w:t>all</w:t>
      </w:r>
      <w:r w:rsidRPr="001E69D0">
        <w:rPr>
          <w:rFonts w:eastAsia="Times New Roman"/>
          <w:color w:val="000000"/>
          <w:sz w:val="22"/>
          <w:szCs w:val="20"/>
        </w:rPr>
        <w:t xml:space="preserve"> and the chain’. They preferred the relative freedom of takeaway doses or monthly injections, but not everyone has these options, and many felt that </w:t>
      </w:r>
      <w:hyperlink w:anchor="_Impact_of_being_1" w:history="1">
        <w:r w:rsidRPr="001E69D0">
          <w:rPr>
            <w:rFonts w:eastAsia="Times New Roman"/>
            <w:color w:val="0000FF"/>
            <w:sz w:val="22"/>
            <w:szCs w:val="20"/>
            <w:u w:val="single"/>
          </w:rPr>
          <w:t>takeaway doses are used as a form of control</w:t>
        </w:r>
      </w:hyperlink>
      <w:r w:rsidRPr="001E69D0">
        <w:rPr>
          <w:rFonts w:eastAsia="Times New Roman"/>
          <w:color w:val="000000"/>
          <w:sz w:val="22"/>
          <w:szCs w:val="20"/>
        </w:rPr>
        <w:t>.</w:t>
      </w:r>
    </w:p>
    <w:p w14:paraId="6DF5A1F4"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 was offered a wonderful job, but I can’t do it because it’s working away 4 days a week, which really sucks, because you only get 3 takeaways a week, and you can’t have them consecutively. In the country, it makes it so hard, and I’ve missed out on so many opportunities, and it’s a big reason why I’m still on the dole.</w:t>
      </w:r>
    </w:p>
    <w:p w14:paraId="03530468"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 just couldn’t keep making these appointments with the fishing as a job, so I had to let it go ... Do I keep my job or do I lose my job and stay on the program? So it was a predicament to be in.</w:t>
      </w:r>
    </w:p>
    <w:p w14:paraId="22DCB983"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 xml:space="preserve">It’s so hard to tell your employer, I’ve got to go to the chemist, I’ve got to get an hour off to get me dose. </w:t>
      </w:r>
    </w:p>
    <w:p w14:paraId="08C5A51F"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 understand where they’re coming from with giving you just 3 [takeaway doses] a week, but when you’re working, you need those couple of extra ones so that you can just get up, dose, go to work, get up, dose, go to work.</w:t>
      </w:r>
    </w:p>
    <w:p w14:paraId="215C482B"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Dosing [with takeaway doses] every 2 weeks would make a big difference to my life. My aim is to get down to 30 to be able to get on the Sublocade. My partner being on it, he works away a bit, and he can just pack up and go. He’s only got to worry once a month to have his injection. If they did that with the methadone as well, that would be awesome. Even once a week would help.</w:t>
      </w:r>
    </w:p>
    <w:p w14:paraId="6C494C0C"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 xml:space="preserve">I like to go bush. I like to get out of town, go camping, take the dogs and the kids fishing. You just can’t do that when you’re on the program, you’re trapped in town. </w:t>
      </w:r>
    </w:p>
    <w:p w14:paraId="52F74B90"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They don’t give you credit for the progress you’ve made.</w:t>
      </w:r>
    </w:p>
    <w:p w14:paraId="741AC008"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For some, the daily attendance is a reminder of their situation and hinders their progress, which can have flow-on impacts. Many said that not having to attend so frequently helped to change their mindset and to remove themselves from detrimental situations and people.</w:t>
      </w:r>
    </w:p>
    <w:p w14:paraId="4145E240"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When you’ve got to go every day, it’s hard to get that out of your lifestyle. The drug taking is still huge part of your life. You can’t develop a more normal life, you know, around other things, around work, around anything else.</w:t>
      </w:r>
    </w:p>
    <w:p w14:paraId="31058818"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lastRenderedPageBreak/>
        <w:t>The thing about going to the clinic every day – it reminded me every day that I was in treatment for a drug addiction. It reinforced that. Now you can forget about it… Being able to devote the time to [dealing with my trauma]. I’m not stuck on that 9 and 11 timeframe.</w:t>
      </w:r>
    </w:p>
    <w:p w14:paraId="3C42C833"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Some people don’t want a reminder that they have to dose every day. So they prefer the jab [long-acting buprenorphine injection].</w:t>
      </w:r>
    </w:p>
    <w:p w14:paraId="6907314E"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It helps get your head out of the whole illicit drug mindset. I have to go to [name removed] every 3 months and walk under that sign where it mentions addiction, and for that day, I’m a drug addict again. Luckily, that only happens once every 3 months. The minimal supervision regime has freed me from this whole mindset. I don’t see people with drug problems by chance at the chemist anymore. If you go every day, that part of your life remains active.</w:t>
      </w:r>
    </w:p>
    <w:p w14:paraId="53FB62F0"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With contact with the clinic, I’d rather as little as possible … only because … when you’re trying to get away from that lifestyle, and you’re standing in line at the clinic, and all you can hear is, ‘… you got any pills, or you got any Xan, do you know anyone who’s got takeaways, do you know where to get heroin from?’</w:t>
      </w:r>
    </w:p>
    <w:p w14:paraId="6E0F76B6"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 xml:space="preserve">When I didn’t get any takeaways, it was so hard to separate yourself from the drug-using culture mentality, because you’re spending every day with other drug users and you can’t get away from that. </w:t>
      </w:r>
    </w:p>
    <w:p w14:paraId="624A290A" w14:textId="77777777" w:rsidR="001E69D0" w:rsidRPr="001E69D0" w:rsidRDefault="001E69D0" w:rsidP="001E69D0">
      <w:pPr>
        <w:keepNext/>
        <w:spacing w:after="240" w:line="240" w:lineRule="auto"/>
        <w:jc w:val="left"/>
        <w:rPr>
          <w:rFonts w:eastAsia="Times New Roman"/>
          <w:color w:val="000000"/>
          <w:sz w:val="22"/>
          <w:szCs w:val="20"/>
        </w:rPr>
      </w:pPr>
      <w:r w:rsidRPr="001E69D0">
        <w:rPr>
          <w:rFonts w:eastAsia="Times New Roman"/>
          <w:color w:val="000000"/>
          <w:sz w:val="22"/>
          <w:szCs w:val="20"/>
        </w:rPr>
        <w:t>Daily attendance can also cause major issues in cases where dispensers close unexpectedly.</w:t>
      </w:r>
    </w:p>
    <w:p w14:paraId="52154776"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During the floods … the pharmacy was closed for 3 full days and there were people who were in the methadone and the subbie program sitting out in front of this pharmacy waiting. They waited 3 whole days. They came back in the morning, they came back at night... these poor people were withdrawing for 3 whole days. During that storm, nobody contacted them to let them know what was happening with their dose, nobody [cared], and it was so heartbreaking to me, because I could see how sick they were … I couldn't believe that that was allowed to happen.</w:t>
      </w:r>
    </w:p>
    <w:p w14:paraId="15636A1D"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In general, those with fewer interactions had a more positive experience of the program.</w:t>
      </w:r>
    </w:p>
    <w:p w14:paraId="21EA91C2"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 was at a public clinic for a really long time going every day, and when I switched to a chemist and I was only going in once a week, it was a massive difference, a massive weight off my shoulders to not have to worry about getting to the clinic before closing time each day, and a lot more freedom.</w:t>
      </w:r>
    </w:p>
    <w:p w14:paraId="3EE6944C"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With takeaways, I’m able to study. I’m doing some courses part time, and there’d be no way I’d be able to attend the classes if I had to go and pick up. It’s a kind of freedom to live your life and live freely for a day or 2.</w:t>
      </w:r>
    </w:p>
    <w:p w14:paraId="2ED3F2C4"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It’s a lot more convenient with the takeaways for work. Because I’d have to stop [work], and then drive across town and drive all the way back, and there’s 2 hours.</w:t>
      </w:r>
    </w:p>
    <w:p w14:paraId="141503CD"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I've got my life back [with the monthly injection]. I can like do things like spontaneously go away for the weekend. I don’t have to worry about having to come cap in hand for takeaways.</w:t>
      </w:r>
    </w:p>
    <w:p w14:paraId="053F849A"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Not going to the clinic on a daily basis, that allows me to do other things, specifically volunteer my time and work on aspects of drug law reform. I like the fact that even though it’s a 28-day injection, I can play around with that day – a couple of days beforehand or afterwards, I’m not going to go straight into withdrawals and the clinic so far has had no issue with me going in late.</w:t>
      </w:r>
    </w:p>
    <w:p w14:paraId="70CEB31A"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lastRenderedPageBreak/>
        <w:t>I’m on a monthly injection. It allows me to do other things. Being able to do those other things has raised my self</w:t>
      </w:r>
      <w:r w:rsidRPr="001E69D0">
        <w:rPr>
          <w:rFonts w:eastAsia="Times New Roman"/>
          <w:color w:val="000000"/>
          <w:sz w:val="20"/>
          <w:szCs w:val="20"/>
        </w:rPr>
        <w:noBreakHyphen/>
        <w:t>esteem somewhat. And by raising my self</w:t>
      </w:r>
      <w:r w:rsidRPr="001E69D0">
        <w:rPr>
          <w:rFonts w:eastAsia="Times New Roman"/>
          <w:color w:val="000000"/>
          <w:sz w:val="20"/>
          <w:szCs w:val="20"/>
        </w:rPr>
        <w:noBreakHyphen/>
        <w:t>esteem, it has encouraged within myself to start going to the dentist a little bit more, to take care of my arthritic hip, to look at getting some treatment for the chronic pain and back injuries I’ve been carrying for 15 years – self-care.</w:t>
      </w:r>
    </w:p>
    <w:p w14:paraId="44B9DE43"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When you’re not going to the clinic every single day, suddenly you’ve got a bit of time. So, you’ve got time to go to the dentist.</w:t>
      </w:r>
    </w:p>
    <w:p w14:paraId="299086E2"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I’m on the minimal supervision regime so it is quite easy for me. I see the doctor every 3 months, and I fill the script every month, like a normal medication … I couldn’t imagine going back to the old way. I’d probably be more likely to go off it, to be honest. It’s really the reason I’m still on buprenorphine. It’s half price, so I pay $60 a month. When I moved onto this, it became very easy. I just wake up every morning and have my dose … It really is as simple as pie.</w:t>
      </w:r>
    </w:p>
    <w:p w14:paraId="28935E13"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Participants felt that once they have been on the program without any issues for a specified period, they should be allowed more takeaway doses if they wanted them.</w:t>
      </w:r>
    </w:p>
    <w:p w14:paraId="388CCDCD"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If you’re actually not abusing it, and they know, because they see you every day … If he’s been on the program for 10 years, he’s never [messed] up, you should be allowed to have takeaways … I know a lot of people on it, and they’re restricted in going … anywhere. They’re handcuffed to their central location, and if they want to go anywhere it’s a … hassle, you know, like just to go away for 4 days, they can’t do it.</w:t>
      </w:r>
    </w:p>
    <w:p w14:paraId="0CC01595"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A small number of participants did prefer supervised dosing because it provides a routine and some accountability and prevents problems.</w:t>
      </w:r>
    </w:p>
    <w:p w14:paraId="40089C04"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For a long time, I wasn’t using methadone properly. I was skipping days – that was when I was at a private chemist. So it was good to have the option to have the [daily] dose … now I’m at a public clinic and I’m consistent. I go there every day, and that’s like extra stability … It stops me getting in trouble with myself.</w:t>
      </w:r>
    </w:p>
    <w:p w14:paraId="255629B6"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It took me years to be stable, and to go to the chemist every day, it’s my routine, it’s my outing. Supervised dosing helps you do the right thing. It’s hard to do the right thing.</w:t>
      </w:r>
    </w:p>
    <w:p w14:paraId="758ADFF0"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Many participants said that reducing the frequency of prescription renewals would also be helpful, to save on the cost of consultations and, in some cases, travel as well as time.</w:t>
      </w:r>
    </w:p>
    <w:p w14:paraId="6BBDFC8F"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We went from 6-monthly check-ups with our prescribing doctor to 3 months, and I think that should be on individual cases. Because someone like me who just cruises along, nothing really changes. I’m quite stable, so I don’t see why I have to go in every 3 months. And it’s all a bit like, ‘hi, how are you going’, and it’s done. But I understand there are other people who are different.</w:t>
      </w:r>
    </w:p>
    <w:p w14:paraId="3673F3CF" w14:textId="77777777" w:rsidR="0031367D" w:rsidRDefault="0031367D">
      <w:pPr>
        <w:spacing w:after="160" w:line="259" w:lineRule="auto"/>
        <w:jc w:val="left"/>
        <w:rPr>
          <w:rFonts w:ascii="Open Sans" w:eastAsia="Times New Roman" w:hAnsi="Open Sans" w:cs="Open Sans"/>
          <w:iCs/>
          <w:color w:val="008CA6"/>
          <w:sz w:val="28"/>
          <w:szCs w:val="28"/>
        </w:rPr>
      </w:pPr>
      <w:bookmarkStart w:id="749" w:name="_Treatment_choice_and"/>
      <w:bookmarkStart w:id="750" w:name="_Toc121231608"/>
      <w:bookmarkEnd w:id="749"/>
      <w:r>
        <w:rPr>
          <w:rFonts w:ascii="Open Sans" w:eastAsia="Times New Roman" w:hAnsi="Open Sans" w:cs="Open Sans"/>
          <w:iCs/>
          <w:color w:val="008CA6"/>
          <w:sz w:val="28"/>
          <w:szCs w:val="28"/>
        </w:rPr>
        <w:br w:type="page"/>
      </w:r>
    </w:p>
    <w:p w14:paraId="728EFC3F" w14:textId="7BD85CFB" w:rsidR="001E69D0" w:rsidRPr="001E69D0" w:rsidRDefault="001E69D0" w:rsidP="001725C8">
      <w:pPr>
        <w:keepNext/>
        <w:spacing w:before="240" w:after="240" w:line="240" w:lineRule="auto"/>
        <w:ind w:left="720" w:hanging="720"/>
        <w:jc w:val="left"/>
        <w:outlineLvl w:val="3"/>
        <w:rPr>
          <w:rFonts w:ascii="Open Sans" w:eastAsia="Times New Roman" w:hAnsi="Open Sans" w:cs="Open Sans"/>
          <w:iCs/>
          <w:color w:val="008CA6"/>
          <w:sz w:val="28"/>
          <w:szCs w:val="28"/>
        </w:rPr>
      </w:pPr>
      <w:r w:rsidRPr="001E69D0">
        <w:rPr>
          <w:rFonts w:ascii="Open Sans" w:eastAsia="Times New Roman" w:hAnsi="Open Sans" w:cs="Open Sans"/>
          <w:iCs/>
          <w:color w:val="008CA6"/>
          <w:sz w:val="28"/>
          <w:szCs w:val="28"/>
        </w:rPr>
        <w:lastRenderedPageBreak/>
        <w:t>Treatment choice and changes</w:t>
      </w:r>
      <w:bookmarkEnd w:id="750"/>
    </w:p>
    <w:p w14:paraId="726FF84A" w14:textId="77777777" w:rsidR="001E69D0" w:rsidRPr="001E69D0" w:rsidRDefault="001E69D0" w:rsidP="001725C8">
      <w:pPr>
        <w:keepNext/>
        <w:spacing w:before="240" w:after="240" w:line="240" w:lineRule="auto"/>
        <w:jc w:val="left"/>
        <w:outlineLvl w:val="4"/>
        <w:rPr>
          <w:rFonts w:ascii="Open Sans" w:eastAsia="Times New Roman" w:hAnsi="Open Sans" w:cs="Open Sans"/>
          <w:color w:val="008CA6"/>
        </w:rPr>
      </w:pPr>
      <w:bookmarkStart w:id="751" w:name="_Reactions_to_different"/>
      <w:bookmarkStart w:id="752" w:name="_Toc121231609"/>
      <w:bookmarkEnd w:id="751"/>
      <w:r w:rsidRPr="001E69D0">
        <w:rPr>
          <w:rFonts w:ascii="Open Sans" w:eastAsia="Times New Roman" w:hAnsi="Open Sans" w:cs="Open Sans"/>
          <w:color w:val="008CA6"/>
        </w:rPr>
        <w:t>Reactions to different treatments</w:t>
      </w:r>
      <w:bookmarkEnd w:id="752"/>
    </w:p>
    <w:p w14:paraId="4C953561" w14:textId="77777777" w:rsidR="001E69D0" w:rsidRPr="001E69D0" w:rsidRDefault="001E69D0" w:rsidP="001E69D0">
      <w:pPr>
        <w:keepNext/>
        <w:spacing w:line="240" w:lineRule="auto"/>
        <w:jc w:val="left"/>
        <w:rPr>
          <w:rFonts w:eastAsia="Times New Roman"/>
          <w:color w:val="000000"/>
          <w:sz w:val="22"/>
          <w:szCs w:val="20"/>
        </w:rPr>
      </w:pPr>
      <w:r w:rsidRPr="001E69D0">
        <w:rPr>
          <w:rFonts w:eastAsia="Times New Roman"/>
          <w:color w:val="000000"/>
          <w:sz w:val="22"/>
          <w:szCs w:val="20"/>
        </w:rPr>
        <w:t>Physiological reactions varied when switching medicine, or even when using different brands of the same medicine (such as the different types of methadone), with participants:</w:t>
      </w:r>
    </w:p>
    <w:p w14:paraId="132DA5E1" w14:textId="77777777" w:rsidR="001E69D0" w:rsidRPr="0031367D" w:rsidRDefault="001E69D0" w:rsidP="0031367D">
      <w:pPr>
        <w:pStyle w:val="Consumerreportbullets"/>
      </w:pPr>
      <w:r w:rsidRPr="0031367D">
        <w:t>finding some treatments to be ineffective</w:t>
      </w:r>
    </w:p>
    <w:p w14:paraId="594161D5" w14:textId="77777777" w:rsidR="001E69D0" w:rsidRPr="0031367D" w:rsidRDefault="001E69D0" w:rsidP="0031367D">
      <w:pPr>
        <w:pStyle w:val="Consumerreportbullets"/>
      </w:pPr>
      <w:r w:rsidRPr="0031367D">
        <w:t>experiencing significant side effects from some treatments</w:t>
      </w:r>
    </w:p>
    <w:p w14:paraId="3C5311F4" w14:textId="77777777" w:rsidR="001E69D0" w:rsidRPr="0031367D" w:rsidRDefault="001E69D0" w:rsidP="0031367D">
      <w:pPr>
        <w:pStyle w:val="Consumerreportbullets"/>
      </w:pPr>
      <w:r w:rsidRPr="0031367D">
        <w:t>finding the experience to be difficult and unpleasant.</w:t>
      </w:r>
    </w:p>
    <w:p w14:paraId="59E494DB"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 went from methadone to the bup strips. I just had to miss one day of dosing. Within the hour of having it … I had a bit of energy. I could do things. Then tried the Buvidal shots. I went from weekly to the monthly, but it didn’t hold me. It just didn’t work … I told my doctor, ‘I want to go back’ … she did it straight away, no problems.</w:t>
      </w:r>
    </w:p>
    <w:p w14:paraId="312F7FE2"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 was on Suboxone for years … I got such bad anxiety … and I ended up going back onto methadone, and my anxiety went, but my depression came back … I can’t quite figure out, is it better to have anxiety or is it better to have depression?</w:t>
      </w:r>
    </w:p>
    <w:p w14:paraId="0649D147"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 tried Suboxone and didn’t like it. It didn’t carry me. I found I’d have to go too high. I was on 18, and that should be enough for anybody. But it wasn’t holding me.</w:t>
      </w:r>
    </w:p>
    <w:p w14:paraId="58EE51E8"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 went from methadone to Suboxone strips, and I found it quite hard. I don’t think I could have done it without quite a few Xanax. I wasn’t sleeping at all. They ended up putting my dose down … then was able to get a bit of sleep. It was not pleasant.</w:t>
      </w:r>
    </w:p>
    <w:p w14:paraId="49C90533"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 initially got put on Subutex. That was giving me mouth ulcers. So they put me on the methadone.</w:t>
      </w:r>
    </w:p>
    <w:p w14:paraId="3FD96027"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 tried bup, but it sent me straight into precipitated withdrawals. My body just couldn’t deal. So I jumped back on methadone.</w:t>
      </w:r>
    </w:p>
    <w:p w14:paraId="114A7DDB"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It felt to me like the effect of bup was stopping my native endorphins from working. I just felt like I was living with no endorphins in my system.</w:t>
      </w:r>
    </w:p>
    <w:p w14:paraId="71CAEB2F"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[Switching was] horrific – they changed me from methadone to buprenorphine, and I had to come down to 30 milligrams of methadone from 65, to then jump off that onto bup, which put me in precipitated withdrawal, and it never left me. I was so sick for 3 months and went right down to point 2, but then I started using again and they put be straight back on methadone.</w:t>
      </w:r>
    </w:p>
    <w:p w14:paraId="10AD65DC"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When buprenorphine began to be prescribed, I was more happy to go on that, because methadone doesn’t agree with me very well. It has a much worse effect on me than heroin.</w:t>
      </w:r>
    </w:p>
    <w:p w14:paraId="67295F18"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Even preferences between the 2 types of methadone – one will hold one person and not the other, and vice versa. That’s why choice is so important.</w:t>
      </w:r>
    </w:p>
    <w:p w14:paraId="39320212" w14:textId="77777777" w:rsidR="001E69D0" w:rsidRPr="001E69D0" w:rsidRDefault="001E69D0" w:rsidP="001725C8">
      <w:pPr>
        <w:keepNext/>
        <w:spacing w:before="240" w:after="240" w:line="240" w:lineRule="auto"/>
        <w:jc w:val="left"/>
        <w:outlineLvl w:val="4"/>
        <w:rPr>
          <w:rFonts w:ascii="Open Sans" w:eastAsia="Times New Roman" w:hAnsi="Open Sans" w:cs="Open Sans"/>
          <w:color w:val="008CA6"/>
        </w:rPr>
      </w:pPr>
      <w:bookmarkStart w:id="753" w:name="_Toc121231610"/>
      <w:r w:rsidRPr="001E69D0">
        <w:rPr>
          <w:rFonts w:ascii="Open Sans" w:eastAsia="Times New Roman" w:hAnsi="Open Sans" w:cs="Open Sans"/>
          <w:color w:val="008CA6"/>
        </w:rPr>
        <w:lastRenderedPageBreak/>
        <w:t>Choice of treatment</w:t>
      </w:r>
      <w:bookmarkEnd w:id="753"/>
    </w:p>
    <w:p w14:paraId="4E864B06" w14:textId="77777777" w:rsidR="001E69D0" w:rsidRPr="001E69D0" w:rsidRDefault="001E69D0" w:rsidP="001E69D0">
      <w:pPr>
        <w:keepNext/>
        <w:spacing w:after="240" w:line="240" w:lineRule="auto"/>
        <w:jc w:val="left"/>
        <w:rPr>
          <w:rFonts w:eastAsia="Times New Roman"/>
          <w:color w:val="000000"/>
          <w:sz w:val="22"/>
          <w:szCs w:val="20"/>
        </w:rPr>
      </w:pPr>
      <w:r w:rsidRPr="001E69D0">
        <w:rPr>
          <w:rFonts w:eastAsia="Times New Roman"/>
          <w:color w:val="000000"/>
          <w:sz w:val="22"/>
          <w:szCs w:val="20"/>
        </w:rPr>
        <w:t>Participants stressed the importance of having a variety of pharmacotherapy treatment options and allowing people to choose the treatment that worked for them, because</w:t>
      </w:r>
      <w:hyperlink w:anchor="_Reactions_to_different" w:history="1">
        <w:r w:rsidRPr="001E69D0">
          <w:rPr>
            <w:rFonts w:eastAsia="Times New Roman"/>
            <w:color w:val="000000"/>
            <w:sz w:val="22"/>
            <w:szCs w:val="20"/>
          </w:rPr>
          <w:t xml:space="preserve"> </w:t>
        </w:r>
        <w:r w:rsidRPr="001E69D0">
          <w:rPr>
            <w:rFonts w:eastAsia="Times New Roman"/>
            <w:color w:val="0000FF"/>
            <w:sz w:val="22"/>
            <w:szCs w:val="20"/>
            <w:u w:val="single"/>
          </w:rPr>
          <w:t>not all treatments suited everyone</w:t>
        </w:r>
      </w:hyperlink>
      <w:r w:rsidRPr="001E69D0">
        <w:rPr>
          <w:rFonts w:eastAsia="Times New Roman"/>
          <w:color w:val="000000"/>
          <w:sz w:val="22"/>
          <w:szCs w:val="20"/>
        </w:rPr>
        <w:t>.</w:t>
      </w:r>
    </w:p>
    <w:p w14:paraId="10F900E5"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 xml:space="preserve">But many participants had not had a say in their treatment. The types of medicines and doses that health practitioners choose to prescribe vary between jurisdictions and practitioners, and some settings (such as prisons) have only a single option. </w:t>
      </w:r>
    </w:p>
    <w:p w14:paraId="3BA41141"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People wanting to get onto methadone up here are not able to. They have to go to [location removed]. I do know people very close to me who have tried, and even though their habit was out of control, [the clinic] said, ‘no, you have to go onto the strips’, and that doesn’t work for everybody.</w:t>
      </w:r>
    </w:p>
    <w:p w14:paraId="2036D012"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Their desire to have everybody on bup or Suboxone could be changed. Methadone is a great treatment. It works for a lot of people. They could be a little bit more liberal about prescribing it instead of arguing with the patient. It’s supposed to be the patient’s choice. If you ask for methadone, it’s an argument.</w:t>
      </w:r>
    </w:p>
    <w:p w14:paraId="71D8F3C4"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In terms of going up and down in dosage, they make that very difficult too. It’s taken me years and years to reduce as it is, and any time they would think there was the slightest hiccup, they would put me back up. I’d go through months of reducing, and then they just put me back up.</w:t>
      </w:r>
    </w:p>
    <w:p w14:paraId="2B0C8D02"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When you say you’ve got side effects, [you need] options as well. When you say this is the issue … all you’re told is, ‘you haven’t got any other options, so suck it up’. I don’t want to suck it up anymore.</w:t>
      </w:r>
    </w:p>
    <w:p w14:paraId="1B8A414C"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 xml:space="preserve">Several people said they had felt pressured to switch medicine – particularly to the monthly injection – whether they wanted to or not, and they did not feel like they could say no. Some participants felt that there was a push to eliminate methadone from the program. </w:t>
      </w:r>
    </w:p>
    <w:p w14:paraId="21F7C399"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Our local AOD [alcohol and drug service] is the only prescriber, and you have to fight to stay on methadone there. They want you on subbies, and then once you’re on subbies, they want everybody to be on the injection.</w:t>
      </w:r>
    </w:p>
    <w:p w14:paraId="391786E5"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 xml:space="preserve">My GP was putting me under a bit of pressure to switch over to the monthly injection … [inaudible] 3 times to switch over. All 3 times I left … It just wasn’t for me. </w:t>
      </w:r>
    </w:p>
    <w:p w14:paraId="569ECF83"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 xml:space="preserve">I was on Subutex originally, and then they wanted to put me on Suboxone, I was like ‘… no’, because that’s another one that punishes you when you stuff up, and I’m totally against that. I find that reprehensible that the government is making people take something that can possibly make them incredibly sick … as a punitive measure. </w:t>
      </w:r>
    </w:p>
    <w:p w14:paraId="258BCA01"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 don’t want to have to fight for it. I don’t have the fight – especially with that authoritative figure and that different power dynamic – to fight for my rights and stay on what I want.</w:t>
      </w:r>
    </w:p>
    <w:p w14:paraId="7ED1540A"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It’s really hard to stand up, because they’re holding your life in their hands. You argue with them and it’s not going to end well.</w:t>
      </w:r>
    </w:p>
    <w:p w14:paraId="3F91EF01"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They harass me to get this injection that I don’t want. And everyone who’s tried it says it doesn’t work, and they’re back after a week. I just want to be left alone. I don’t do the wrong thing. The whole point of this is to get away from needles.</w:t>
      </w:r>
    </w:p>
    <w:p w14:paraId="5C8ADE71"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lastRenderedPageBreak/>
        <w:t>People don’t have time to be sick and go through that – they have kids, they have jobs. If they’re happy with what they’re on, they should be left alone. I want to be left alone.</w:t>
      </w:r>
    </w:p>
    <w:p w14:paraId="5684702A"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[Public clinic] wanted me off methadone on Suboxone, and because of my prior experience in detox – even after 48 hours being off methadone I would go into precipitated withdrawal – they had actually written on my chart not to give this patient Suboxone, but they refused to hear me out on that. They want me off methadone for whatever reasons. I have no idea.</w:t>
      </w:r>
    </w:p>
    <w:p w14:paraId="31CFD04D"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There is a real push to get rid of methadone, you can feel it wherever you go. But people don’t want a blocker, which is going to muck up your surgery when you’re in hospital.</w:t>
      </w:r>
    </w:p>
    <w:p w14:paraId="0C76FA09"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I’ve never tried those other medications, but I’m scared. The way it’s going is that people are getting forced or very firmly encouraged to be on the long-acting injectables or Suboxone, and it’s really distressing.</w:t>
      </w:r>
    </w:p>
    <w:p w14:paraId="4B62D980"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Several participants said they were reluctant to try other treatments, because they were worried about the side effects and that they would not be able to go back to their original treatment if the new one did not work for them. The monthly injection was a particularly difficult leap for people, because its effectiveness varied greatly.</w:t>
      </w:r>
    </w:p>
    <w:p w14:paraId="2A3EE01D"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It’s a game changer, these injections.</w:t>
      </w:r>
    </w:p>
    <w:p w14:paraId="49287F7E"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Since moving to the injection, it’s easy, once a month, and even if you go 2 weeks past, up to 6 weeks, you don’t feel like you’re withdrawing, it’s very subtle. You don’t have to go right on 4 weeks.</w:t>
      </w:r>
    </w:p>
    <w:p w14:paraId="31AFDF23"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Injections sound like a good idea [for travel]. But I wouldn’t want to take something that I can’t get out of my body if I don’t like it, because I had that bad experience with naltrexone, and I thought thank god I didn’t take the implant. It was horrible. It was like an exorcism.</w:t>
      </w:r>
    </w:p>
    <w:p w14:paraId="43101DCD"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Coming off methadone is the worst out of all, so I don’t want to be on methadone again. With the monthly injections, they were quite good … maybe at first. By the fourth week … you might feel it a bit, but the more you’ve been on it, then it just doesn’t work at all.</w:t>
      </w:r>
    </w:p>
    <w:p w14:paraId="5C542460"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On the other hand, some who did want to switch to the injection – because of the cost saving or freedom from daily doses – could not do so because of other medicines (such as gabapentin) they were taking, or because their daily doses were so low.</w:t>
      </w:r>
    </w:p>
    <w:p w14:paraId="23046E17" w14:textId="77777777" w:rsidR="001E69D0" w:rsidRPr="001E69D0" w:rsidRDefault="001E69D0" w:rsidP="001725C8">
      <w:pPr>
        <w:keepNext/>
        <w:spacing w:before="240" w:after="240" w:line="240" w:lineRule="auto"/>
        <w:ind w:left="720" w:hanging="720"/>
        <w:jc w:val="left"/>
        <w:outlineLvl w:val="3"/>
        <w:rPr>
          <w:rFonts w:ascii="Open Sans" w:eastAsia="Times New Roman" w:hAnsi="Open Sans" w:cs="Open Sans"/>
          <w:iCs/>
          <w:color w:val="008CA6"/>
          <w:sz w:val="28"/>
          <w:szCs w:val="28"/>
        </w:rPr>
      </w:pPr>
      <w:bookmarkStart w:id="754" w:name="_Toc121231611"/>
      <w:r w:rsidRPr="001E69D0">
        <w:rPr>
          <w:rFonts w:ascii="Open Sans" w:eastAsia="Times New Roman" w:hAnsi="Open Sans" w:cs="Open Sans"/>
          <w:iCs/>
          <w:color w:val="008CA6"/>
          <w:sz w:val="28"/>
          <w:szCs w:val="28"/>
        </w:rPr>
        <w:t>Moving between treatment settings</w:t>
      </w:r>
      <w:bookmarkEnd w:id="754"/>
    </w:p>
    <w:p w14:paraId="7C001B74"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 xml:space="preserve">Participants had vastly different experiences the various treatment settings they used. </w:t>
      </w:r>
    </w:p>
    <w:p w14:paraId="2B2A2CB3"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 xml:space="preserve">I found the environment of a lot of dosing clinics, the look and the feel and the vibe of them to be horrible, stigmatising places, cold and clinical. You can tell that there’s not a lot of money being invested into it, no effort into keeping them looking even half decent. Some of the dosing clinics that I’ve dosed at have been kind of just horrible cold rooms, really dirty wall. It feels horrible, all plastic chairs with broken legs and rips in the seats. The physical environment can really impact how you feel about yourself. </w:t>
      </w:r>
    </w:p>
    <w:p w14:paraId="0C0196BD"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[Going from a public clinic to a private clinic] was like being free from having been in shackles. I went from getting one takeaway a week to coming in one day a week. And plus, they’re much nicer too, they help you out more.</w:t>
      </w:r>
    </w:p>
    <w:p w14:paraId="34007D9E"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 xml:space="preserve">Even going to public pharmacies from the clinic. I found there were issues with procedures. At the clinic, you can go in and go, ‘I’m on 60 a day, I’m finding it a bit much, and I want to go </w:t>
      </w:r>
      <w:r w:rsidRPr="001E69D0">
        <w:rPr>
          <w:rFonts w:eastAsia="Times New Roman"/>
          <w:color w:val="000000"/>
          <w:sz w:val="20"/>
          <w:szCs w:val="20"/>
        </w:rPr>
        <w:lastRenderedPageBreak/>
        <w:t>down to 55’, and they go, ‘sure’. Try doing that at the pharmacy, and they go, ‘you’ve got to go see a doctor and get your script changed if you want to go down 5 mil’.</w:t>
      </w:r>
    </w:p>
    <w:p w14:paraId="11DFEFA4"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Some pharmacists and some pharmacy staff are very, very stigmatising. And they will make you wait for your dose even if they haven’t got anything else to do, they’ll make me wait as a matter of course. At the public clinic you don’t get that.</w:t>
      </w:r>
    </w:p>
    <w:p w14:paraId="56F926DE"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The experiences of participants who transferred from one setting to another – such as community, prison or hospital – varied greatly. Some participants had a very smooth transition, but most faced some issues, and many missed some doses until resolved.</w:t>
      </w:r>
    </w:p>
    <w:p w14:paraId="2F54E6A5"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I’ve been released from jail twice to [hospital name removed]. The first time, they didn’t want to dose me, they carried on. I got dosed the next day. The next time I got out, I had [jurisdictional agency] there the next day to make sure I got dosed, and everything went smoothly.</w:t>
      </w:r>
    </w:p>
    <w:p w14:paraId="6721132B"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I’ve been to jail and just had to detox. When I went to prison, I was on the program, but hadn’t dosed for 3 weeks, so I got kicked off the program and just had to detox … They could have put [me] back on the program there, but they didn’t.</w:t>
      </w:r>
    </w:p>
    <w:p w14:paraId="7AE9408B"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 went in hospital, and they were pretty helpful. They got onto it straight away. And it was good actually, because I didn’t have to pay for it.</w:t>
      </w:r>
    </w:p>
    <w:p w14:paraId="615E1239"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 think the hospitals are getting better at saying, ‘okay, this person is on methadone, we need to get that sorted now’. The day I leave hospital, the hospital usually dose me, then the next day, I just start back at my pharmacy.</w:t>
      </w:r>
    </w:p>
    <w:p w14:paraId="70EE0D1D"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 xml:space="preserve">Although the process seems generally smoother going from the community into hospital or prison than going back into the community from those settings, it often meant switching dispenser or treatment type, which is a </w:t>
      </w:r>
      <w:hyperlink w:anchor="_Treatment_choice_and" w:history="1">
        <w:r w:rsidRPr="001E69D0">
          <w:rPr>
            <w:rFonts w:eastAsia="Times New Roman"/>
            <w:color w:val="0000FF"/>
            <w:sz w:val="22"/>
            <w:szCs w:val="20"/>
            <w:u w:val="single"/>
          </w:rPr>
          <w:t>difficult process</w:t>
        </w:r>
      </w:hyperlink>
      <w:r w:rsidRPr="001E69D0">
        <w:rPr>
          <w:rFonts w:eastAsia="Times New Roman"/>
          <w:color w:val="000000"/>
          <w:sz w:val="22"/>
          <w:szCs w:val="20"/>
        </w:rPr>
        <w:t>.</w:t>
      </w:r>
    </w:p>
    <w:p w14:paraId="777A0DC3"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When you go to jail they put you straight back on methadone, because they don’t do suboxone in jail anymore, and when you get out, you have to switch back again. It was annoying because methadone is not a good substance … it’s a lot harder to get off. I had to go into the detox unit to do that, because every time I’ve tried to do it on my own, I can’t last that period of time. I’m too scared of rapid withdrawal, then you start using again.</w:t>
      </w:r>
    </w:p>
    <w:p w14:paraId="206EF857"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In [jurisdiction], if you transition from the community to the hospital, it’s mandatory, your script gets transferred to [the public clinic] and we have a lot of people who aren’t at the [clinic], because they’ve had issues with them before. And so they’re forced to go back to this service where they’ve had problems with, and it always goes downhill.</w:t>
      </w:r>
    </w:p>
    <w:p w14:paraId="5C39D6E1" w14:textId="77777777" w:rsidR="001E69D0" w:rsidRPr="001E69D0" w:rsidRDefault="001E69D0" w:rsidP="001725C8">
      <w:pPr>
        <w:keepNext/>
        <w:spacing w:before="240" w:after="240" w:line="240" w:lineRule="auto"/>
        <w:ind w:left="720" w:hanging="720"/>
        <w:jc w:val="left"/>
        <w:outlineLvl w:val="3"/>
        <w:rPr>
          <w:rFonts w:ascii="Open Sans" w:eastAsia="Times New Roman" w:hAnsi="Open Sans" w:cs="Open Sans"/>
          <w:iCs/>
          <w:color w:val="008CA6"/>
          <w:sz w:val="28"/>
          <w:szCs w:val="28"/>
        </w:rPr>
      </w:pPr>
      <w:bookmarkStart w:id="755" w:name="_Travel_and_transfers"/>
      <w:bookmarkStart w:id="756" w:name="_Toc121231612"/>
      <w:bookmarkEnd w:id="755"/>
      <w:r w:rsidRPr="001E69D0">
        <w:rPr>
          <w:rFonts w:ascii="Open Sans" w:eastAsia="Times New Roman" w:hAnsi="Open Sans" w:cs="Open Sans"/>
          <w:iCs/>
          <w:color w:val="008CA6"/>
          <w:sz w:val="28"/>
          <w:szCs w:val="28"/>
        </w:rPr>
        <w:t>Travel and transfers</w:t>
      </w:r>
      <w:bookmarkEnd w:id="756"/>
    </w:p>
    <w:p w14:paraId="31F55533"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Participants raised the lack of consistency and coordination between jurisdictions as a major issue, with many calling for a coherent national system or better use of technology to enable smoother transfers so that people can continue their treatment uninterrupted.</w:t>
      </w:r>
    </w:p>
    <w:p w14:paraId="2BD248BD"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Wouldn’t it be fantastic if they used the technology, and [you] could walk into any methadone-dispensing chemist and they jiggle the keys, pull up the database, ‘oh I see you’re dosed here’? They’ve got this script program that makes sure that we’re not doctor shopping. How about using that for someone’s benefit?</w:t>
      </w:r>
    </w:p>
    <w:p w14:paraId="3D3D51E1"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You could have a card with a barcode on it, and if you go to a chemist, they scan your card, and it tells the pharmacist your dosing details, so that you can be dosed and be on your way.</w:t>
      </w:r>
    </w:p>
    <w:p w14:paraId="747AE8B2"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lastRenderedPageBreak/>
        <w:t>There is really, in this day and age, no reason why it shouldn’t be a smooth process.</w:t>
      </w:r>
    </w:p>
    <w:p w14:paraId="2A3DEB34"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A national dosing database could be helpful, a completely linked-up system where it doesn't matter where I am in the country, I can rock up to a dosing pharmacy … and get my dose from that pharmacy … there's a list of pharmacies that I can access online that I know dose and I can go to wherever I am in the country … and they log it on the system and they have all the information they need about me – photos, identification, amount of dose that I'm on, my personal details, when I last dosed … and then that’s registered in the system that I've dosed for the day. I might be in a different town on another day, but it doesn’t matter, because we have a nationally linked system. That would be my ideal.</w:t>
      </w:r>
    </w:p>
    <w:p w14:paraId="2474EB28"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Consistency across jurisdictions, and the federal government should be leading on this. They have retina scanners, but they’re not leveraging this to make it easy for consumers.</w:t>
      </w:r>
    </w:p>
    <w:p w14:paraId="346E1906"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[To travel,] I have to make a physical appointment with my doctor, and go in and have my script altered. It’s just another appointment. But I think you have to prove you’re going. Sometimes they might want to see plane tickets. It’s red tape you have to do every time you want to travel.</w:t>
      </w:r>
    </w:p>
    <w:p w14:paraId="7EC2DD8F"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When I moved to [location removed], I had to start again at [the public clinic] for about 6 weeks to establish my credentials. They said you’re going to have to go to the [clinic] first [to dose] to prove that you’re a stable client. It was the bus from [location removed] to [location removed]. It would take a couple of hours; it wasn’t particularly convenient, but you didn’t have a choice.</w:t>
      </w:r>
    </w:p>
    <w:p w14:paraId="14BAA3C0"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It is a jurisdictional thing. But the idea that, when you come in from another jurisdiction – even though you might have 10 years on the program, and even though a doctor in [this jurisdiction] could just pick up and talk to your doctor to find out if you’re stable or not – you have to go to this public clinic … and prove yourself. Now what other health service do you have to prove yourself at?</w:t>
      </w:r>
    </w:p>
    <w:p w14:paraId="5728A656"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The process to transfer between dispensers, especially when travelling interstate or overseas, was described as lengthy, complicated and rigid, and is an extra administrative burden for health practitioners. It was rarely smooth, though experiences did vary, depending on the support provider by health practitioners.</w:t>
      </w:r>
    </w:p>
    <w:p w14:paraId="4D8203D0"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It’s half an hour of phone calls and waiting for them to bring me back because I won’t get through. They’ll take a message, then they’ll bring me back, and depending on if I’m at work and talking to people, well, I can’t grab the phones. I’m going to have to play phone tag just to organise something stupid like 2 days’ worth of dosing.</w:t>
      </w:r>
    </w:p>
    <w:p w14:paraId="0FD922D9"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[Original doctor] had to fill out an amazing number of paperwork. He was up doing it at 8 o’clock at night for me … They buggered up my dose too, and I didn’t realise. I was on 3, and now I think I’m on 6. So now I’m on a higher dose than I was back home ... I think they just stuffed up.</w:t>
      </w:r>
    </w:p>
    <w:p w14:paraId="181AA1F8"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 couldn’t see the reason why my doctor over there had to go through so much crap … why his qualifications and his 50 years of being a doctor with so many letters after his name [wasn’t enough]. It was us and them, like another country. To simplify that part of it really needs to happen … It shouldn’t have been that hard.</w:t>
      </w:r>
    </w:p>
    <w:p w14:paraId="50C47757"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 wanted to go to Sydney where my family was, and I wanted 2 weeks for a big family reunion down there … they wouldn't give me more than 4 takeaways. They don't know you from a bar of soap, they don’t know your story. And they have the control to tell you you can’t see your family at Christmas time.</w:t>
      </w:r>
    </w:p>
    <w:p w14:paraId="1C23330D"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lastRenderedPageBreak/>
        <w:t>I often travel for work, and I’ve got to be right on top of it, because it takes a week or so to get all this stuff arranged, and then it’s all absolutely locked in. I can’t change days.</w:t>
      </w:r>
    </w:p>
    <w:p w14:paraId="0D6A4986"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 went from a private doctor to [a private clinic] because I had to for work, because I was working out of town everywhere, and the doctor got sick of doing my script transfers. It was a lot easier, a lot more convenient. It was just a phone call for them, whereas when I was doing it through a private doctor, I had to take a letter from me employer.</w:t>
      </w:r>
    </w:p>
    <w:p w14:paraId="41935E50"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It seems common that paperwork from the exiting dispenser in one jurisdiction does not go through to the new dispenser in the other jurisdiction in time for the next dose.</w:t>
      </w:r>
    </w:p>
    <w:p w14:paraId="4D960B96"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The number of times that we find that there is some issue. The pharmacist hasn’t been notified, and you think you’ve got everything sorted out, and you rock up to the pharmacy and they’ve got no paperwork and no idea, and it’s a Saturday morning.</w:t>
      </w:r>
    </w:p>
    <w:p w14:paraId="1047623F"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 xml:space="preserve">I’d have to land, and find a way to the chemist that same day, and then to be told … we haven’t received the form from the health department yet. When we do, we’ll let you know, but come back around 6 or 7 o’clock just before we close, and there was that gap, and then you won’t get dosed today. </w:t>
      </w:r>
    </w:p>
    <w:p w14:paraId="1D90BBD1"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 xml:space="preserve">Quickly finding the right pharmacy on the first day within opening hours in an unfamiliar place is another stressor, especially for those who don’t have a car. It also causes </w:t>
      </w:r>
      <w:hyperlink w:anchor="_Privacy_concerns" w:history="1">
        <w:r w:rsidRPr="001E69D0">
          <w:rPr>
            <w:rFonts w:eastAsia="Times New Roman"/>
            <w:color w:val="0000FF"/>
            <w:sz w:val="22"/>
            <w:szCs w:val="20"/>
            <w:u w:val="single"/>
          </w:rPr>
          <w:t>privacy issues</w:t>
        </w:r>
      </w:hyperlink>
      <w:r w:rsidRPr="001E69D0">
        <w:rPr>
          <w:rFonts w:eastAsia="Times New Roman"/>
          <w:color w:val="000000"/>
          <w:sz w:val="22"/>
          <w:szCs w:val="20"/>
        </w:rPr>
        <w:t xml:space="preserve"> for people who want to keep their participation in the program confidential.</w:t>
      </w:r>
    </w:p>
    <w:p w14:paraId="54820BDA"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 xml:space="preserve">You’re in a new city, and if you don’t have your own car, you have to explain to your friend, ‘guess what, while I’m staying with you, can you please just drive me to the chemist every morning about 9 o’clock and then drive me back. And it has to be this particular chemist, not the one closest to your house.’ </w:t>
      </w:r>
    </w:p>
    <w:p w14:paraId="1C0D9C9D"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When I was at the public clinic … they’d transfer me, and I’d have to – in that new city – I’d have to try to find that chemist and try to make sure I got there, and that was a hassle. Since I went to a private prescriber … I haven’t had any trouble getting takeaways.</w:t>
      </w:r>
    </w:p>
    <w:p w14:paraId="513DF486"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It shouldn’t be state by state. It should be national. Going to Darwin, they had to exit me off the public clinic – totally out – and then get to Darwin and enter their system. And it’s really scary, because you’re travelling interstate and you’re not on a program anywhere, and it’s like, what’s going to happen when you get there?</w:t>
      </w:r>
    </w:p>
    <w:p w14:paraId="50DA8914"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 didn’t let my friend know I was on it, and then when went up to her place and then had to drive her car, because I went by train and then her chemist knew.</w:t>
      </w:r>
    </w:p>
    <w:p w14:paraId="6AC99A48"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 had some friends who wanted to travel around Australia, and their family didn’t know, and they had to organise a schedule of chemists and plan every stop and sneak off.</w:t>
      </w:r>
    </w:p>
    <w:p w14:paraId="5330AA13"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While takeaway doses can help with interstate travel, their maximum number is limited, not everyone is eligible for them, and participants commented that methadone bottles can leak or break during air travel, because of air pressure changes.</w:t>
      </w:r>
    </w:p>
    <w:p w14:paraId="0CF986BA"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 usually organise my travel to start on the day that I pick up my takeaway doses and get back in time for my next dose at the pharmacy.</w:t>
      </w:r>
    </w:p>
    <w:p w14:paraId="5BB24FA8"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Several people mentioned they just did not travel, as the process was too hard.</w:t>
      </w:r>
    </w:p>
    <w:p w14:paraId="62A6C1D0"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 have passed up opportunities to go away for a week or 2, because of the hassle of it.</w:t>
      </w:r>
    </w:p>
    <w:p w14:paraId="326623FA"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lastRenderedPageBreak/>
        <w:t>In some cases, people had to find other solutions so they could travel or keep jobs that required interstate travelling.</w:t>
      </w:r>
    </w:p>
    <w:p w14:paraId="137EF861"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 was on methadone, and because of that job that was taking me interstate, it wasn’t a situation where I would know that I would be in Queensland for 2 weeks or New South Wales for 2 weeks, it could be ad hoc, so I couldn’t organise a pharmacy to go to. So I asked for as many takeaways I could get, which was 3, and I filled up a bottle with water, and I detoxed myself by just having a swig every now and again when I was feeling uncomfortable, and made it stretch. So I’d go the next few weeks detoxed myself by having a swig at the bottle. I would push myself to the limit before I would get to the bottle swig stage. I had to suck it up, princess.</w:t>
      </w:r>
    </w:p>
    <w:p w14:paraId="090B4A74" w14:textId="77777777" w:rsidR="001E69D0" w:rsidRPr="001E69D0" w:rsidRDefault="001E69D0" w:rsidP="001725C8">
      <w:pPr>
        <w:keepNext/>
        <w:keepLines/>
        <w:spacing w:before="240" w:after="240" w:line="240" w:lineRule="auto"/>
        <w:ind w:left="720" w:hanging="720"/>
        <w:jc w:val="left"/>
        <w:outlineLvl w:val="3"/>
        <w:rPr>
          <w:rFonts w:ascii="Open Sans" w:eastAsia="Times New Roman" w:hAnsi="Open Sans" w:cs="Open Sans"/>
          <w:iCs/>
          <w:color w:val="008CA6"/>
          <w:sz w:val="28"/>
          <w:szCs w:val="28"/>
        </w:rPr>
      </w:pPr>
      <w:bookmarkStart w:id="757" w:name="_Toc121231613"/>
      <w:r w:rsidRPr="001E69D0">
        <w:rPr>
          <w:rFonts w:ascii="Open Sans" w:eastAsia="Times New Roman" w:hAnsi="Open Sans" w:cs="Open Sans"/>
          <w:iCs/>
          <w:color w:val="008CA6"/>
          <w:sz w:val="28"/>
          <w:szCs w:val="28"/>
        </w:rPr>
        <w:t>Need for support and information</w:t>
      </w:r>
      <w:bookmarkEnd w:id="757"/>
    </w:p>
    <w:p w14:paraId="1133F3E0" w14:textId="77777777" w:rsidR="001E69D0" w:rsidRPr="001E69D0" w:rsidRDefault="001E69D0" w:rsidP="001E69D0">
      <w:pPr>
        <w:keepNext/>
        <w:keepLines/>
        <w:spacing w:after="240" w:line="240" w:lineRule="auto"/>
        <w:jc w:val="left"/>
        <w:rPr>
          <w:rFonts w:eastAsia="Times New Roman"/>
          <w:color w:val="000000"/>
          <w:sz w:val="22"/>
          <w:szCs w:val="20"/>
        </w:rPr>
      </w:pPr>
      <w:r w:rsidRPr="001E69D0">
        <w:rPr>
          <w:rFonts w:eastAsia="Times New Roman"/>
          <w:color w:val="000000"/>
          <w:sz w:val="22"/>
          <w:szCs w:val="20"/>
        </w:rPr>
        <w:t xml:space="preserve">Many participants felt unprepared, uninformed and unsupported during their treatment journey. </w:t>
      </w:r>
    </w:p>
    <w:p w14:paraId="111F808A" w14:textId="77777777" w:rsidR="001E69D0" w:rsidRPr="001E69D0" w:rsidRDefault="001E69D0" w:rsidP="001E69D0">
      <w:pPr>
        <w:keepNext/>
        <w:keepLines/>
        <w:spacing w:after="240" w:line="240" w:lineRule="auto"/>
        <w:jc w:val="left"/>
        <w:rPr>
          <w:rFonts w:eastAsia="Times New Roman"/>
          <w:color w:val="000000"/>
          <w:sz w:val="22"/>
          <w:szCs w:val="20"/>
        </w:rPr>
      </w:pPr>
      <w:r w:rsidRPr="001E69D0">
        <w:rPr>
          <w:rFonts w:eastAsia="Times New Roman"/>
          <w:color w:val="000000"/>
          <w:sz w:val="22"/>
          <w:szCs w:val="20"/>
        </w:rPr>
        <w:t xml:space="preserve">Some said they had not understood that the treatment would be long term, and potentially lifelong, or that methadone was, for some people, harder to withdraw from than heroin. </w:t>
      </w:r>
    </w:p>
    <w:p w14:paraId="0092EF66"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 [was] looking for anything to help me. I didn’t actually know that methadone was something, when I first went on it – this was 30 years ago – that it was for life, essentially. It seems really naïve now, but I was not really part of the drug community. This was a big issue for me, and in some ways it still is. I’ve got a bit of anger about that. I thought it was something to help you get off … I didn’t realise it was just to maintain.</w:t>
      </w:r>
    </w:p>
    <w:p w14:paraId="1FF6D78D"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 xml:space="preserve">I’ve been on it 20 years. I thought I was going to be on for a year, maybe, get it under control, and then I could drift off [inaudible]. They don’t tell you. </w:t>
      </w:r>
    </w:p>
    <w:p w14:paraId="5BB7F83D"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 xml:space="preserve">At the old clinic, someone had scratched on the doorway, ‘methadone: life sentence’. </w:t>
      </w:r>
    </w:p>
    <w:p w14:paraId="3BBB3475"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To transfer over onto something that’s legal and subscribed, the doctors and nurses need to be a bit more explanatory towards the patient on how long their recovery is going to be … and the shortest term possible for them to come off it and be normal and not need methadone.</w:t>
      </w:r>
    </w:p>
    <w:p w14:paraId="17D84B11"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 xml:space="preserve">Some participants said they had never been told important information, such as how to store takeaway doses or the fact that people who are adjusting to new doses are not allowed to drive.  </w:t>
      </w:r>
    </w:p>
    <w:p w14:paraId="5FC4877E"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 xml:space="preserve">When I did my switch, I was driving in every single day, and that was the worst bit because I was … hanging out. It was stressful as well. Getting the bus and the train would have been way worse, though. </w:t>
      </w:r>
    </w:p>
    <w:p w14:paraId="118ECF15"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There is all this assumed knowledge that they expect you to have.</w:t>
      </w:r>
    </w:p>
    <w:p w14:paraId="2EAB1818"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 always feel like we’re supposed to know [things] we don’t know.</w:t>
      </w:r>
    </w:p>
    <w:p w14:paraId="74C824C9"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The need for information and ongoing medical support was highlighted as being critical to achieving long-term health goals, to successfully switching medicines or reducing doses, or to working towards exiting the program. Many had never been told how to do so.</w:t>
      </w:r>
    </w:p>
    <w:p w14:paraId="3D382B94"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 xml:space="preserve">I’ve never been given a care plan, and that’s something that should be a must. </w:t>
      </w:r>
    </w:p>
    <w:p w14:paraId="2EECB0A5"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Focusing on your 5</w:t>
      </w:r>
      <w:r w:rsidRPr="001E69D0">
        <w:rPr>
          <w:rFonts w:eastAsia="Times New Roman"/>
          <w:color w:val="000000"/>
          <w:sz w:val="20"/>
          <w:szCs w:val="20"/>
        </w:rPr>
        <w:noBreakHyphen/>
        <w:t xml:space="preserve">year plan, I think, is a good thing. </w:t>
      </w:r>
    </w:p>
    <w:p w14:paraId="494188A7"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lastRenderedPageBreak/>
        <w:t>I think I could have probably gotten off methadone a long time ago if they had helped support me more in terms of reducing [my dose] and having faith in me.</w:t>
      </w:r>
    </w:p>
    <w:p w14:paraId="722438EB"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 went on the bup when they first brought it in. I had been on methadone for 10 years. It was very odd at first. It was a bit uncomfortable. Wasn’t really doing much. I tried to stick it out. I spoke to the doctor and he said, ‘you have to get used to it, you’re feeling normality for the first time’. After about a month, 6 weeks, I went into the doctor and I said this thing isn’t holding me, I’m uncomfortable, I feel like I’m on dirty speed, I’m edgy, I’m tense. I know a lot of people who have had this. But the doctor kept going, ‘oh we’ll put you on a higher dose’, then I’d go back in a fortnight and say the higher dose isn’t working, and he’d say, ‘oh, we’ll try you on a lower dose’. I kept going, ‘please this is really uncomfortable’. After 6 to 8 months, I just stopped. I had to go into the clinic and say I need some methadone or I’m going to throw myself off the roof. It was shocking.</w:t>
      </w:r>
    </w:p>
    <w:p w14:paraId="72A88FCC"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 xml:space="preserve">It’s an important, an integral part of the changeover. You need to be listening to what the person is saying, because that person knows their body better than anybody else, doctors included. </w:t>
      </w:r>
    </w:p>
    <w:p w14:paraId="47A16BD6"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Moving from one treatment to another is very difficult … especially methadone to buprenorphine. People who have been abstinent from drug use for years, and the changeover has been so rugged, in terms of they’ve gone into precipitated withdrawal when the doctor has said that they won’t, then the doctor is unavailable, and you need them right then and there. If you take that Suboxone tablet and things are starting to go bad, you need to go, you need access to the doctor, and in a lot of cases, the doctors aren’t available. And, actually, we’ve seen a lot of cases where the person has ended up back on heroin because the transfer has been so difficult.</w:t>
      </w:r>
    </w:p>
    <w:p w14:paraId="16B2CBC8"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If you are going to transfer someone from one medication to another … it’s really difficult, and you need medical help, you need access in a timely fashion during that period, and that’s almost impossible.</w:t>
      </w:r>
    </w:p>
    <w:p w14:paraId="644085BB"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 xml:space="preserve">If you have a good doctor, like I had, that made the world of difference of how I coped on the program … wanting to stay on it, and wanting to do better. He’s always encouraging me … and I think that’s worth 1,000 words, just that consultation.  </w:t>
      </w:r>
    </w:p>
    <w:p w14:paraId="1A573B1E"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When I was given information about switching over, it was all glory stories … so simple. And when it wasn’t simple for me, the staff were saying you’re obviously not committed, you don’t care. That was frustrating. A little bit more patience from the staff to understand that some people will try, but it may not be the right thing for them to do.</w:t>
      </w:r>
    </w:p>
    <w:p w14:paraId="1F839BC2"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 xml:space="preserve">This was not the case for everyone. Some participants had a smooth transition and felt well supported, which highlights the importance of people’s </w:t>
      </w:r>
      <w:hyperlink w:anchor="_Costs_of_the" w:history="1">
        <w:r w:rsidRPr="001E69D0">
          <w:rPr>
            <w:rFonts w:eastAsia="Times New Roman"/>
            <w:color w:val="0000FF"/>
            <w:sz w:val="22"/>
            <w:szCs w:val="20"/>
            <w:u w:val="single"/>
          </w:rPr>
          <w:t>relationships with their health practitioner</w:t>
        </w:r>
      </w:hyperlink>
      <w:r w:rsidRPr="001E69D0">
        <w:rPr>
          <w:rFonts w:eastAsia="Times New Roman"/>
          <w:color w:val="000000"/>
          <w:sz w:val="22"/>
          <w:szCs w:val="20"/>
        </w:rPr>
        <w:t>.</w:t>
      </w:r>
    </w:p>
    <w:p w14:paraId="16FB1B40"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Everyone that I have been associated with in the whole methadone, Suboxone, Sublocade process has been wonderful. I couldn’t have asked for a more seamless transition for me, especially being so afraid of coming off the methadone.</w:t>
      </w:r>
    </w:p>
    <w:p w14:paraId="3A511B73" w14:textId="77777777" w:rsidR="001E69D0" w:rsidRPr="001E69D0" w:rsidRDefault="001E69D0" w:rsidP="001E69D0">
      <w:pPr>
        <w:keepNext/>
        <w:keepLines/>
        <w:spacing w:after="240" w:line="240" w:lineRule="auto"/>
        <w:jc w:val="left"/>
        <w:rPr>
          <w:rFonts w:eastAsia="Times New Roman"/>
          <w:color w:val="000000"/>
          <w:sz w:val="22"/>
          <w:szCs w:val="20"/>
        </w:rPr>
      </w:pPr>
      <w:bookmarkStart w:id="758" w:name="_Impact_of_being"/>
      <w:bookmarkEnd w:id="758"/>
      <w:r w:rsidRPr="001E69D0">
        <w:rPr>
          <w:rFonts w:eastAsia="Times New Roman"/>
          <w:color w:val="000000"/>
          <w:sz w:val="22"/>
          <w:szCs w:val="20"/>
        </w:rPr>
        <w:t>Many participants said that having more peer workers with lived or living experience involved in the process would help ensure they had access to realistic information they could trust.</w:t>
      </w:r>
    </w:p>
    <w:p w14:paraId="5496E344"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They’re missing peer workers … people who have actually had addictions, instead of people with degrees talking to you and telling you everything. A person with actual lived experience would be awesome.</w:t>
      </w:r>
    </w:p>
    <w:p w14:paraId="3B999566"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People can’t explain what they haven’t gone through.</w:t>
      </w:r>
    </w:p>
    <w:p w14:paraId="0E0540E6"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lastRenderedPageBreak/>
        <w:t xml:space="preserve">I would feel much more comfortable ringing up and talking to a peer worker, rather than a doctor. </w:t>
      </w:r>
    </w:p>
    <w:p w14:paraId="7A977F08"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 always wanted to know when I was talking to someone, did they know from experience? I could get the precipitated withdrawal on an academic level, but I wish someone had told me, ‘hey, what it’s going to feel like is: third-day withdrawal [inaudible] cold turkey, but in a couple of hours, you’ll be fine’ … it would have prepared me better.</w:t>
      </w:r>
    </w:p>
    <w:p w14:paraId="20F1610D" w14:textId="77777777" w:rsidR="001E69D0" w:rsidRPr="001E69D0" w:rsidRDefault="001E69D0" w:rsidP="001725C8">
      <w:pPr>
        <w:keepNext/>
        <w:spacing w:before="240" w:after="240" w:line="240" w:lineRule="auto"/>
        <w:ind w:left="720" w:hanging="720"/>
        <w:jc w:val="left"/>
        <w:outlineLvl w:val="3"/>
        <w:rPr>
          <w:rFonts w:ascii="Open Sans" w:eastAsia="Times New Roman" w:hAnsi="Open Sans" w:cs="Open Sans"/>
          <w:iCs/>
          <w:color w:val="008CA6"/>
          <w:sz w:val="28"/>
          <w:szCs w:val="28"/>
        </w:rPr>
      </w:pPr>
      <w:bookmarkStart w:id="759" w:name="_Toc121231614"/>
      <w:r w:rsidRPr="001E69D0">
        <w:rPr>
          <w:rFonts w:ascii="Open Sans" w:eastAsia="Times New Roman" w:hAnsi="Open Sans" w:cs="Open Sans"/>
          <w:iCs/>
          <w:color w:val="008CA6"/>
          <w:sz w:val="28"/>
          <w:szCs w:val="28"/>
        </w:rPr>
        <w:t>Parallel support</w:t>
      </w:r>
      <w:bookmarkEnd w:id="759"/>
    </w:p>
    <w:p w14:paraId="6724EF09"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A few participants – mostly in New South Wales – had been referred to counselling, dental care and other health practitioners to treat other health issues. This seemed highly dependent on the participant’s health practitioner. For some, the referrals led to further assistance, including help accessing income support, education support or housing.</w:t>
      </w:r>
    </w:p>
    <w:p w14:paraId="0EF318C5"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The doctors at the clinic, you get to talk to them about other things as well as the program itself and how you’re going on that. They have given me support… Dr [name removed] went to bat for me when I was refused … for housing when I had bowel cancer … He was so outraged, and he got on the phone and rang the [name removed] office and spoke to the person who was the author of the letter; it was almost embarrassing to sit opposite while he tore strips off them. And by the end of that phone call, they changed their mind and I’ve been given a place to live.</w:t>
      </w:r>
    </w:p>
    <w:p w14:paraId="1F09F1A5"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They’ve seen that I’ve been struggling with psychological issues and they put me in contact with the psychologist that works next door.</w:t>
      </w:r>
    </w:p>
    <w:p w14:paraId="5B8803A2"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 was at a public clinic, and referred to … infectious disease care for hepatitis C at [the] hospital. That was in the dark old days, my life quickly fell apart, and other services became involved all through the hospital. So in a roundabout way, that referral to the hospital got me access a whole lot of other things like a psychiatrist, which got to the bottom of my PTSD and depression.</w:t>
      </w:r>
    </w:p>
    <w:p w14:paraId="0C003CA4"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The vast majority of participants, however, had never been referred to other support services as a result of their participation in the program, or had just been given resources to find their own support.</w:t>
      </w:r>
    </w:p>
    <w:p w14:paraId="00230A71"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Some who accessed the program through their GP said they were able to discuss any issues during those consultations, while for others, it was not an option. Most people accessing the program through clinics said their consultation was solely about accessing their pharmacotherapy treatment.</w:t>
      </w:r>
    </w:p>
    <w:p w14:paraId="5B5440A1"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Our current doctor just says, ‘I don’t do anything else. I will not talk to you about your heart, I’ll not talk to you about your mental health, I will not talk to you about your physical health, I will not give you a script for antibiotics. If you’ve got the flu, I don’t want to know. I'm just here to do your script and that’s it’.</w:t>
      </w:r>
    </w:p>
    <w:p w14:paraId="4A404771"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 xml:space="preserve">[Following cancer treatment and complications causing pain] Not one person came to my aid and said, ‘this is what we think you should do’. No one would measure my pain, no one offered me any assistance … I have to buy my pain killers off the street. But they’ve got me on Biodone, they’re not offering me else but Biodone, and I know [the clinic] are part of the pain specialists, but no one’s done anything for me. And I still have the radiation ulcer. </w:t>
      </w:r>
    </w:p>
    <w:p w14:paraId="1F0191F2"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They just pass on the information, basically. [They didn’t contact anyone] on my behalf, but they could give me a list of resources, which isn’t very effective when you’re severely depressed, because that’s often the hardest time to reach out.</w:t>
      </w:r>
    </w:p>
    <w:p w14:paraId="1A48A6DD"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lastRenderedPageBreak/>
        <w:t>I think it would be good for all services to work from a harm reduction framework, to be more compassionate, to focus on building a therapeutic relationship with the person that’s in front of them.</w:t>
      </w:r>
    </w:p>
    <w:p w14:paraId="70363DBB" w14:textId="77777777" w:rsidR="001E69D0" w:rsidRPr="001E69D0" w:rsidRDefault="001E69D0" w:rsidP="001725C8">
      <w:pPr>
        <w:keepNext/>
        <w:spacing w:before="240" w:after="240" w:line="240" w:lineRule="auto"/>
        <w:ind w:left="720" w:hanging="720"/>
        <w:jc w:val="left"/>
        <w:outlineLvl w:val="3"/>
        <w:rPr>
          <w:rFonts w:ascii="Open Sans" w:eastAsia="Times New Roman" w:hAnsi="Open Sans" w:cs="Open Sans"/>
          <w:iCs/>
          <w:color w:val="008CA6"/>
          <w:sz w:val="28"/>
          <w:szCs w:val="28"/>
        </w:rPr>
      </w:pPr>
      <w:bookmarkStart w:id="760" w:name="_Lack_of_autonomy"/>
      <w:bookmarkStart w:id="761" w:name="_Toc121231615"/>
      <w:bookmarkEnd w:id="760"/>
      <w:r w:rsidRPr="001E69D0">
        <w:rPr>
          <w:rFonts w:ascii="Open Sans" w:eastAsia="Times New Roman" w:hAnsi="Open Sans" w:cs="Open Sans"/>
          <w:iCs/>
          <w:color w:val="008CA6"/>
          <w:sz w:val="28"/>
          <w:szCs w:val="28"/>
        </w:rPr>
        <w:t>Lack of autonomy</w:t>
      </w:r>
      <w:bookmarkEnd w:id="761"/>
    </w:p>
    <w:p w14:paraId="6BEB19C7"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Many participants wanted more autonomy to manage their own treatment just as they would with other prescription medicines. This included having longer periods between prescriptions, having access to more takeaway doses, and being able to manage their own dosing.</w:t>
      </w:r>
    </w:p>
    <w:p w14:paraId="3548E865"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Letting people have more takeaways and have more control over their own medication. We need this medication, we’re not going to go without it. There’s so many jobs that people could be doing if they weren’t in liquid handcuffs.</w:t>
      </w:r>
    </w:p>
    <w:p w14:paraId="49084355"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[I’d like to see] less policing on it, not having to jump through so many hula hoops so you can get takeaways, and more trust on their end.</w:t>
      </w:r>
    </w:p>
    <w:p w14:paraId="5D0BE925"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They can monitor any medications that you get through doctors... They have absolute records of you not abusing medications. They can see that you’re not abusing any other substances, you’re giving clean urines. They should allow you more freedoms, more support and encouragement.</w:t>
      </w:r>
    </w:p>
    <w:p w14:paraId="2CFC2568"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Giving people more control of their own medication and their own health would be better, and to be more flexible with people’s jobs, just more flexibility. I’ve missed out on overseas trips and all things I would love to do, but I can’t; what would be the option? I’d have to go down the road and find some heroin, and that ruins your holiday.</w:t>
      </w:r>
    </w:p>
    <w:p w14:paraId="6033CF03"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Let’s just make it more flexible and give people more control over how they dose, when they dose, especially if you’ve been on it 20 years.</w:t>
      </w:r>
    </w:p>
    <w:p w14:paraId="3E9983D3"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It’s just the control, and I think taking control away from people who are trying to get control back over their lives does not help them in their efforts to rehabilitate themselves.</w:t>
      </w:r>
    </w:p>
    <w:p w14:paraId="22631869"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Just treating us as the adult humans that we are. Treating it as a medical condition, which it is, and [stopping] this over-regulating of takeaways.</w:t>
      </w:r>
    </w:p>
    <w:p w14:paraId="4EAC370E"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 xml:space="preserve">They wouldn’t do the things they do to opioid users – they wouldn’t do that to any other illness. They think this is something totally different, this isn’t like any other illness … the morality shouldn’t come into it, but it does over and over again. </w:t>
      </w:r>
    </w:p>
    <w:p w14:paraId="3FC8F5CB"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They need to stop this ‘one size fits all’ when it comes to the program.</w:t>
      </w:r>
    </w:p>
    <w:p w14:paraId="1B8A4131"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Several participants had been prescribed inadequate doses that did not meet their needs or pushed out of the program before they were ready, which led some to relapse.</w:t>
      </w:r>
    </w:p>
    <w:p w14:paraId="21F3C37A"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 xml:space="preserve">They didn’t put you on a high enough dose early on. </w:t>
      </w:r>
    </w:p>
    <w:p w14:paraId="1F9EEE86"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Everyone was still looking for how to boost their dose.</w:t>
      </w:r>
    </w:p>
    <w:p w14:paraId="2F313DEF"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 basically got told, ‘you’ve been on long enough’ – which I think they decided was 3 months – ‘we’re weaning you, and see you later’. And they were quite confident that I’d be fine ... I started using again quite quickly, and went through that whole thing again.</w:t>
      </w:r>
    </w:p>
    <w:p w14:paraId="0F21B698"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 xml:space="preserve">The public [clinics] were pretty bad. They didn’t have any takeaways, they tried to get people off as quickly as possible. They would quite obviously prematurely throw people off who would then just end up using again … They’d say, ‘well, you’ve really been on long enough. </w:t>
      </w:r>
      <w:r w:rsidRPr="001E69D0">
        <w:rPr>
          <w:rFonts w:eastAsia="Times New Roman"/>
          <w:color w:val="000000"/>
          <w:sz w:val="20"/>
          <w:szCs w:val="20"/>
        </w:rPr>
        <w:lastRenderedPageBreak/>
        <w:t>It’s time for you to start weaning … It shouldn’t really be a thing that you're on long term … you think some of those people probably went on to overdose and could have died through that idiotic decision. You know, taking the decision away from the consumer … Private clinics … basically let you decide when you’re ready to go off.</w:t>
      </w:r>
    </w:p>
    <w:p w14:paraId="1B66A49C"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Many felt that prescribers and dispensers were in a position of power and used their dosing and supply of takeaway doses as control measures.</w:t>
      </w:r>
    </w:p>
    <w:p w14:paraId="4BC5C1C6"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It’s just extremely difficult in terms of the way they kind of control you and [use] punitive practices and punishments … for using. It’s not effective.</w:t>
      </w:r>
    </w:p>
    <w:p w14:paraId="7CA79F3E"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If you’re sick, you have difficulties in your life, you have mental health issues. You miss an appointment and there’s one strike against your record.</w:t>
      </w:r>
    </w:p>
    <w:p w14:paraId="45951751"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 xml:space="preserve">The time when my mother died. She had cancer, and I went to Dr [name removed], and I said mum’s been put into hospital and she’s not expected to make it beyond the next couple of days. I’ve got to go down south now, and Dr [name removed] laughed in my face and said, ‘oh no it’s far too soon [for takeaway doses]’, and my mother died that night. </w:t>
      </w:r>
    </w:p>
    <w:p w14:paraId="03AC59C4" w14:textId="77777777" w:rsidR="001E69D0" w:rsidRPr="001E69D0" w:rsidRDefault="001E69D0" w:rsidP="001725C8">
      <w:pPr>
        <w:keepNext/>
        <w:spacing w:before="240" w:after="240" w:line="240" w:lineRule="auto"/>
        <w:ind w:left="720" w:hanging="720"/>
        <w:jc w:val="left"/>
        <w:outlineLvl w:val="3"/>
        <w:rPr>
          <w:rFonts w:ascii="Open Sans" w:eastAsia="Times New Roman" w:hAnsi="Open Sans" w:cs="Open Sans"/>
          <w:iCs/>
          <w:color w:val="008CA6"/>
          <w:sz w:val="28"/>
          <w:szCs w:val="28"/>
        </w:rPr>
      </w:pPr>
      <w:bookmarkStart w:id="762" w:name="_Impact_of_being_1"/>
      <w:bookmarkStart w:id="763" w:name="_Fear_of_punitive"/>
      <w:bookmarkStart w:id="764" w:name="_Toc121231616"/>
      <w:bookmarkEnd w:id="762"/>
      <w:bookmarkEnd w:id="763"/>
      <w:r w:rsidRPr="001E69D0">
        <w:rPr>
          <w:rFonts w:ascii="Open Sans" w:eastAsia="Times New Roman" w:hAnsi="Open Sans" w:cs="Open Sans"/>
          <w:iCs/>
          <w:color w:val="008CA6"/>
          <w:sz w:val="28"/>
          <w:szCs w:val="28"/>
        </w:rPr>
        <w:t>Fear of punitive measures</w:t>
      </w:r>
      <w:bookmarkEnd w:id="764"/>
    </w:p>
    <w:p w14:paraId="05FC77CB"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 xml:space="preserve">Many participants mentioned the use of punitive measures, such as removing takeaway doses or kicking people off the program for being unable to pay, for what dispensers saw as unacceptable behaviour, or because they saw them as a difficult client. This was seen as counterproductive and damaging, and often meant participants were afraid to discuss issues or seek support. </w:t>
      </w:r>
    </w:p>
    <w:p w14:paraId="418C5414"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There was at the time when I was kicked off the program because I missed 3 appointments … I’ve struggled with PTSD and agoraphobia. They knew, and I had called them to cancel the appointments, but it’s this whole punishment thing.</w:t>
      </w:r>
    </w:p>
    <w:p w14:paraId="3F8258FC"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There’s been a couple of times where I’ve felt all right and haven’t gone in. But you can only do that 1 day, because if you do it 2 days, you get cut off. So you can’t really see how you can go without it.</w:t>
      </w:r>
    </w:p>
    <w:p w14:paraId="069C8D99"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If you miss 3 days of getting your dose, you’re cut off and you’ve got to go through the process again. I understand they keep that there so that people go to the chemist, but you don’t know someone’s situation. They may not be able to get to the chemist, they might not have family support and they’re trying their best. And then if they don’t go, they’re cut off and then they’re sick. And then they relapse.</w:t>
      </w:r>
    </w:p>
    <w:p w14:paraId="3EF0D616"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 xml:space="preserve">I would like to tell them a few things, but I’m afraid I’ll end up back at the hospital. So I keep my mouth shut, where I could have been getting help from them. </w:t>
      </w:r>
    </w:p>
    <w:p w14:paraId="3851E9FA"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If we could chat more to doctors about what’s going on in our lives without fear of punitive responses. You know, if opioid treatment prescribing was provided with a whole bunch of other wraparound services, that might support people more.</w:t>
      </w:r>
    </w:p>
    <w:p w14:paraId="3989E972"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They’re caught between seeing it as a medical issue and still seeing it as an ethical issue … Any other illness you've got, any other problem you’ve got, if your medicine isn’t working, you might give them more. You wouldn’t stop it. You wouldn’t just give punitive measures just because their medicine isn’t working, and it’s seen as an ethical lapse.</w:t>
      </w:r>
    </w:p>
    <w:p w14:paraId="7ACD9B25"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 xml:space="preserve">The lack of cooperation is horrible, the lack of trust and the punitive, coercive way that services are delivered, and the fact that they’re not delivered in a harm-reduction focused way. If you end up using a little bit whilst you’re on the program, and, you know, you often experience things like being reduced off your methadone rather than having a discussion </w:t>
      </w:r>
      <w:r w:rsidRPr="001E69D0">
        <w:rPr>
          <w:rFonts w:eastAsia="Times New Roman"/>
          <w:color w:val="000000"/>
          <w:sz w:val="20"/>
          <w:szCs w:val="20"/>
        </w:rPr>
        <w:lastRenderedPageBreak/>
        <w:t>about, ‘can we support you to use less? Should we increase your dose?’ It’s often like, ‘oh the person is using, we better kick them off the program because they’re not supposed to be using while they’re on the program’. So it’s not delivered in a very harm-reduction focused way, and often the decisions that are made around that type of stuff increase harms for people.</w:t>
      </w:r>
    </w:p>
    <w:p w14:paraId="3CC5C763"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 xml:space="preserve">I should be able to tell my doctor, ‘the dose hasn’t been holding me, so as a result, I have been using’, and not have any punitive measures thrown at me, you know, say, ‘well, we’ll just have to stop your takeaways or have to do this’. It should be, ‘let’s see what’s wrong with you, let’s adjust your dose’, like you would do if you were seeing a psychiatrist or anything else you had … But it’s seen as your weakness, your failing if the dose isn’t working. </w:t>
      </w:r>
    </w:p>
    <w:p w14:paraId="0A7EFF01" w14:textId="77777777" w:rsidR="001E69D0" w:rsidRPr="001E69D0" w:rsidRDefault="001E69D0" w:rsidP="001E69D0">
      <w:pPr>
        <w:spacing w:after="240" w:line="240" w:lineRule="auto"/>
        <w:jc w:val="left"/>
        <w:rPr>
          <w:rFonts w:eastAsia="Times New Roman"/>
          <w:color w:val="000000"/>
          <w:sz w:val="22"/>
          <w:szCs w:val="20"/>
        </w:rPr>
      </w:pPr>
      <w:bookmarkStart w:id="765" w:name="_Impact_of_being_2"/>
      <w:bookmarkStart w:id="766" w:name="_Stigma"/>
      <w:bookmarkStart w:id="767" w:name="_Stigma_and_discrimination"/>
      <w:bookmarkEnd w:id="765"/>
      <w:bookmarkEnd w:id="766"/>
      <w:bookmarkEnd w:id="767"/>
      <w:r w:rsidRPr="001E69D0">
        <w:rPr>
          <w:rFonts w:eastAsia="Times New Roman"/>
          <w:color w:val="000000"/>
          <w:sz w:val="22"/>
          <w:szCs w:val="20"/>
        </w:rPr>
        <w:t xml:space="preserve">This power imbalance and use of punitive measures seemed to be most pronounced in public clinics, and this often resulted in people having to attend private clinics at a much higher cost, whether they could afford it or not. </w:t>
      </w:r>
    </w:p>
    <w:p w14:paraId="45097B44"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 xml:space="preserve">I’m not into being punished for having a stuff up. We’re all going to have a stuff up, a hiccup. At the public clinic, they like to punish you for that. They’ll either give you a half dose, or if you [have been] allowed to get takeaways for the weekend, you’re not allowed to get them anymore. </w:t>
      </w:r>
    </w:p>
    <w:p w14:paraId="17CAB87F" w14:textId="77777777" w:rsidR="001E69D0" w:rsidRPr="001E69D0" w:rsidRDefault="001E69D0" w:rsidP="001E69D0">
      <w:pPr>
        <w:keepLines/>
        <w:spacing w:after="240" w:line="240" w:lineRule="auto"/>
        <w:ind w:left="720" w:right="720"/>
        <w:jc w:val="left"/>
        <w:rPr>
          <w:rFonts w:eastAsia="Times New Roman"/>
          <w:color w:val="000000"/>
          <w:sz w:val="20"/>
          <w:szCs w:val="20"/>
        </w:rPr>
      </w:pPr>
      <w:r w:rsidRPr="001E69D0">
        <w:rPr>
          <w:rFonts w:eastAsia="Times New Roman"/>
          <w:color w:val="000000"/>
          <w:sz w:val="20"/>
          <w:szCs w:val="20"/>
        </w:rPr>
        <w:t xml:space="preserve">[The public clinic] was just so punitive. They had a policy that if you only filled your urine cup halfway, you only got half a dose ... It was just an excuse to punish you. Then you did your urine, and you’d have to drop your pants to your ankles and lift your shirt up … it was horrific. </w:t>
      </w:r>
    </w:p>
    <w:p w14:paraId="57149CFA"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 xml:space="preserve">I’d love to see the government really work on the public clinics. There is so much they can do there. People shouldn’t be in private clinics because the public clinics are just so awful. They are so awful that people will pay these crazy amounts of money – unemployed people on Newstart paying $60 a week – and they’re doing that because the public clinics are so awful. The government can fix that … and they should be. </w:t>
      </w:r>
    </w:p>
    <w:p w14:paraId="4CD70F8A" w14:textId="77777777" w:rsidR="001E69D0" w:rsidRPr="001E69D0" w:rsidRDefault="001E69D0" w:rsidP="001725C8">
      <w:pPr>
        <w:keepNext/>
        <w:spacing w:before="240" w:after="240" w:line="240" w:lineRule="auto"/>
        <w:ind w:left="720" w:hanging="720"/>
        <w:jc w:val="left"/>
        <w:outlineLvl w:val="3"/>
        <w:rPr>
          <w:rFonts w:ascii="Open Sans" w:eastAsia="Times New Roman" w:hAnsi="Open Sans" w:cs="Open Sans"/>
          <w:iCs/>
          <w:color w:val="008CA6"/>
          <w:sz w:val="28"/>
          <w:szCs w:val="28"/>
        </w:rPr>
      </w:pPr>
      <w:bookmarkStart w:id="768" w:name="_Stigma_and_discrimination_1"/>
      <w:bookmarkStart w:id="769" w:name="_Toc121231617"/>
      <w:bookmarkEnd w:id="768"/>
      <w:r w:rsidRPr="001E69D0">
        <w:rPr>
          <w:rFonts w:ascii="Open Sans" w:eastAsia="Times New Roman" w:hAnsi="Open Sans" w:cs="Open Sans"/>
          <w:iCs/>
          <w:color w:val="008CA6"/>
          <w:sz w:val="28"/>
          <w:szCs w:val="28"/>
        </w:rPr>
        <w:t>Stigma and discrimination</w:t>
      </w:r>
      <w:bookmarkEnd w:id="769"/>
    </w:p>
    <w:p w14:paraId="717C1079"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Most participants had, at some stage, faced judgement and stigmatisation from pharmacy staff, health practitioners and members of the public. This varied greatly between prescribers and dispensers, and even between people within a dispensing service.</w:t>
      </w:r>
    </w:p>
    <w:p w14:paraId="3F90EF03"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 xml:space="preserve">You’re automatically not trusted because we’re addicts. I really think the stigma needs to shift. We are addicts, but we’re addicts reaching out for help and support. We need to be shown that we can be trusted. </w:t>
      </w:r>
    </w:p>
    <w:p w14:paraId="362E2613"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They don’t treat you the same as they treat every other customer.</w:t>
      </w:r>
    </w:p>
    <w:p w14:paraId="23777488"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You don’t feel like a customer, you feel like a scumbag. They treat you like the J word.</w:t>
      </w:r>
    </w:p>
    <w:p w14:paraId="38BE3FC7"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The pharmacy that I dosed at when I was on the strips, even if I was the first person in the shop, I would be the last one to be served.</w:t>
      </w:r>
    </w:p>
    <w:p w14:paraId="75A17BDF"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I’ve been kept waiting and been late for things that are really important to me to attend – such as work, study, collecting my children – because the pharmacist has waited so long to actually dose me while [serving] other people in front of me.</w:t>
      </w:r>
    </w:p>
    <w:p w14:paraId="4F1A1E42"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Eventually I started at the chemist. I find them to be a respectful service. Different chemists have different codes, and some will keep you waiting even if other people come after you. You’re a customer, you should be treated with the same respect as any other.</w:t>
      </w:r>
    </w:p>
    <w:p w14:paraId="3807BABF"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lastRenderedPageBreak/>
        <w:t>One of the main reasons why I do stay at the particular chemist I’ve been going to is because they do treat me quite fairly, and you are served in line with other customers, and so many other chemists won’t do that. You have to wait until all the other people are served, and that can really impact you when you’ve got to go to work. Just because you’re on methadone doesn’t mean you’ve got all day to sit around and wait for it.</w:t>
      </w:r>
    </w:p>
    <w:p w14:paraId="1B93F307"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My pharmacy and my doctor, they’re doing the best they can, I feel. They’re very good, very polite. I think they do a fantastic job.</w:t>
      </w:r>
    </w:p>
    <w:p w14:paraId="15DF0B84"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I’ve had some chemists who have been really, really unhelpful and made me dread going in there, and other times I’ve had some chemists who have been really supportive of me.</w:t>
      </w:r>
    </w:p>
    <w:p w14:paraId="28C994BB"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I'm a patient looking for help and we’re not seen that way, we’re seen as a drug addict … I used to have to pick mine up in a … lockbox because I’ve got children. Do you know how embarrassing it is, walking into a pharmacy with this big box, plonking it on the desk, unlocking it. It’s got my … name, my phone number. It’s so obvious that you’re not like everyone else … the whole process is so demoralising … I’ve already got PTSD and that’s further traumatising. It’s punishing me for trying to do the right thing. How does that help, and how does it help my children seeing me do this, because it’s this odd thing happening. Mummy’s different. Why is mummy different?</w:t>
      </w:r>
    </w:p>
    <w:p w14:paraId="585B923D"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I’ve been with them for years, and it doesn’t make any difference how long you’ve been there. One little mistake, one missed appointment, it’s always day 1. You can’t build faith... It doesn’t matter what you do right, you can’t do enough for them. They just invent new hoops.</w:t>
      </w:r>
    </w:p>
    <w:p w14:paraId="4C0612DD"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 xml:space="preserve">Participants stressed that the stigma and discrimination can have a significant impact on people’s self-esteem, and can lead people to leave the program. </w:t>
      </w:r>
    </w:p>
    <w:p w14:paraId="200E86EC"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It can be very depressing, if you have to go somewhere every day, and you feel like you’re not good enough all the time, you start to believe it after a while.</w:t>
      </w:r>
    </w:p>
    <w:p w14:paraId="685ACF05"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Sometimes the chemist and the pharmacies and even the doctors, their reactions affect you and then you might not come back, and then you’re in a really unsafe situation.</w:t>
      </w:r>
    </w:p>
    <w:p w14:paraId="7EC4D0FF"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You definitely can’t have anyone … being really judgemental to any drug addicts or alcoholics or whatever. That’ll send them back to use … they already feel bad enough about themselves to have even gone out to ask … they’re defeated people. They really need to be looked after, not to be judged.</w:t>
      </w:r>
    </w:p>
    <w:p w14:paraId="5F92D333"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 xml:space="preserve">If you treat people with respect and dignity, you get it back in spades. </w:t>
      </w:r>
    </w:p>
    <w:p w14:paraId="1EBD4271" w14:textId="77777777" w:rsidR="001E69D0" w:rsidRPr="001E69D0" w:rsidRDefault="001E69D0" w:rsidP="001E69D0">
      <w:pPr>
        <w:keepLines/>
        <w:spacing w:after="240" w:line="240" w:lineRule="auto"/>
        <w:jc w:val="left"/>
        <w:rPr>
          <w:rFonts w:eastAsia="Times New Roman"/>
          <w:color w:val="000000"/>
          <w:sz w:val="22"/>
          <w:szCs w:val="20"/>
        </w:rPr>
      </w:pPr>
      <w:r w:rsidRPr="001E69D0">
        <w:rPr>
          <w:rFonts w:eastAsia="Times New Roman"/>
          <w:color w:val="000000"/>
          <w:sz w:val="22"/>
          <w:szCs w:val="20"/>
        </w:rPr>
        <w:t>In some cases, judgement and stigmatisation has resulted in a lower level of privacy, and poorer service and health care. Some had unrelated health issues ignored or missed, or were unable to access other important medicines they needed, because the first reaction they encountered was suspicion.</w:t>
      </w:r>
    </w:p>
    <w:p w14:paraId="5DAAA6A4"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You’re seen as an addict. You’re not a person with addiction that has comorbidity or other factors in their life.</w:t>
      </w:r>
    </w:p>
    <w:p w14:paraId="76C7C741"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[In hospital for pancreatitis], I was treated very differently by staff as soon as they learned that I was on methadone – I was no longer a person with health issues, I was a drug addict, that’s who I was to them, and everything I did from that moment was drug-seeking behaviour... It was kind of traumatic, actually.</w:t>
      </w:r>
    </w:p>
    <w:p w14:paraId="6933F51B"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lastRenderedPageBreak/>
        <w:t>When I finished the program, I made the decision to go into detox. And then when I got into detox they were apprehensive in allowing me to have Valium in increments which was titrated over the week. Coming off buprenorphine I was sick for months, it was disgusting.</w:t>
      </w:r>
    </w:p>
    <w:p w14:paraId="094F0D9D"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Several participants found testing of urine samples to be humiliating and stigmatising, and felt it was used as a form of control.</w:t>
      </w:r>
    </w:p>
    <w:p w14:paraId="38C9FCBA"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I’d love to get rid of the stigmatising thing of urines, where your takeaways are used as a mode of punishment or reward.</w:t>
      </w:r>
    </w:p>
    <w:p w14:paraId="37F14A5B" w14:textId="77777777" w:rsidR="001E69D0" w:rsidRPr="001E69D0" w:rsidRDefault="001E69D0" w:rsidP="001725C8">
      <w:pPr>
        <w:keepNext/>
        <w:spacing w:before="240" w:after="240" w:line="240" w:lineRule="auto"/>
        <w:jc w:val="left"/>
        <w:outlineLvl w:val="4"/>
        <w:rPr>
          <w:rFonts w:ascii="Open Sans" w:eastAsia="Times New Roman" w:hAnsi="Open Sans" w:cs="Open Sans"/>
          <w:color w:val="008CA6"/>
        </w:rPr>
      </w:pPr>
      <w:bookmarkStart w:id="770" w:name="_Toc121231618"/>
      <w:r w:rsidRPr="001E69D0">
        <w:rPr>
          <w:rFonts w:ascii="Open Sans" w:eastAsia="Times New Roman" w:hAnsi="Open Sans" w:cs="Open Sans"/>
          <w:color w:val="008CA6"/>
        </w:rPr>
        <w:t>Need for staff and health practitioner education</w:t>
      </w:r>
      <w:bookmarkEnd w:id="770"/>
    </w:p>
    <w:p w14:paraId="3EBE5648"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Many participants felt that health practitioners and other staff needed more education and training about addiction and trauma, to increase understanding and empathy.</w:t>
      </w:r>
    </w:p>
    <w:p w14:paraId="2700DE1A"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A great thing would be education for the people who dispense, so they understand we’re not there to rip them off, we’re not doing anything wrong, we are trying to help ourselves. I think they think we’re just there to get free drugs.</w:t>
      </w:r>
    </w:p>
    <w:p w14:paraId="67554C08" w14:textId="77777777" w:rsidR="001E69D0" w:rsidRPr="001E69D0" w:rsidRDefault="001E69D0" w:rsidP="001725C8">
      <w:pPr>
        <w:keepNext/>
        <w:spacing w:before="240" w:after="240" w:line="240" w:lineRule="auto"/>
        <w:ind w:left="720" w:hanging="720"/>
        <w:jc w:val="left"/>
        <w:outlineLvl w:val="3"/>
        <w:rPr>
          <w:rFonts w:ascii="Open Sans" w:eastAsia="Times New Roman" w:hAnsi="Open Sans" w:cs="Open Sans"/>
          <w:iCs/>
          <w:color w:val="008CA6"/>
          <w:sz w:val="28"/>
          <w:szCs w:val="28"/>
        </w:rPr>
      </w:pPr>
      <w:bookmarkStart w:id="771" w:name="_Privacy_concerns"/>
      <w:bookmarkStart w:id="772" w:name="_Toc121231619"/>
      <w:bookmarkEnd w:id="771"/>
      <w:r w:rsidRPr="001E69D0">
        <w:rPr>
          <w:rFonts w:ascii="Open Sans" w:eastAsia="Times New Roman" w:hAnsi="Open Sans" w:cs="Open Sans"/>
          <w:iCs/>
          <w:color w:val="008CA6"/>
          <w:sz w:val="28"/>
          <w:szCs w:val="28"/>
        </w:rPr>
        <w:t>Privacy concerns</w:t>
      </w:r>
      <w:bookmarkEnd w:id="772"/>
    </w:p>
    <w:p w14:paraId="4E52BEC6"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The lack of privacy in some clinics and pharmacies was also raised as an issue. Arrangements vary greatly – some dispensers have separate rooms for dosing, others have separate counters, and some dispense doses at the general prescription counter. Many participants want to keep their treatment confidential, but the set-up makes it impossible.</w:t>
      </w:r>
    </w:p>
    <w:p w14:paraId="576D9309"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A lot of the time you don’t have privacy, so you’re dosing in front of the entire pharmacy. The pharmacies I’ve been to are quite small, so anyone in the pharmacy can see me. Having somewhere a little bit more discreet to be dosed, or even to wait – there is a specific waiting area, everyone knows what that waiting area is for, so just by waiting for your dose, it’s obvious why you’re actually in the pharmacy.</w:t>
      </w:r>
    </w:p>
    <w:p w14:paraId="21AEA9B2"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You feel like you’re put on display whilst you’re already in a vulnerable state. I know that I get rather sick before receiving my dose, so the last thing you want to feel is even more vulnerable.</w:t>
      </w:r>
    </w:p>
    <w:p w14:paraId="44B0DAF2"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 remember being all dressed up to go to school, as a schoolteacher, and I had to go inside the building, and there’d be a big line-up of people... Any of the clinics, I’ve always had a privacy issue. The system made it very difficult for me. I could not be seen by the general public. It could have been a student that saw me, or a parent, and I just couldn’t risk that. Going into a chemist is far more acceptable to me.</w:t>
      </w:r>
    </w:p>
    <w:p w14:paraId="4FCC421E"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There was no separate section for dosing. [There were] people I know, parents of the kids that go to the school.</w:t>
      </w:r>
    </w:p>
    <w:p w14:paraId="6A114852"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I’ve run into people that I don’t want to run into that don’t know I’m on the program, and I’ve been publicly outed that way.</w:t>
      </w:r>
    </w:p>
    <w:p w14:paraId="3410604F"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 go to a chemist in a different town deliberately, so that I don’t have people wagging their tongues about me.</w:t>
      </w:r>
    </w:p>
    <w:p w14:paraId="734B8D77"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 xml:space="preserve">Sometimes when you’re with your family you don't want to run off and go to the pharmacy. Some of my family members, I didn’t want them to know I was on methadone. </w:t>
      </w:r>
    </w:p>
    <w:p w14:paraId="347EF51C" w14:textId="77777777" w:rsidR="001E69D0" w:rsidRPr="001E69D0" w:rsidRDefault="001E69D0" w:rsidP="001E69D0">
      <w:pPr>
        <w:keepNext/>
        <w:spacing w:line="240" w:lineRule="auto"/>
        <w:jc w:val="left"/>
        <w:rPr>
          <w:rFonts w:eastAsia="Times New Roman"/>
          <w:color w:val="000000"/>
          <w:sz w:val="22"/>
          <w:szCs w:val="20"/>
        </w:rPr>
      </w:pPr>
      <w:r w:rsidRPr="001E69D0">
        <w:rPr>
          <w:rFonts w:eastAsia="Times New Roman"/>
          <w:color w:val="000000"/>
          <w:sz w:val="22"/>
          <w:szCs w:val="20"/>
        </w:rPr>
        <w:lastRenderedPageBreak/>
        <w:t xml:space="preserve">Privacy is also a concern for those having to organise a transfer for </w:t>
      </w:r>
      <w:hyperlink w:anchor="_Travel_and_transfers" w:history="1">
        <w:r w:rsidRPr="001E69D0">
          <w:rPr>
            <w:rFonts w:eastAsia="Times New Roman"/>
            <w:color w:val="0000FF"/>
            <w:sz w:val="22"/>
            <w:szCs w:val="20"/>
            <w:u w:val="single"/>
          </w:rPr>
          <w:t>interstate travel</w:t>
        </w:r>
      </w:hyperlink>
      <w:r w:rsidRPr="001E69D0">
        <w:rPr>
          <w:rFonts w:eastAsia="Times New Roman"/>
          <w:color w:val="000000"/>
          <w:sz w:val="22"/>
          <w:szCs w:val="20"/>
        </w:rPr>
        <w:t>.</w:t>
      </w:r>
    </w:p>
    <w:p w14:paraId="058DF5C9"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 don’t want my family knowing about it. I've managed to keep it under wraps all these years, so for me to turn around and tell them I've got to go see the chemist before it shuts, they’ll begin asking questions. And even though I let [the pharmacy] know that’s the problem, and why I'm reluctant to go down that [transfer] path, it still doesn't get you any extra takeaways.</w:t>
      </w:r>
    </w:p>
    <w:p w14:paraId="321AE5DB" w14:textId="77777777" w:rsidR="001E69D0" w:rsidRPr="001E69D0" w:rsidRDefault="001E69D0" w:rsidP="001725C8">
      <w:pPr>
        <w:keepNext/>
        <w:spacing w:before="240" w:after="240" w:line="240" w:lineRule="auto"/>
        <w:ind w:left="720" w:hanging="720"/>
        <w:jc w:val="left"/>
        <w:outlineLvl w:val="3"/>
        <w:rPr>
          <w:rFonts w:ascii="Open Sans" w:eastAsia="Times New Roman" w:hAnsi="Open Sans" w:cs="Open Sans"/>
          <w:iCs/>
          <w:color w:val="008CA6"/>
          <w:sz w:val="28"/>
          <w:szCs w:val="28"/>
        </w:rPr>
      </w:pPr>
      <w:bookmarkStart w:id="773" w:name="_Supporting_health_practitioners"/>
      <w:bookmarkStart w:id="774" w:name="_Toc121231620"/>
      <w:bookmarkEnd w:id="773"/>
      <w:r w:rsidRPr="001E69D0">
        <w:rPr>
          <w:rFonts w:ascii="Open Sans" w:eastAsia="Times New Roman" w:hAnsi="Open Sans" w:cs="Open Sans"/>
          <w:iCs/>
          <w:color w:val="008CA6"/>
          <w:sz w:val="28"/>
          <w:szCs w:val="28"/>
        </w:rPr>
        <w:t>Impact of being registered on pharmacotherapy treatment</w:t>
      </w:r>
      <w:bookmarkEnd w:id="774"/>
      <w:r w:rsidRPr="001E69D0">
        <w:rPr>
          <w:rFonts w:ascii="Open Sans" w:eastAsia="Times New Roman" w:hAnsi="Open Sans" w:cs="Open Sans"/>
          <w:iCs/>
          <w:color w:val="008CA6"/>
          <w:sz w:val="28"/>
          <w:szCs w:val="28"/>
        </w:rPr>
        <w:t xml:space="preserve"> </w:t>
      </w:r>
    </w:p>
    <w:p w14:paraId="4CF0C120"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Being registered on a pharmacotherapy treatment program can create issues for participants, especially when needing pain relief, even in cases of major injuries or surgeries.</w:t>
      </w:r>
    </w:p>
    <w:p w14:paraId="4B2DB5CD"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 got a script from my methadone-prescribing doctor for Panadeine Forte … very short-term situation … my chemist looked at it, ‘you don’t need that, you’re on methadone’. They think we walk around in a cloud of numb.</w:t>
      </w:r>
    </w:p>
    <w:p w14:paraId="33A456C2"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My sister and myself had the same operation; we had our thyroids removed … all they gave me was Panadol and then she gets morphine. And it’s the same operation of the neck … Because I’m known to use and she’s not an opiate user, I am, she gets morphine and I get Panadol.</w:t>
      </w:r>
    </w:p>
    <w:p w14:paraId="42A12FC9"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 had my jaw broken and had to have it wired up … because I told them … I had used occasionally, no pre-meds. No nothing. Where everyone else is all drowsy.</w:t>
      </w:r>
    </w:p>
    <w:p w14:paraId="3CB30DA8"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 got cancer 6 years ago, and I started using, because having that on your file that you’re an opioid user, they don’t tend to help you out with medication. So I started using to help get me through the pain of the cancer.</w:t>
      </w:r>
    </w:p>
    <w:p w14:paraId="3C1FC57E"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You go to the hospital with a broken arm, and because you’re a registered user, you’re lucky to get Panadol for your broken arm. That black mark does obviously have a huge impact on medical treatment at times.</w:t>
      </w:r>
    </w:p>
    <w:p w14:paraId="29E835FC"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I’ve done my left knee and my doctor said, ‘stop reducing [your methadone]’, because we can’t get anything else for pain.</w:t>
      </w:r>
    </w:p>
    <w:p w14:paraId="4C6BDBC3"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Participants who had exited the program successfully felt that there should be a time limit on their medical records showing they had been through the program.</w:t>
      </w:r>
    </w:p>
    <w:p w14:paraId="60DAB229"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It will follow you for the rest of your life. It doesn’t matter how long you’ve been off the program for, it’s always going to be on your record. There should be a time limit … so that it doesn’t come up when you need a certain medication or in a medical situation. It shouldn’t be on your record for the rest of your life.</w:t>
      </w:r>
    </w:p>
    <w:p w14:paraId="40F1C56E"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I’m waiting for my ADHD prescription. My GP keeps applying for it, and because of my transparency with my substance abuse background, it keeps being rejected. I went to rehab for 7.5 months, I did the program for 3 years. I finished the program. I went through all of these steps. But it still follows you... I’m studying at university, I can’t concentrate because I have ADHD, but I can’t be prescribed ADHD medication because of past medication that doesn’t affect me anymore. It’s classed as drug-seeking behaviour.</w:t>
      </w:r>
    </w:p>
    <w:p w14:paraId="162FF471" w14:textId="77777777" w:rsidR="001E69D0" w:rsidRPr="001E69D0" w:rsidRDefault="001E69D0" w:rsidP="001725C8">
      <w:pPr>
        <w:keepNext/>
        <w:spacing w:before="240" w:after="240" w:line="240" w:lineRule="auto"/>
        <w:ind w:left="720" w:hanging="720"/>
        <w:jc w:val="left"/>
        <w:outlineLvl w:val="3"/>
        <w:rPr>
          <w:rFonts w:ascii="Open Sans" w:eastAsia="Times New Roman" w:hAnsi="Open Sans" w:cs="Open Sans"/>
          <w:iCs/>
          <w:color w:val="008CA6"/>
          <w:sz w:val="28"/>
          <w:szCs w:val="28"/>
        </w:rPr>
      </w:pPr>
      <w:bookmarkStart w:id="775" w:name="_Supporting_health_practitioners_1"/>
      <w:bookmarkStart w:id="776" w:name="_Toc121231621"/>
      <w:bookmarkEnd w:id="775"/>
      <w:r w:rsidRPr="001E69D0">
        <w:rPr>
          <w:rFonts w:ascii="Open Sans" w:eastAsia="Times New Roman" w:hAnsi="Open Sans" w:cs="Open Sans"/>
          <w:iCs/>
          <w:color w:val="008CA6"/>
          <w:sz w:val="28"/>
          <w:szCs w:val="28"/>
        </w:rPr>
        <w:lastRenderedPageBreak/>
        <w:t>Supporting health practitioners to improve quality of care</w:t>
      </w:r>
      <w:bookmarkEnd w:id="776"/>
    </w:p>
    <w:p w14:paraId="48C1409B" w14:textId="77777777" w:rsidR="001E69D0" w:rsidRPr="001E69D0" w:rsidRDefault="001E69D0" w:rsidP="001E69D0">
      <w:pPr>
        <w:spacing w:after="240" w:line="240" w:lineRule="auto"/>
        <w:jc w:val="left"/>
        <w:rPr>
          <w:rFonts w:eastAsia="Times New Roman"/>
          <w:color w:val="000000"/>
          <w:sz w:val="22"/>
          <w:szCs w:val="20"/>
        </w:rPr>
      </w:pPr>
      <w:r w:rsidRPr="001E69D0">
        <w:rPr>
          <w:rFonts w:eastAsia="Times New Roman"/>
          <w:color w:val="000000"/>
          <w:sz w:val="22"/>
          <w:szCs w:val="20"/>
        </w:rPr>
        <w:t xml:space="preserve">Some participants raised that tackling the shortage of health practitioners involved in the program would go further than just reducing waiting lists. It would also improve quality of care and support, and help ensure people receive holistic care that addresses more than just their addiction.  </w:t>
      </w:r>
    </w:p>
    <w:p w14:paraId="38D864EF"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The only thing I think that’s going to improve it is if the whole area of opioid treatment is better funded and there’s more services, and we work really hard to continue to reduce the stigma, so that we attract more doctors and more nurse practitioners and workers in the field – people who really want to do this work.</w:t>
      </w:r>
    </w:p>
    <w:p w14:paraId="60A4EA82"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 xml:space="preserve">If we had more doctors, perhaps the doctors that we have would have more time to do some of that more holistic health care and to support people with navigating the health system a bit better. </w:t>
      </w:r>
    </w:p>
    <w:p w14:paraId="31C55438"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 xml:space="preserve">I think the processes for health professionals are really hard. I think there’s a lot of admin costs, and there’s a huge administrative burden for doctors when taking on people on the program, and that puts a lot of doctors off. So, we have to reduce some of those challenges for medical professionals, as well, because I think that will encourage more doctors to want to do this work. There’s not enough training and support for doctors who do want to come into this field. </w:t>
      </w:r>
    </w:p>
    <w:p w14:paraId="7A3CBDC2"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And then, doctors, once they’re in the field, if they do make it, they get burdened really quickly with high numbers of clients, because everyone has more demand than the sector can ever meet. So, doctors may end up taking more patients … than allows them to provide quality health care, so they get burnt out and stop providing good quality health care.</w:t>
      </w:r>
    </w:p>
    <w:p w14:paraId="0748BE61"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 xml:space="preserve">They’re just such outcast services that seem to exist outside of mainstream health, and I think that’s part of the problem as well. </w:t>
      </w:r>
    </w:p>
    <w:p w14:paraId="0CBC4F4E" w14:textId="77777777" w:rsidR="001E69D0" w:rsidRPr="001E69D0" w:rsidRDefault="001E69D0" w:rsidP="001E69D0">
      <w:pPr>
        <w:spacing w:after="240" w:line="240" w:lineRule="auto"/>
        <w:ind w:left="720" w:right="720"/>
        <w:jc w:val="left"/>
        <w:rPr>
          <w:rFonts w:eastAsia="Times New Roman"/>
          <w:color w:val="000000"/>
          <w:sz w:val="20"/>
          <w:szCs w:val="20"/>
        </w:rPr>
      </w:pPr>
      <w:r w:rsidRPr="001E69D0">
        <w:rPr>
          <w:rFonts w:eastAsia="Times New Roman"/>
          <w:color w:val="000000"/>
          <w:sz w:val="20"/>
          <w:szCs w:val="20"/>
        </w:rPr>
        <w:t xml:space="preserve">I’d be really supportive of nurse practitioner-type models, and I would be even open to pharmacy provision … we need to come up with innovative models, and I think the pharmacist is obviously one of them. </w:t>
      </w:r>
    </w:p>
    <w:p w14:paraId="2F3B226D" w14:textId="77777777" w:rsidR="001E69D0" w:rsidRPr="001E69D0" w:rsidRDefault="001E69D0" w:rsidP="001E69D0">
      <w:pPr>
        <w:spacing w:after="240" w:line="240" w:lineRule="auto"/>
        <w:ind w:right="720"/>
        <w:jc w:val="left"/>
        <w:rPr>
          <w:rFonts w:eastAsia="Times New Roman"/>
          <w:color w:val="000000"/>
          <w:sz w:val="20"/>
          <w:szCs w:val="20"/>
        </w:rPr>
      </w:pPr>
    </w:p>
    <w:p w14:paraId="0AA48731" w14:textId="77777777" w:rsidR="001E69D0" w:rsidRPr="001E69D0" w:rsidRDefault="001E69D0" w:rsidP="001725C8">
      <w:pPr>
        <w:keepNext/>
        <w:pageBreakBefore/>
        <w:spacing w:after="480" w:line="240" w:lineRule="auto"/>
        <w:ind w:left="720" w:hanging="720"/>
        <w:jc w:val="left"/>
        <w:outlineLvl w:val="2"/>
        <w:rPr>
          <w:rFonts w:ascii="Open Sans" w:eastAsia="Times New Roman" w:hAnsi="Open Sans" w:cs="Open Sans"/>
          <w:b/>
          <w:bCs/>
          <w:color w:val="008CA6"/>
          <w:kern w:val="32"/>
          <w:sz w:val="40"/>
          <w:szCs w:val="40"/>
        </w:rPr>
      </w:pPr>
      <w:bookmarkStart w:id="777" w:name="_COVID-19"/>
      <w:bookmarkStart w:id="778" w:name="_Toc121231622"/>
      <w:bookmarkEnd w:id="777"/>
      <w:r w:rsidRPr="001E69D0">
        <w:rPr>
          <w:rFonts w:ascii="Open Sans" w:eastAsia="Times New Roman" w:hAnsi="Open Sans" w:cs="Open Sans"/>
          <w:b/>
          <w:bCs/>
          <w:color w:val="008CA6"/>
          <w:kern w:val="32"/>
          <w:sz w:val="40"/>
          <w:szCs w:val="40"/>
        </w:rPr>
        <w:lastRenderedPageBreak/>
        <w:t>Participant suggestions for improvements</w:t>
      </w:r>
      <w:bookmarkEnd w:id="778"/>
    </w:p>
    <w:p w14:paraId="64E3233D" w14:textId="77777777" w:rsidR="001E69D0" w:rsidRPr="001E69D0" w:rsidRDefault="001E69D0" w:rsidP="001E69D0">
      <w:pPr>
        <w:keepNext/>
        <w:spacing w:line="240" w:lineRule="auto"/>
        <w:jc w:val="left"/>
        <w:rPr>
          <w:rFonts w:eastAsia="Times New Roman"/>
          <w:color w:val="000000"/>
          <w:sz w:val="22"/>
          <w:szCs w:val="20"/>
        </w:rPr>
      </w:pPr>
      <w:r w:rsidRPr="001E69D0">
        <w:rPr>
          <w:rFonts w:eastAsia="Times New Roman"/>
          <w:color w:val="000000"/>
          <w:sz w:val="22"/>
          <w:szCs w:val="20"/>
        </w:rPr>
        <w:t>Participant suggestions on how the program could be improved included:</w:t>
      </w:r>
    </w:p>
    <w:p w14:paraId="78CBBD17" w14:textId="77777777" w:rsidR="001E69D0" w:rsidRPr="001E69D0" w:rsidRDefault="001E69D0" w:rsidP="0031367D">
      <w:pPr>
        <w:pStyle w:val="Consumerreportbullets"/>
      </w:pPr>
      <w:r w:rsidRPr="001E69D0">
        <w:t>reducing the cost of the treatment by treating pharmacotherapy prescriptions the same as any other PBS-subsidised prescription medicine, or by subsidising and setting a cap on dispensing fees</w:t>
      </w:r>
    </w:p>
    <w:p w14:paraId="3B2204B5" w14:textId="77777777" w:rsidR="001E69D0" w:rsidRPr="001E69D0" w:rsidRDefault="001E69D0" w:rsidP="0031367D">
      <w:pPr>
        <w:pStyle w:val="Consumerreportbullets"/>
      </w:pPr>
      <w:r w:rsidRPr="001E69D0">
        <w:t>increasing the number of approved public and private prescribers and dispensers – or addressing barriers to increase the number of doctors and pharmacists who prescribe and dispense pharmacotherapy treatments – to reduce waiting lists, costs and the need for travel</w:t>
      </w:r>
    </w:p>
    <w:p w14:paraId="231B5638" w14:textId="77777777" w:rsidR="001E69D0" w:rsidRPr="001E69D0" w:rsidRDefault="001E69D0" w:rsidP="0031367D">
      <w:pPr>
        <w:pStyle w:val="Consumerreportbullets"/>
      </w:pPr>
      <w:r w:rsidRPr="001E69D0">
        <w:t>creating a national system or using technology to enable participants to travel interstate, change dispensers and move between treatment settings without red tape, paperwork and the risk of missing doses</w:t>
      </w:r>
    </w:p>
    <w:p w14:paraId="6AC75A3D" w14:textId="77777777" w:rsidR="001E69D0" w:rsidRPr="001E69D0" w:rsidRDefault="001E69D0" w:rsidP="0031367D">
      <w:pPr>
        <w:pStyle w:val="Consumerreportbullets"/>
      </w:pPr>
      <w:r w:rsidRPr="001E69D0">
        <w:t>allowing people to pick up their treatment whenever the dispenser is open, rather than at specific times of day</w:t>
      </w:r>
    </w:p>
    <w:p w14:paraId="7CDDC354" w14:textId="77777777" w:rsidR="001E69D0" w:rsidRPr="001E69D0" w:rsidRDefault="001E69D0" w:rsidP="0031367D">
      <w:pPr>
        <w:pStyle w:val="Consumerreportbullets"/>
      </w:pPr>
      <w:bookmarkStart w:id="779" w:name="_Hlk120696720"/>
      <w:r w:rsidRPr="001E69D0">
        <w:t>giving people more autonomy and choice over their treatment – as is afforded for any other prescription medicine – by allowing people to choose their medicine type without pressure, allowing longer periods between prescriptions and providing more takeaway doses</w:t>
      </w:r>
    </w:p>
    <w:bookmarkEnd w:id="779"/>
    <w:p w14:paraId="629B6061" w14:textId="77777777" w:rsidR="001E69D0" w:rsidRPr="001E69D0" w:rsidRDefault="001E69D0" w:rsidP="0031367D">
      <w:pPr>
        <w:pStyle w:val="Consumerreportbullets"/>
      </w:pPr>
      <w:r w:rsidRPr="001E69D0">
        <w:t>involving more people with lived or living experience in the process, to help provide realistic information to participants and to support and advocate for them</w:t>
      </w:r>
    </w:p>
    <w:p w14:paraId="7DCD549B" w14:textId="77777777" w:rsidR="001E69D0" w:rsidRPr="001E69D0" w:rsidRDefault="001E69D0" w:rsidP="0031367D">
      <w:pPr>
        <w:pStyle w:val="Consumerreportbullets"/>
      </w:pPr>
      <w:r w:rsidRPr="001E69D0">
        <w:t>providing education to health workers and pharmacy staff, to reduce stigma and judgement</w:t>
      </w:r>
    </w:p>
    <w:p w14:paraId="4933C9AD" w14:textId="77777777" w:rsidR="001E69D0" w:rsidRPr="001E69D0" w:rsidRDefault="001E69D0" w:rsidP="0031367D">
      <w:pPr>
        <w:pStyle w:val="Consumerreportbullets"/>
      </w:pPr>
      <w:r w:rsidRPr="001E69D0">
        <w:t>placing a time limit on medical records for people who have successfully exited the program</w:t>
      </w:r>
    </w:p>
    <w:p w14:paraId="62CCC5FE" w14:textId="77777777" w:rsidR="001E69D0" w:rsidRPr="001E69D0" w:rsidRDefault="001E69D0" w:rsidP="0031367D">
      <w:pPr>
        <w:pStyle w:val="Consumerreportbullets"/>
      </w:pPr>
      <w:r w:rsidRPr="001E69D0">
        <w:t>providing more parallel support for those who want it, such as counselling, education and training to improve employment prospects.</w:t>
      </w:r>
    </w:p>
    <w:p w14:paraId="64D47A70" w14:textId="77777777" w:rsidR="001E69D0" w:rsidRPr="001E69D0" w:rsidRDefault="001E69D0" w:rsidP="001E69D0">
      <w:pPr>
        <w:spacing w:line="240" w:lineRule="auto"/>
        <w:ind w:left="360"/>
        <w:jc w:val="left"/>
        <w:rPr>
          <w:rFonts w:eastAsia="Times New Roman"/>
          <w:color w:val="000000"/>
          <w:sz w:val="22"/>
          <w:szCs w:val="20"/>
        </w:rPr>
      </w:pPr>
    </w:p>
    <w:p w14:paraId="4669FA5F" w14:textId="77777777" w:rsidR="001E69D0" w:rsidRPr="001E69D0" w:rsidRDefault="001E69D0" w:rsidP="001E69D0">
      <w:pPr>
        <w:spacing w:line="240" w:lineRule="auto"/>
        <w:ind w:left="360"/>
        <w:jc w:val="left"/>
        <w:rPr>
          <w:rFonts w:eastAsia="Times New Roman"/>
          <w:color w:val="000000"/>
          <w:sz w:val="22"/>
          <w:szCs w:val="20"/>
        </w:rPr>
      </w:pPr>
    </w:p>
    <w:p w14:paraId="6AB6E6A0" w14:textId="77777777" w:rsidR="001E69D0" w:rsidRPr="001E69D0" w:rsidRDefault="001E69D0" w:rsidP="001E69D0">
      <w:pPr>
        <w:spacing w:after="240" w:line="240" w:lineRule="auto"/>
        <w:ind w:left="720" w:right="720"/>
        <w:jc w:val="left"/>
        <w:rPr>
          <w:rFonts w:eastAsia="Times New Roman"/>
          <w:color w:val="000000"/>
          <w:sz w:val="20"/>
          <w:szCs w:val="20"/>
        </w:rPr>
      </w:pPr>
      <w:bookmarkStart w:id="780" w:name="_Appendix_1_Participant"/>
      <w:bookmarkEnd w:id="780"/>
      <w:r w:rsidRPr="001E69D0">
        <w:rPr>
          <w:rFonts w:eastAsia="Times New Roman"/>
          <w:color w:val="000000"/>
          <w:sz w:val="20"/>
          <w:szCs w:val="20"/>
        </w:rPr>
        <w:t>I’m just really glad that you’re doing this, and I really, really hope that there can be some changes made to the current program, and hopefully one day it will be on the PBS.</w:t>
      </w:r>
    </w:p>
    <w:p w14:paraId="05BA7958" w14:textId="77777777" w:rsidR="001E69D0" w:rsidRPr="001E69D0" w:rsidRDefault="001E69D0" w:rsidP="001725C8">
      <w:pPr>
        <w:keepNext/>
        <w:pageBreakBefore/>
        <w:spacing w:after="480" w:line="240" w:lineRule="auto"/>
        <w:ind w:left="720" w:hanging="720"/>
        <w:jc w:val="left"/>
        <w:outlineLvl w:val="2"/>
        <w:rPr>
          <w:rFonts w:ascii="Open Sans" w:eastAsia="Times New Roman" w:hAnsi="Open Sans" w:cs="Open Sans"/>
          <w:b/>
          <w:bCs/>
          <w:noProof/>
          <w:color w:val="008CA6"/>
          <w:kern w:val="32"/>
          <w:sz w:val="40"/>
          <w:szCs w:val="40"/>
        </w:rPr>
      </w:pPr>
      <w:bookmarkStart w:id="781" w:name="_Appendix_1:_Participant"/>
      <w:bookmarkStart w:id="782" w:name="_Toc121231623"/>
      <w:bookmarkEnd w:id="781"/>
      <w:r w:rsidRPr="001E69D0">
        <w:rPr>
          <w:rFonts w:ascii="Open Sans" w:eastAsia="Times New Roman" w:hAnsi="Open Sans" w:cs="Open Sans"/>
          <w:b/>
          <w:bCs/>
          <w:noProof/>
          <w:color w:val="008CA6"/>
          <w:kern w:val="32"/>
          <w:sz w:val="40"/>
          <w:szCs w:val="40"/>
        </w:rPr>
        <w:lastRenderedPageBreak/>
        <w:t>Appendix 1: Participant characteristics</w:t>
      </w:r>
      <w:bookmarkEnd w:id="782"/>
    </w:p>
    <w:tbl>
      <w:tblPr>
        <w:tblW w:w="76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825"/>
        <w:gridCol w:w="3825"/>
      </w:tblGrid>
      <w:tr w:rsidR="001E69D0" w:rsidRPr="001E69D0" w14:paraId="66F0DCAF" w14:textId="77777777" w:rsidTr="00B20417">
        <w:trPr>
          <w:cantSplit/>
          <w:tblHeader/>
        </w:trPr>
        <w:tc>
          <w:tcPr>
            <w:tcW w:w="3825" w:type="dxa"/>
          </w:tcPr>
          <w:p w14:paraId="5DCDEA0D" w14:textId="77777777" w:rsidR="001E69D0" w:rsidRPr="001E69D0" w:rsidRDefault="001E69D0" w:rsidP="001E69D0">
            <w:pPr>
              <w:keepNext/>
              <w:spacing w:before="60" w:after="60" w:line="240" w:lineRule="auto"/>
              <w:jc w:val="left"/>
              <w:rPr>
                <w:rFonts w:eastAsia="Times New Roman"/>
                <w:b/>
                <w:bCs/>
                <w:color w:val="008CA6"/>
                <w:sz w:val="21"/>
                <w:szCs w:val="21"/>
              </w:rPr>
            </w:pPr>
            <w:r w:rsidRPr="001E69D0">
              <w:rPr>
                <w:rFonts w:eastAsia="Times New Roman"/>
                <w:b/>
                <w:bCs/>
                <w:color w:val="008CA6"/>
                <w:sz w:val="21"/>
                <w:szCs w:val="21"/>
              </w:rPr>
              <w:t>Characteristics</w:t>
            </w:r>
          </w:p>
        </w:tc>
        <w:tc>
          <w:tcPr>
            <w:tcW w:w="3825" w:type="dxa"/>
            <w:vAlign w:val="bottom"/>
          </w:tcPr>
          <w:p w14:paraId="3F98E0B2" w14:textId="77777777" w:rsidR="001E69D0" w:rsidRPr="001E69D0" w:rsidRDefault="001E69D0" w:rsidP="001E69D0">
            <w:pPr>
              <w:keepNext/>
              <w:spacing w:before="60" w:after="60" w:line="240" w:lineRule="auto"/>
              <w:jc w:val="right"/>
              <w:rPr>
                <w:rFonts w:eastAsia="Times New Roman"/>
                <w:b/>
                <w:bCs/>
                <w:color w:val="008CA6"/>
                <w:sz w:val="21"/>
                <w:szCs w:val="21"/>
              </w:rPr>
            </w:pPr>
            <w:r w:rsidRPr="001E69D0">
              <w:rPr>
                <w:rFonts w:eastAsia="Times New Roman"/>
                <w:b/>
                <w:bCs/>
                <w:color w:val="008CA6"/>
                <w:sz w:val="21"/>
                <w:szCs w:val="21"/>
              </w:rPr>
              <w:t>Number</w:t>
            </w:r>
          </w:p>
        </w:tc>
      </w:tr>
      <w:tr w:rsidR="001E69D0" w:rsidRPr="001E69D0" w14:paraId="145D957C" w14:textId="77777777" w:rsidTr="00B20417">
        <w:trPr>
          <w:cantSplit/>
        </w:trPr>
        <w:tc>
          <w:tcPr>
            <w:tcW w:w="7650" w:type="dxa"/>
            <w:gridSpan w:val="2"/>
            <w:vAlign w:val="bottom"/>
          </w:tcPr>
          <w:p w14:paraId="414F257A" w14:textId="77777777" w:rsidR="001E69D0" w:rsidRPr="001E69D0" w:rsidRDefault="001E69D0" w:rsidP="001E69D0">
            <w:pPr>
              <w:keepNext/>
              <w:spacing w:before="60" w:after="60" w:line="240" w:lineRule="auto"/>
              <w:jc w:val="left"/>
              <w:rPr>
                <w:rFonts w:eastAsia="Times New Roman"/>
                <w:color w:val="000000"/>
                <w:sz w:val="21"/>
                <w:szCs w:val="21"/>
              </w:rPr>
            </w:pPr>
            <w:r w:rsidRPr="001E69D0">
              <w:rPr>
                <w:rFonts w:eastAsia="Times New Roman"/>
                <w:color w:val="000000"/>
                <w:sz w:val="21"/>
                <w:szCs w:val="21"/>
              </w:rPr>
              <w:t>Gender</w:t>
            </w:r>
          </w:p>
        </w:tc>
      </w:tr>
      <w:tr w:rsidR="001E69D0" w:rsidRPr="001E69D0" w14:paraId="7401D9AF" w14:textId="77777777" w:rsidTr="00B20417">
        <w:trPr>
          <w:cantSplit/>
        </w:trPr>
        <w:tc>
          <w:tcPr>
            <w:tcW w:w="3825" w:type="dxa"/>
          </w:tcPr>
          <w:p w14:paraId="653C798E" w14:textId="77777777" w:rsidR="001E69D0" w:rsidRPr="001E69D0" w:rsidRDefault="001E69D0" w:rsidP="001E69D0">
            <w:pPr>
              <w:keepNext/>
              <w:spacing w:before="60" w:after="60" w:line="240" w:lineRule="auto"/>
              <w:ind w:left="227"/>
              <w:jc w:val="left"/>
              <w:rPr>
                <w:rFonts w:eastAsia="Times New Roman"/>
                <w:color w:val="000000"/>
                <w:sz w:val="21"/>
                <w:szCs w:val="21"/>
              </w:rPr>
            </w:pPr>
            <w:r w:rsidRPr="001E69D0">
              <w:rPr>
                <w:rFonts w:eastAsia="Times New Roman"/>
                <w:color w:val="000000"/>
                <w:sz w:val="21"/>
                <w:szCs w:val="21"/>
              </w:rPr>
              <w:t>Male</w:t>
            </w:r>
          </w:p>
        </w:tc>
        <w:tc>
          <w:tcPr>
            <w:tcW w:w="3825" w:type="dxa"/>
            <w:vAlign w:val="bottom"/>
          </w:tcPr>
          <w:p w14:paraId="5C102FAD" w14:textId="77777777" w:rsidR="001E69D0" w:rsidRPr="001E69D0" w:rsidRDefault="001E69D0" w:rsidP="001E69D0">
            <w:pPr>
              <w:keepNext/>
              <w:spacing w:before="60" w:after="60" w:line="240" w:lineRule="auto"/>
              <w:jc w:val="right"/>
              <w:rPr>
                <w:rFonts w:eastAsia="Times New Roman"/>
                <w:color w:val="000000"/>
                <w:sz w:val="21"/>
                <w:szCs w:val="21"/>
              </w:rPr>
            </w:pPr>
            <w:r w:rsidRPr="001E69D0">
              <w:rPr>
                <w:rFonts w:eastAsia="Times New Roman"/>
                <w:color w:val="000000"/>
                <w:sz w:val="21"/>
                <w:szCs w:val="21"/>
              </w:rPr>
              <w:t>54</w:t>
            </w:r>
          </w:p>
        </w:tc>
      </w:tr>
      <w:tr w:rsidR="001E69D0" w:rsidRPr="001E69D0" w14:paraId="385DBBC8" w14:textId="77777777" w:rsidTr="00B20417">
        <w:trPr>
          <w:cantSplit/>
        </w:trPr>
        <w:tc>
          <w:tcPr>
            <w:tcW w:w="3825" w:type="dxa"/>
          </w:tcPr>
          <w:p w14:paraId="0609069D" w14:textId="77777777" w:rsidR="001E69D0" w:rsidRPr="001E69D0" w:rsidRDefault="001E69D0" w:rsidP="001E69D0">
            <w:pPr>
              <w:keepNext/>
              <w:spacing w:before="60" w:after="60" w:line="240" w:lineRule="auto"/>
              <w:ind w:left="227"/>
              <w:jc w:val="left"/>
              <w:rPr>
                <w:rFonts w:eastAsia="Times New Roman"/>
                <w:color w:val="000000"/>
                <w:sz w:val="21"/>
                <w:szCs w:val="21"/>
              </w:rPr>
            </w:pPr>
            <w:r w:rsidRPr="001E69D0">
              <w:rPr>
                <w:rFonts w:eastAsia="Times New Roman"/>
                <w:color w:val="000000"/>
                <w:sz w:val="21"/>
                <w:szCs w:val="21"/>
              </w:rPr>
              <w:t>Female</w:t>
            </w:r>
          </w:p>
        </w:tc>
        <w:tc>
          <w:tcPr>
            <w:tcW w:w="3825" w:type="dxa"/>
            <w:vAlign w:val="bottom"/>
          </w:tcPr>
          <w:p w14:paraId="234F6837" w14:textId="77777777" w:rsidR="001E69D0" w:rsidRPr="001E69D0" w:rsidRDefault="001E69D0" w:rsidP="001E69D0">
            <w:pPr>
              <w:keepNext/>
              <w:spacing w:before="60" w:after="60" w:line="240" w:lineRule="auto"/>
              <w:jc w:val="right"/>
              <w:rPr>
                <w:rFonts w:eastAsia="Times New Roman"/>
                <w:color w:val="000000"/>
                <w:sz w:val="21"/>
                <w:szCs w:val="21"/>
              </w:rPr>
            </w:pPr>
            <w:r w:rsidRPr="001E69D0">
              <w:rPr>
                <w:rFonts w:eastAsia="Times New Roman"/>
                <w:color w:val="000000"/>
                <w:sz w:val="21"/>
                <w:szCs w:val="21"/>
              </w:rPr>
              <w:t>51</w:t>
            </w:r>
          </w:p>
        </w:tc>
      </w:tr>
      <w:tr w:rsidR="001E69D0" w:rsidRPr="001E69D0" w14:paraId="6691F92B" w14:textId="77777777" w:rsidTr="00B20417">
        <w:trPr>
          <w:cantSplit/>
        </w:trPr>
        <w:tc>
          <w:tcPr>
            <w:tcW w:w="3825" w:type="dxa"/>
          </w:tcPr>
          <w:p w14:paraId="7EF9AB2A" w14:textId="77777777" w:rsidR="001E69D0" w:rsidRPr="001E69D0" w:rsidRDefault="001E69D0" w:rsidP="001E69D0">
            <w:pPr>
              <w:keepNext/>
              <w:spacing w:before="60" w:after="60" w:line="240" w:lineRule="auto"/>
              <w:ind w:left="227"/>
              <w:jc w:val="left"/>
              <w:rPr>
                <w:rFonts w:eastAsia="Times New Roman"/>
                <w:color w:val="000000"/>
                <w:sz w:val="21"/>
                <w:szCs w:val="21"/>
              </w:rPr>
            </w:pPr>
            <w:r w:rsidRPr="001E69D0">
              <w:rPr>
                <w:rFonts w:eastAsia="Times New Roman"/>
                <w:color w:val="000000"/>
                <w:sz w:val="21"/>
                <w:szCs w:val="21"/>
              </w:rPr>
              <w:t>Non-binary</w:t>
            </w:r>
          </w:p>
        </w:tc>
        <w:tc>
          <w:tcPr>
            <w:tcW w:w="3825" w:type="dxa"/>
            <w:vAlign w:val="bottom"/>
          </w:tcPr>
          <w:p w14:paraId="4B285D59" w14:textId="77777777" w:rsidR="001E69D0" w:rsidRPr="001E69D0" w:rsidRDefault="001E69D0" w:rsidP="001E69D0">
            <w:pPr>
              <w:keepNext/>
              <w:spacing w:before="60" w:after="60" w:line="240" w:lineRule="auto"/>
              <w:jc w:val="right"/>
              <w:rPr>
                <w:rFonts w:eastAsia="Times New Roman"/>
                <w:color w:val="000000"/>
                <w:sz w:val="21"/>
                <w:szCs w:val="21"/>
              </w:rPr>
            </w:pPr>
            <w:r w:rsidRPr="001E69D0">
              <w:rPr>
                <w:rFonts w:eastAsia="Times New Roman"/>
                <w:color w:val="000000"/>
                <w:sz w:val="21"/>
                <w:szCs w:val="21"/>
              </w:rPr>
              <w:t>1</w:t>
            </w:r>
          </w:p>
        </w:tc>
      </w:tr>
      <w:tr w:rsidR="001E69D0" w:rsidRPr="001E69D0" w14:paraId="673AAC6B" w14:textId="77777777" w:rsidTr="00B20417">
        <w:trPr>
          <w:cantSplit/>
        </w:trPr>
        <w:tc>
          <w:tcPr>
            <w:tcW w:w="7650" w:type="dxa"/>
            <w:gridSpan w:val="2"/>
            <w:vAlign w:val="bottom"/>
          </w:tcPr>
          <w:p w14:paraId="0910DEA9" w14:textId="77777777" w:rsidR="001E69D0" w:rsidRPr="001E69D0" w:rsidRDefault="001E69D0" w:rsidP="001E69D0">
            <w:pPr>
              <w:keepNext/>
              <w:spacing w:before="60" w:after="60" w:line="240" w:lineRule="auto"/>
              <w:jc w:val="left"/>
              <w:rPr>
                <w:rFonts w:eastAsia="Times New Roman"/>
                <w:color w:val="000000"/>
                <w:sz w:val="21"/>
                <w:szCs w:val="21"/>
              </w:rPr>
            </w:pPr>
            <w:r w:rsidRPr="001E69D0">
              <w:rPr>
                <w:rFonts w:eastAsia="Times New Roman"/>
                <w:color w:val="000000"/>
                <w:sz w:val="21"/>
                <w:szCs w:val="21"/>
              </w:rPr>
              <w:t>Age group</w:t>
            </w:r>
          </w:p>
        </w:tc>
      </w:tr>
      <w:tr w:rsidR="001E69D0" w:rsidRPr="001E69D0" w14:paraId="0D63F2BE" w14:textId="77777777" w:rsidTr="00B20417">
        <w:trPr>
          <w:cantSplit/>
        </w:trPr>
        <w:tc>
          <w:tcPr>
            <w:tcW w:w="3825" w:type="dxa"/>
          </w:tcPr>
          <w:p w14:paraId="50F57975" w14:textId="77777777" w:rsidR="001E69D0" w:rsidRPr="001E69D0" w:rsidRDefault="001E69D0" w:rsidP="001E69D0">
            <w:pPr>
              <w:keepNext/>
              <w:spacing w:before="60" w:after="60" w:line="240" w:lineRule="auto"/>
              <w:ind w:left="227"/>
              <w:jc w:val="left"/>
              <w:rPr>
                <w:rFonts w:eastAsia="Times New Roman"/>
                <w:color w:val="000000"/>
                <w:sz w:val="21"/>
                <w:szCs w:val="21"/>
              </w:rPr>
            </w:pPr>
            <w:r w:rsidRPr="001E69D0">
              <w:rPr>
                <w:rFonts w:eastAsia="Times New Roman"/>
                <w:color w:val="000000"/>
                <w:sz w:val="21"/>
                <w:szCs w:val="21"/>
              </w:rPr>
              <w:t>20–29 years</w:t>
            </w:r>
          </w:p>
        </w:tc>
        <w:tc>
          <w:tcPr>
            <w:tcW w:w="3825" w:type="dxa"/>
            <w:vAlign w:val="bottom"/>
          </w:tcPr>
          <w:p w14:paraId="74416F9E" w14:textId="77777777" w:rsidR="001E69D0" w:rsidRPr="001E69D0" w:rsidRDefault="001E69D0" w:rsidP="001E69D0">
            <w:pPr>
              <w:keepNext/>
              <w:spacing w:before="60" w:after="60" w:line="240" w:lineRule="auto"/>
              <w:jc w:val="right"/>
              <w:rPr>
                <w:rFonts w:eastAsia="Times New Roman"/>
                <w:color w:val="000000"/>
                <w:sz w:val="21"/>
                <w:szCs w:val="21"/>
              </w:rPr>
            </w:pPr>
            <w:r w:rsidRPr="001E69D0">
              <w:rPr>
                <w:rFonts w:eastAsia="Times New Roman"/>
                <w:color w:val="000000"/>
                <w:sz w:val="21"/>
                <w:szCs w:val="21"/>
              </w:rPr>
              <w:t>7</w:t>
            </w:r>
          </w:p>
        </w:tc>
      </w:tr>
      <w:tr w:rsidR="001E69D0" w:rsidRPr="001E69D0" w14:paraId="6AEE6CE0" w14:textId="77777777" w:rsidTr="00B20417">
        <w:trPr>
          <w:cantSplit/>
        </w:trPr>
        <w:tc>
          <w:tcPr>
            <w:tcW w:w="3825" w:type="dxa"/>
          </w:tcPr>
          <w:p w14:paraId="4E641DB1" w14:textId="77777777" w:rsidR="001E69D0" w:rsidRPr="001E69D0" w:rsidRDefault="001E69D0" w:rsidP="001E69D0">
            <w:pPr>
              <w:keepNext/>
              <w:spacing w:before="60" w:after="60" w:line="240" w:lineRule="auto"/>
              <w:ind w:left="227"/>
              <w:jc w:val="left"/>
              <w:rPr>
                <w:rFonts w:eastAsia="Times New Roman"/>
                <w:color w:val="000000"/>
                <w:sz w:val="21"/>
                <w:szCs w:val="21"/>
              </w:rPr>
            </w:pPr>
            <w:r w:rsidRPr="001E69D0">
              <w:rPr>
                <w:rFonts w:eastAsia="Times New Roman"/>
                <w:color w:val="000000"/>
                <w:sz w:val="21"/>
                <w:szCs w:val="21"/>
              </w:rPr>
              <w:t>30–39 years</w:t>
            </w:r>
          </w:p>
        </w:tc>
        <w:tc>
          <w:tcPr>
            <w:tcW w:w="3825" w:type="dxa"/>
            <w:vAlign w:val="bottom"/>
          </w:tcPr>
          <w:p w14:paraId="71D3F1C1" w14:textId="77777777" w:rsidR="001E69D0" w:rsidRPr="001E69D0" w:rsidRDefault="001E69D0" w:rsidP="001E69D0">
            <w:pPr>
              <w:keepNext/>
              <w:spacing w:before="60" w:after="60" w:line="240" w:lineRule="auto"/>
              <w:jc w:val="right"/>
              <w:rPr>
                <w:rFonts w:eastAsia="Times New Roman"/>
                <w:color w:val="000000"/>
                <w:sz w:val="21"/>
                <w:szCs w:val="21"/>
              </w:rPr>
            </w:pPr>
            <w:r w:rsidRPr="001E69D0">
              <w:rPr>
                <w:rFonts w:eastAsia="Times New Roman"/>
                <w:color w:val="000000"/>
                <w:sz w:val="21"/>
                <w:szCs w:val="21"/>
              </w:rPr>
              <w:t>18</w:t>
            </w:r>
          </w:p>
        </w:tc>
      </w:tr>
      <w:tr w:rsidR="001E69D0" w:rsidRPr="001E69D0" w14:paraId="502D2A49" w14:textId="77777777" w:rsidTr="00B20417">
        <w:trPr>
          <w:cantSplit/>
        </w:trPr>
        <w:tc>
          <w:tcPr>
            <w:tcW w:w="3825" w:type="dxa"/>
          </w:tcPr>
          <w:p w14:paraId="57D3BFA4" w14:textId="77777777" w:rsidR="001E69D0" w:rsidRPr="001E69D0" w:rsidRDefault="001E69D0" w:rsidP="001E69D0">
            <w:pPr>
              <w:keepNext/>
              <w:spacing w:before="60" w:after="60" w:line="240" w:lineRule="auto"/>
              <w:ind w:left="227"/>
              <w:jc w:val="left"/>
              <w:rPr>
                <w:rFonts w:eastAsia="Times New Roman"/>
                <w:color w:val="000000"/>
                <w:sz w:val="21"/>
                <w:szCs w:val="21"/>
              </w:rPr>
            </w:pPr>
            <w:r w:rsidRPr="001E69D0">
              <w:rPr>
                <w:rFonts w:eastAsia="Times New Roman"/>
                <w:color w:val="000000"/>
                <w:sz w:val="21"/>
                <w:szCs w:val="21"/>
              </w:rPr>
              <w:t>40–49 years</w:t>
            </w:r>
          </w:p>
        </w:tc>
        <w:tc>
          <w:tcPr>
            <w:tcW w:w="3825" w:type="dxa"/>
            <w:vAlign w:val="bottom"/>
          </w:tcPr>
          <w:p w14:paraId="716BD090" w14:textId="77777777" w:rsidR="001E69D0" w:rsidRPr="001E69D0" w:rsidRDefault="001E69D0" w:rsidP="001E69D0">
            <w:pPr>
              <w:keepNext/>
              <w:spacing w:before="60" w:after="60" w:line="240" w:lineRule="auto"/>
              <w:jc w:val="right"/>
              <w:rPr>
                <w:rFonts w:eastAsia="Times New Roman"/>
                <w:color w:val="000000"/>
                <w:sz w:val="21"/>
                <w:szCs w:val="21"/>
              </w:rPr>
            </w:pPr>
            <w:r w:rsidRPr="001E69D0">
              <w:rPr>
                <w:rFonts w:eastAsia="Times New Roman"/>
                <w:color w:val="000000"/>
                <w:sz w:val="21"/>
                <w:szCs w:val="21"/>
              </w:rPr>
              <w:t>35</w:t>
            </w:r>
          </w:p>
        </w:tc>
      </w:tr>
      <w:tr w:rsidR="001E69D0" w:rsidRPr="001E69D0" w14:paraId="725631F0" w14:textId="77777777" w:rsidTr="00B20417">
        <w:trPr>
          <w:cantSplit/>
        </w:trPr>
        <w:tc>
          <w:tcPr>
            <w:tcW w:w="3825" w:type="dxa"/>
          </w:tcPr>
          <w:p w14:paraId="6FBC03AA" w14:textId="77777777" w:rsidR="001E69D0" w:rsidRPr="001E69D0" w:rsidRDefault="001E69D0" w:rsidP="001E69D0">
            <w:pPr>
              <w:keepNext/>
              <w:spacing w:before="60" w:after="60" w:line="240" w:lineRule="auto"/>
              <w:ind w:left="227"/>
              <w:jc w:val="left"/>
              <w:rPr>
                <w:rFonts w:eastAsia="Times New Roman"/>
                <w:color w:val="000000"/>
                <w:sz w:val="21"/>
                <w:szCs w:val="21"/>
              </w:rPr>
            </w:pPr>
            <w:r w:rsidRPr="001E69D0">
              <w:rPr>
                <w:rFonts w:eastAsia="Times New Roman"/>
                <w:color w:val="000000"/>
                <w:sz w:val="21"/>
                <w:szCs w:val="21"/>
              </w:rPr>
              <w:t>50–59 years</w:t>
            </w:r>
          </w:p>
        </w:tc>
        <w:tc>
          <w:tcPr>
            <w:tcW w:w="3825" w:type="dxa"/>
            <w:vAlign w:val="bottom"/>
          </w:tcPr>
          <w:p w14:paraId="1AE58619" w14:textId="77777777" w:rsidR="001E69D0" w:rsidRPr="001E69D0" w:rsidRDefault="001E69D0" w:rsidP="001E69D0">
            <w:pPr>
              <w:keepNext/>
              <w:spacing w:before="60" w:after="60" w:line="240" w:lineRule="auto"/>
              <w:jc w:val="right"/>
              <w:rPr>
                <w:rFonts w:eastAsia="Times New Roman"/>
                <w:color w:val="000000"/>
                <w:sz w:val="21"/>
                <w:szCs w:val="21"/>
              </w:rPr>
            </w:pPr>
            <w:r w:rsidRPr="001E69D0">
              <w:rPr>
                <w:rFonts w:eastAsia="Times New Roman"/>
                <w:color w:val="000000"/>
                <w:sz w:val="21"/>
                <w:szCs w:val="21"/>
              </w:rPr>
              <w:t>29</w:t>
            </w:r>
          </w:p>
        </w:tc>
      </w:tr>
      <w:tr w:rsidR="001E69D0" w:rsidRPr="001E69D0" w14:paraId="62570540" w14:textId="77777777" w:rsidTr="00B20417">
        <w:trPr>
          <w:cantSplit/>
        </w:trPr>
        <w:tc>
          <w:tcPr>
            <w:tcW w:w="3825" w:type="dxa"/>
          </w:tcPr>
          <w:p w14:paraId="6FC6C19D" w14:textId="77777777" w:rsidR="001E69D0" w:rsidRPr="001E69D0" w:rsidRDefault="001E69D0" w:rsidP="001E69D0">
            <w:pPr>
              <w:keepNext/>
              <w:spacing w:before="60" w:after="60" w:line="240" w:lineRule="auto"/>
              <w:ind w:left="227"/>
              <w:jc w:val="left"/>
              <w:rPr>
                <w:rFonts w:eastAsia="Times New Roman"/>
                <w:color w:val="000000"/>
                <w:sz w:val="21"/>
                <w:szCs w:val="21"/>
              </w:rPr>
            </w:pPr>
            <w:r w:rsidRPr="001E69D0">
              <w:rPr>
                <w:rFonts w:eastAsia="Times New Roman"/>
                <w:color w:val="000000"/>
                <w:sz w:val="21"/>
                <w:szCs w:val="21"/>
              </w:rPr>
              <w:t>60–69 years</w:t>
            </w:r>
          </w:p>
        </w:tc>
        <w:tc>
          <w:tcPr>
            <w:tcW w:w="3825" w:type="dxa"/>
            <w:vAlign w:val="bottom"/>
          </w:tcPr>
          <w:p w14:paraId="36FEA6F0" w14:textId="77777777" w:rsidR="001E69D0" w:rsidRPr="001E69D0" w:rsidRDefault="001E69D0" w:rsidP="001E69D0">
            <w:pPr>
              <w:keepNext/>
              <w:spacing w:before="60" w:after="60" w:line="240" w:lineRule="auto"/>
              <w:jc w:val="right"/>
              <w:rPr>
                <w:rFonts w:eastAsia="Times New Roman"/>
                <w:color w:val="000000"/>
                <w:sz w:val="21"/>
                <w:szCs w:val="21"/>
              </w:rPr>
            </w:pPr>
            <w:r w:rsidRPr="001E69D0">
              <w:rPr>
                <w:rFonts w:eastAsia="Times New Roman"/>
                <w:color w:val="000000"/>
                <w:sz w:val="21"/>
                <w:szCs w:val="21"/>
              </w:rPr>
              <w:t>17</w:t>
            </w:r>
          </w:p>
        </w:tc>
      </w:tr>
      <w:tr w:rsidR="001E69D0" w:rsidRPr="001E69D0" w14:paraId="4A5788FC" w14:textId="77777777" w:rsidTr="00B20417">
        <w:trPr>
          <w:cantSplit/>
        </w:trPr>
        <w:tc>
          <w:tcPr>
            <w:tcW w:w="3825" w:type="dxa"/>
          </w:tcPr>
          <w:p w14:paraId="3F714DB4" w14:textId="77777777" w:rsidR="001E69D0" w:rsidRPr="001E69D0" w:rsidRDefault="001E69D0" w:rsidP="001E69D0">
            <w:pPr>
              <w:keepNext/>
              <w:spacing w:before="60" w:after="60" w:line="240" w:lineRule="auto"/>
              <w:jc w:val="left"/>
              <w:rPr>
                <w:rFonts w:eastAsia="Times New Roman"/>
                <w:color w:val="000000"/>
                <w:sz w:val="21"/>
                <w:szCs w:val="21"/>
              </w:rPr>
            </w:pPr>
            <w:r w:rsidRPr="001E69D0">
              <w:rPr>
                <w:rFonts w:eastAsia="Times New Roman"/>
                <w:color w:val="000000"/>
                <w:sz w:val="21"/>
                <w:szCs w:val="21"/>
              </w:rPr>
              <w:t>First Nations person</w:t>
            </w:r>
          </w:p>
        </w:tc>
        <w:tc>
          <w:tcPr>
            <w:tcW w:w="3825" w:type="dxa"/>
            <w:vAlign w:val="bottom"/>
          </w:tcPr>
          <w:p w14:paraId="78BEC9FB" w14:textId="77777777" w:rsidR="001E69D0" w:rsidRPr="001E69D0" w:rsidRDefault="001E69D0" w:rsidP="001E69D0">
            <w:pPr>
              <w:keepNext/>
              <w:spacing w:before="60" w:after="60" w:line="240" w:lineRule="auto"/>
              <w:jc w:val="right"/>
              <w:rPr>
                <w:rFonts w:eastAsia="Times New Roman"/>
                <w:color w:val="000000"/>
                <w:sz w:val="21"/>
                <w:szCs w:val="21"/>
              </w:rPr>
            </w:pPr>
            <w:r w:rsidRPr="001E69D0">
              <w:rPr>
                <w:rFonts w:eastAsia="Times New Roman"/>
                <w:color w:val="000000"/>
                <w:sz w:val="21"/>
                <w:szCs w:val="21"/>
              </w:rPr>
              <w:t>12</w:t>
            </w:r>
          </w:p>
        </w:tc>
      </w:tr>
      <w:tr w:rsidR="001E69D0" w:rsidRPr="001E69D0" w14:paraId="5E4B8ACB" w14:textId="77777777" w:rsidTr="00B20417">
        <w:trPr>
          <w:cantSplit/>
        </w:trPr>
        <w:tc>
          <w:tcPr>
            <w:tcW w:w="3825" w:type="dxa"/>
          </w:tcPr>
          <w:p w14:paraId="1B2F0D7B" w14:textId="77777777" w:rsidR="001E69D0" w:rsidRPr="001E69D0" w:rsidRDefault="001E69D0" w:rsidP="001E69D0">
            <w:pPr>
              <w:keepNext/>
              <w:spacing w:before="60" w:after="60" w:line="240" w:lineRule="auto"/>
              <w:jc w:val="left"/>
              <w:rPr>
                <w:rFonts w:eastAsia="Times New Roman"/>
                <w:color w:val="000000"/>
                <w:sz w:val="21"/>
                <w:szCs w:val="21"/>
              </w:rPr>
            </w:pPr>
            <w:r w:rsidRPr="001E69D0">
              <w:rPr>
                <w:rFonts w:eastAsia="Times New Roman"/>
                <w:color w:val="000000"/>
                <w:sz w:val="21"/>
                <w:szCs w:val="21"/>
              </w:rPr>
              <w:t>Regional/remote</w:t>
            </w:r>
          </w:p>
        </w:tc>
        <w:tc>
          <w:tcPr>
            <w:tcW w:w="3825" w:type="dxa"/>
            <w:vAlign w:val="bottom"/>
          </w:tcPr>
          <w:p w14:paraId="7724EAAB" w14:textId="77777777" w:rsidR="001E69D0" w:rsidRPr="001E69D0" w:rsidRDefault="001E69D0" w:rsidP="001E69D0">
            <w:pPr>
              <w:keepNext/>
              <w:spacing w:before="60" w:after="60" w:line="240" w:lineRule="auto"/>
              <w:jc w:val="right"/>
              <w:rPr>
                <w:rFonts w:eastAsia="Times New Roman"/>
                <w:color w:val="000000"/>
                <w:sz w:val="21"/>
                <w:szCs w:val="21"/>
              </w:rPr>
            </w:pPr>
            <w:r w:rsidRPr="001E69D0">
              <w:rPr>
                <w:rFonts w:eastAsia="Times New Roman"/>
                <w:color w:val="000000"/>
                <w:sz w:val="21"/>
                <w:szCs w:val="21"/>
              </w:rPr>
              <w:t>22</w:t>
            </w:r>
          </w:p>
        </w:tc>
      </w:tr>
      <w:tr w:rsidR="001E69D0" w:rsidRPr="001E69D0" w14:paraId="558D4971" w14:textId="77777777" w:rsidTr="00B20417">
        <w:trPr>
          <w:cantSplit/>
        </w:trPr>
        <w:tc>
          <w:tcPr>
            <w:tcW w:w="3825" w:type="dxa"/>
          </w:tcPr>
          <w:p w14:paraId="13188483" w14:textId="77777777" w:rsidR="001E69D0" w:rsidRPr="001E69D0" w:rsidRDefault="001E69D0" w:rsidP="001E69D0">
            <w:pPr>
              <w:keepNext/>
              <w:spacing w:before="60" w:after="60" w:line="240" w:lineRule="auto"/>
              <w:jc w:val="left"/>
              <w:rPr>
                <w:rFonts w:eastAsia="Times New Roman"/>
                <w:color w:val="000000"/>
                <w:sz w:val="21"/>
                <w:szCs w:val="21"/>
              </w:rPr>
            </w:pPr>
            <w:r w:rsidRPr="001E69D0">
              <w:rPr>
                <w:rFonts w:eastAsia="Times New Roman"/>
                <w:color w:val="000000"/>
                <w:sz w:val="21"/>
                <w:szCs w:val="21"/>
              </w:rPr>
              <w:t>Experiencing homelessness</w:t>
            </w:r>
          </w:p>
        </w:tc>
        <w:tc>
          <w:tcPr>
            <w:tcW w:w="3825" w:type="dxa"/>
            <w:vAlign w:val="bottom"/>
          </w:tcPr>
          <w:p w14:paraId="2EA0453F" w14:textId="77777777" w:rsidR="001E69D0" w:rsidRPr="001E69D0" w:rsidRDefault="001E69D0" w:rsidP="001E69D0">
            <w:pPr>
              <w:keepNext/>
              <w:spacing w:before="60" w:after="60" w:line="240" w:lineRule="auto"/>
              <w:jc w:val="right"/>
              <w:rPr>
                <w:rFonts w:eastAsia="Times New Roman"/>
                <w:color w:val="000000"/>
                <w:sz w:val="21"/>
                <w:szCs w:val="21"/>
              </w:rPr>
            </w:pPr>
            <w:r w:rsidRPr="001E69D0">
              <w:rPr>
                <w:rFonts w:eastAsia="Times New Roman"/>
                <w:color w:val="000000"/>
                <w:sz w:val="21"/>
                <w:szCs w:val="21"/>
              </w:rPr>
              <w:t>4</w:t>
            </w:r>
          </w:p>
        </w:tc>
      </w:tr>
      <w:tr w:rsidR="001E69D0" w:rsidRPr="001E69D0" w14:paraId="1F2AE4C3" w14:textId="77777777" w:rsidTr="00B20417">
        <w:trPr>
          <w:cantSplit/>
        </w:trPr>
        <w:tc>
          <w:tcPr>
            <w:tcW w:w="3825" w:type="dxa"/>
          </w:tcPr>
          <w:p w14:paraId="28475FCD" w14:textId="77777777" w:rsidR="001E69D0" w:rsidRPr="001E69D0" w:rsidRDefault="001E69D0" w:rsidP="001E69D0">
            <w:pPr>
              <w:keepNext/>
              <w:spacing w:before="60" w:after="60" w:line="240" w:lineRule="auto"/>
              <w:jc w:val="left"/>
              <w:rPr>
                <w:rFonts w:eastAsia="Times New Roman"/>
                <w:color w:val="000000"/>
                <w:sz w:val="21"/>
                <w:szCs w:val="21"/>
              </w:rPr>
            </w:pPr>
            <w:r w:rsidRPr="001E69D0">
              <w:rPr>
                <w:rFonts w:eastAsia="Times New Roman"/>
                <w:color w:val="000000"/>
                <w:sz w:val="21"/>
                <w:szCs w:val="21"/>
              </w:rPr>
              <w:t>Recently released from prison</w:t>
            </w:r>
          </w:p>
        </w:tc>
        <w:tc>
          <w:tcPr>
            <w:tcW w:w="3825" w:type="dxa"/>
            <w:vAlign w:val="bottom"/>
          </w:tcPr>
          <w:p w14:paraId="5532F697" w14:textId="77777777" w:rsidR="001E69D0" w:rsidRPr="001E69D0" w:rsidRDefault="001E69D0" w:rsidP="001E69D0">
            <w:pPr>
              <w:keepNext/>
              <w:spacing w:before="60" w:after="60" w:line="240" w:lineRule="auto"/>
              <w:jc w:val="right"/>
              <w:rPr>
                <w:rFonts w:eastAsia="Times New Roman"/>
                <w:color w:val="000000"/>
                <w:sz w:val="21"/>
                <w:szCs w:val="21"/>
              </w:rPr>
            </w:pPr>
            <w:r w:rsidRPr="001E69D0">
              <w:rPr>
                <w:rFonts w:eastAsia="Times New Roman"/>
                <w:color w:val="000000"/>
                <w:sz w:val="21"/>
                <w:szCs w:val="21"/>
              </w:rPr>
              <w:t>4</w:t>
            </w:r>
          </w:p>
        </w:tc>
      </w:tr>
      <w:tr w:rsidR="001E69D0" w:rsidRPr="001E69D0" w14:paraId="7102F7B8" w14:textId="77777777" w:rsidTr="00B20417">
        <w:trPr>
          <w:cantSplit/>
        </w:trPr>
        <w:tc>
          <w:tcPr>
            <w:tcW w:w="3825" w:type="dxa"/>
          </w:tcPr>
          <w:p w14:paraId="4B96C184" w14:textId="77777777" w:rsidR="001E69D0" w:rsidRPr="001E69D0" w:rsidRDefault="001E69D0" w:rsidP="001E69D0">
            <w:pPr>
              <w:keepNext/>
              <w:spacing w:before="60" w:after="60" w:line="240" w:lineRule="auto"/>
              <w:jc w:val="left"/>
              <w:rPr>
                <w:rFonts w:eastAsia="Times New Roman"/>
                <w:color w:val="000000"/>
                <w:sz w:val="21"/>
                <w:szCs w:val="21"/>
              </w:rPr>
            </w:pPr>
            <w:r w:rsidRPr="001E69D0">
              <w:rPr>
                <w:rFonts w:eastAsia="Times New Roman"/>
                <w:color w:val="000000"/>
                <w:sz w:val="21"/>
                <w:szCs w:val="21"/>
              </w:rPr>
              <w:t>Culturally and linguistically diverse</w:t>
            </w:r>
          </w:p>
        </w:tc>
        <w:tc>
          <w:tcPr>
            <w:tcW w:w="3825" w:type="dxa"/>
            <w:vAlign w:val="bottom"/>
          </w:tcPr>
          <w:p w14:paraId="718AB307" w14:textId="77777777" w:rsidR="001E69D0" w:rsidRPr="001E69D0" w:rsidRDefault="001E69D0" w:rsidP="001E69D0">
            <w:pPr>
              <w:keepNext/>
              <w:spacing w:before="60" w:after="60" w:line="240" w:lineRule="auto"/>
              <w:jc w:val="right"/>
              <w:rPr>
                <w:rFonts w:eastAsia="Times New Roman"/>
                <w:color w:val="000000"/>
                <w:sz w:val="21"/>
                <w:szCs w:val="21"/>
              </w:rPr>
            </w:pPr>
            <w:r w:rsidRPr="001E69D0">
              <w:rPr>
                <w:rFonts w:eastAsia="Times New Roman"/>
                <w:color w:val="000000"/>
                <w:sz w:val="21"/>
                <w:szCs w:val="21"/>
              </w:rPr>
              <w:t>1</w:t>
            </w:r>
          </w:p>
        </w:tc>
      </w:tr>
      <w:tr w:rsidR="001E69D0" w:rsidRPr="001E69D0" w14:paraId="49E2F442" w14:textId="77777777" w:rsidTr="00B20417">
        <w:trPr>
          <w:cantSplit/>
        </w:trPr>
        <w:tc>
          <w:tcPr>
            <w:tcW w:w="3825" w:type="dxa"/>
          </w:tcPr>
          <w:p w14:paraId="19E64881" w14:textId="77777777" w:rsidR="001E69D0" w:rsidRPr="001E69D0" w:rsidRDefault="001E69D0" w:rsidP="001E69D0">
            <w:pPr>
              <w:keepNext/>
              <w:spacing w:before="60" w:after="60" w:line="240" w:lineRule="auto"/>
              <w:jc w:val="left"/>
              <w:rPr>
                <w:rFonts w:eastAsia="Times New Roman"/>
                <w:color w:val="000000"/>
                <w:sz w:val="21"/>
                <w:szCs w:val="21"/>
              </w:rPr>
            </w:pPr>
            <w:r w:rsidRPr="001E69D0">
              <w:rPr>
                <w:rFonts w:eastAsia="Times New Roman"/>
                <w:color w:val="000000"/>
                <w:sz w:val="21"/>
                <w:szCs w:val="21"/>
              </w:rPr>
              <w:t>LGBTQIA+</w:t>
            </w:r>
          </w:p>
        </w:tc>
        <w:tc>
          <w:tcPr>
            <w:tcW w:w="3825" w:type="dxa"/>
            <w:vAlign w:val="bottom"/>
          </w:tcPr>
          <w:p w14:paraId="32783DAD" w14:textId="77777777" w:rsidR="001E69D0" w:rsidRPr="001E69D0" w:rsidRDefault="001E69D0" w:rsidP="001E69D0">
            <w:pPr>
              <w:keepNext/>
              <w:spacing w:before="60" w:after="60" w:line="240" w:lineRule="auto"/>
              <w:jc w:val="right"/>
              <w:rPr>
                <w:rFonts w:eastAsia="Times New Roman"/>
                <w:color w:val="000000"/>
                <w:sz w:val="21"/>
                <w:szCs w:val="21"/>
              </w:rPr>
            </w:pPr>
            <w:r w:rsidRPr="001E69D0">
              <w:rPr>
                <w:rFonts w:eastAsia="Times New Roman"/>
                <w:color w:val="000000"/>
                <w:sz w:val="21"/>
                <w:szCs w:val="21"/>
              </w:rPr>
              <w:t>9</w:t>
            </w:r>
          </w:p>
        </w:tc>
      </w:tr>
      <w:tr w:rsidR="001E69D0" w:rsidRPr="001E69D0" w14:paraId="2A1C8668" w14:textId="77777777" w:rsidTr="00B20417">
        <w:trPr>
          <w:cantSplit/>
        </w:trPr>
        <w:tc>
          <w:tcPr>
            <w:tcW w:w="3825" w:type="dxa"/>
          </w:tcPr>
          <w:p w14:paraId="22C15CB9" w14:textId="77777777" w:rsidR="001E69D0" w:rsidRPr="001E69D0" w:rsidRDefault="001E69D0" w:rsidP="001E69D0">
            <w:pPr>
              <w:keepNext/>
              <w:spacing w:before="60" w:after="60" w:line="240" w:lineRule="auto"/>
              <w:jc w:val="left"/>
              <w:rPr>
                <w:rFonts w:eastAsia="Times New Roman"/>
                <w:color w:val="000000"/>
                <w:sz w:val="21"/>
                <w:szCs w:val="21"/>
              </w:rPr>
            </w:pPr>
            <w:r w:rsidRPr="001E69D0">
              <w:rPr>
                <w:rFonts w:eastAsia="Times New Roman"/>
                <w:color w:val="000000"/>
                <w:sz w:val="21"/>
                <w:szCs w:val="21"/>
              </w:rPr>
              <w:t>Living with chronic pain</w:t>
            </w:r>
          </w:p>
        </w:tc>
        <w:tc>
          <w:tcPr>
            <w:tcW w:w="3825" w:type="dxa"/>
            <w:vAlign w:val="bottom"/>
          </w:tcPr>
          <w:p w14:paraId="6F0EE964" w14:textId="77777777" w:rsidR="001E69D0" w:rsidRPr="001E69D0" w:rsidRDefault="001E69D0" w:rsidP="001E69D0">
            <w:pPr>
              <w:keepNext/>
              <w:spacing w:before="60" w:after="60" w:line="240" w:lineRule="auto"/>
              <w:jc w:val="right"/>
              <w:rPr>
                <w:rFonts w:eastAsia="Times New Roman"/>
                <w:color w:val="000000"/>
                <w:sz w:val="21"/>
                <w:szCs w:val="21"/>
              </w:rPr>
            </w:pPr>
            <w:r w:rsidRPr="001E69D0">
              <w:rPr>
                <w:rFonts w:eastAsia="Times New Roman"/>
                <w:color w:val="000000"/>
                <w:sz w:val="21"/>
                <w:szCs w:val="21"/>
              </w:rPr>
              <w:t>25</w:t>
            </w:r>
          </w:p>
        </w:tc>
      </w:tr>
      <w:tr w:rsidR="001E69D0" w:rsidRPr="001E69D0" w14:paraId="4E63A3BF" w14:textId="77777777" w:rsidTr="00B20417">
        <w:trPr>
          <w:cantSplit/>
        </w:trPr>
        <w:tc>
          <w:tcPr>
            <w:tcW w:w="3825" w:type="dxa"/>
          </w:tcPr>
          <w:p w14:paraId="235D1EF9" w14:textId="77777777" w:rsidR="001E69D0" w:rsidRPr="001E69D0" w:rsidRDefault="001E69D0" w:rsidP="001E69D0">
            <w:pPr>
              <w:keepNext/>
              <w:spacing w:before="60" w:after="60" w:line="240" w:lineRule="auto"/>
              <w:jc w:val="left"/>
              <w:rPr>
                <w:rFonts w:eastAsia="Times New Roman"/>
                <w:b/>
                <w:bCs/>
                <w:color w:val="000000"/>
                <w:sz w:val="21"/>
                <w:szCs w:val="21"/>
              </w:rPr>
            </w:pPr>
            <w:r w:rsidRPr="001E69D0">
              <w:rPr>
                <w:rFonts w:eastAsia="Times New Roman"/>
                <w:b/>
                <w:bCs/>
                <w:color w:val="000000"/>
                <w:sz w:val="21"/>
                <w:szCs w:val="21"/>
              </w:rPr>
              <w:t>Total number of participants</w:t>
            </w:r>
          </w:p>
        </w:tc>
        <w:tc>
          <w:tcPr>
            <w:tcW w:w="3825" w:type="dxa"/>
            <w:vAlign w:val="bottom"/>
          </w:tcPr>
          <w:p w14:paraId="4679EC1B" w14:textId="77777777" w:rsidR="001E69D0" w:rsidRPr="001E69D0" w:rsidRDefault="001E69D0" w:rsidP="001E69D0">
            <w:pPr>
              <w:keepNext/>
              <w:spacing w:before="60" w:after="60" w:line="240" w:lineRule="auto"/>
              <w:jc w:val="right"/>
              <w:rPr>
                <w:rFonts w:eastAsia="Times New Roman"/>
                <w:b/>
                <w:bCs/>
                <w:color w:val="000000"/>
                <w:sz w:val="21"/>
                <w:szCs w:val="21"/>
              </w:rPr>
            </w:pPr>
            <w:r w:rsidRPr="001E69D0">
              <w:rPr>
                <w:rFonts w:eastAsia="Times New Roman"/>
                <w:b/>
                <w:bCs/>
                <w:color w:val="000000"/>
                <w:sz w:val="21"/>
                <w:szCs w:val="21"/>
              </w:rPr>
              <w:t>106</w:t>
            </w:r>
          </w:p>
        </w:tc>
      </w:tr>
    </w:tbl>
    <w:p w14:paraId="5F8DAB5B" w14:textId="77777777" w:rsidR="001E69D0" w:rsidRPr="001E69D0" w:rsidRDefault="001E69D0" w:rsidP="001E69D0">
      <w:pPr>
        <w:spacing w:after="240" w:line="240" w:lineRule="auto"/>
        <w:jc w:val="left"/>
        <w:rPr>
          <w:rFonts w:eastAsia="Times New Roman"/>
          <w:color w:val="000000"/>
          <w:sz w:val="22"/>
          <w:szCs w:val="20"/>
        </w:rPr>
      </w:pPr>
    </w:p>
    <w:p w14:paraId="58F39B26" w14:textId="77777777" w:rsidR="001E69D0" w:rsidRPr="001E69D0" w:rsidRDefault="001E69D0" w:rsidP="001725C8">
      <w:pPr>
        <w:keepNext/>
        <w:pageBreakBefore/>
        <w:spacing w:after="480" w:line="240" w:lineRule="auto"/>
        <w:ind w:left="720" w:hanging="720"/>
        <w:jc w:val="left"/>
        <w:outlineLvl w:val="2"/>
        <w:rPr>
          <w:rFonts w:ascii="Open Sans" w:eastAsia="Times New Roman" w:hAnsi="Open Sans" w:cs="Open Sans"/>
          <w:b/>
          <w:bCs/>
          <w:noProof/>
          <w:color w:val="008CA6"/>
          <w:kern w:val="32"/>
          <w:sz w:val="40"/>
          <w:szCs w:val="40"/>
        </w:rPr>
      </w:pPr>
      <w:bookmarkStart w:id="783" w:name="_Appendix__2"/>
      <w:bookmarkStart w:id="784" w:name="_Appendix__2:"/>
      <w:bookmarkStart w:id="785" w:name="_Appendix_2:_Interview"/>
      <w:bookmarkStart w:id="786" w:name="_Toc121231624"/>
      <w:bookmarkEnd w:id="783"/>
      <w:bookmarkEnd w:id="784"/>
      <w:bookmarkEnd w:id="785"/>
      <w:r w:rsidRPr="001E69D0">
        <w:rPr>
          <w:rFonts w:ascii="Open Sans" w:eastAsia="Times New Roman" w:hAnsi="Open Sans" w:cs="Open Sans"/>
          <w:b/>
          <w:bCs/>
          <w:noProof/>
          <w:color w:val="008CA6"/>
          <w:kern w:val="32"/>
          <w:sz w:val="40"/>
          <w:szCs w:val="40"/>
        </w:rPr>
        <w:lastRenderedPageBreak/>
        <w:t>Appendix 2: Interview prompts</w:t>
      </w:r>
      <w:bookmarkEnd w:id="786"/>
    </w:p>
    <w:p w14:paraId="1493D986" w14:textId="77777777" w:rsidR="001E69D0" w:rsidRPr="001E69D0" w:rsidRDefault="001E69D0" w:rsidP="001E69D0">
      <w:pPr>
        <w:keepNext/>
        <w:spacing w:line="240" w:lineRule="auto"/>
        <w:jc w:val="left"/>
        <w:rPr>
          <w:rFonts w:eastAsia="Times New Roman"/>
          <w:color w:val="000000"/>
          <w:sz w:val="22"/>
          <w:szCs w:val="20"/>
        </w:rPr>
      </w:pPr>
      <w:bookmarkStart w:id="787" w:name="_Hlk121120795"/>
      <w:r w:rsidRPr="001E69D0">
        <w:rPr>
          <w:rFonts w:eastAsia="Times New Roman"/>
          <w:color w:val="000000"/>
          <w:sz w:val="22"/>
          <w:szCs w:val="20"/>
        </w:rPr>
        <w:t>The Department of Health and Aged Care provided the following prompts to interviewers. This was a discussion guide only, and interviewers were free to diverge from it and ask any other question they felt was relevant to the discussion.  No quantitative data has been collected from these questions.</w:t>
      </w:r>
    </w:p>
    <w:bookmarkEnd w:id="787"/>
    <w:p w14:paraId="070C9F8F" w14:textId="77777777" w:rsidR="001E69D0" w:rsidRPr="001E69D0" w:rsidRDefault="001E69D0" w:rsidP="001E69D0">
      <w:pPr>
        <w:spacing w:after="240" w:line="240" w:lineRule="auto"/>
        <w:jc w:val="left"/>
        <w:rPr>
          <w:rFonts w:eastAsia="Times New Roman" w:cs="Calibri"/>
          <w:color w:val="000000"/>
        </w:rPr>
      </w:pPr>
    </w:p>
    <w:p w14:paraId="0A51D511" w14:textId="77777777" w:rsidR="001E69D0" w:rsidRPr="001E69D0" w:rsidRDefault="001E69D0" w:rsidP="001E69D0">
      <w:pPr>
        <w:spacing w:after="0" w:line="240" w:lineRule="auto"/>
        <w:jc w:val="left"/>
        <w:rPr>
          <w:rFonts w:eastAsia="Times New Roman" w:cs="Calibri"/>
          <w:color w:val="000000"/>
          <w:sz w:val="22"/>
          <w:szCs w:val="22"/>
        </w:rPr>
      </w:pPr>
      <w:r w:rsidRPr="001E69D0">
        <w:rPr>
          <w:rFonts w:eastAsia="Times New Roman"/>
          <w:noProof/>
          <w:color w:val="000000"/>
          <w:sz w:val="22"/>
          <w:szCs w:val="22"/>
        </w:rPr>
        <mc:AlternateContent>
          <mc:Choice Requires="wps">
            <w:drawing>
              <wp:anchor distT="45720" distB="45720" distL="114300" distR="114300" simplePos="0" relativeHeight="251664384" behindDoc="0" locked="0" layoutInCell="1" allowOverlap="1" wp14:anchorId="565470A3" wp14:editId="00720B37">
                <wp:simplePos x="0" y="0"/>
                <wp:positionH relativeFrom="page">
                  <wp:posOffset>4984750</wp:posOffset>
                </wp:positionH>
                <wp:positionV relativeFrom="paragraph">
                  <wp:posOffset>64135</wp:posOffset>
                </wp:positionV>
                <wp:extent cx="2333625" cy="5962650"/>
                <wp:effectExtent l="0" t="0" r="28575" b="190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5962650"/>
                        </a:xfrm>
                        <a:prstGeom prst="rect">
                          <a:avLst/>
                        </a:prstGeom>
                        <a:solidFill>
                          <a:srgbClr val="FFFFFF"/>
                        </a:solidFill>
                        <a:ln w="9525">
                          <a:solidFill>
                            <a:srgbClr val="000000"/>
                          </a:solidFill>
                          <a:miter lim="800000"/>
                          <a:headEnd/>
                          <a:tailEnd/>
                        </a:ln>
                      </wps:spPr>
                      <wps:txbx>
                        <w:txbxContent>
                          <w:p w14:paraId="7310FB9E" w14:textId="77777777" w:rsidR="001E69D0" w:rsidRDefault="001E69D0" w:rsidP="001E69D0">
                            <w:pPr>
                              <w:rPr>
                                <w:b/>
                                <w:bCs/>
                                <w:sz w:val="18"/>
                                <w:szCs w:val="18"/>
                              </w:rPr>
                            </w:pPr>
                            <w:r>
                              <w:rPr>
                                <w:b/>
                                <w:bCs/>
                                <w:sz w:val="18"/>
                                <w:szCs w:val="18"/>
                              </w:rPr>
                              <w:t xml:space="preserve">Demographics </w:t>
                            </w:r>
                          </w:p>
                          <w:p w14:paraId="6D91D21C" w14:textId="77777777" w:rsidR="001E69D0" w:rsidRDefault="001E69D0" w:rsidP="001E69D0">
                            <w:pPr>
                              <w:rPr>
                                <w:sz w:val="18"/>
                                <w:szCs w:val="18"/>
                              </w:rPr>
                            </w:pPr>
                            <w:r>
                              <w:rPr>
                                <w:sz w:val="18"/>
                                <w:szCs w:val="18"/>
                                <w:u w:val="single"/>
                              </w:rPr>
                              <w:t>Gender:</w:t>
                            </w:r>
                            <w:r>
                              <w:rPr>
                                <w:sz w:val="18"/>
                                <w:szCs w:val="18"/>
                              </w:rPr>
                              <w:t xml:space="preserve">  Male </w:t>
                            </w:r>
                            <w:sdt>
                              <w:sdtPr>
                                <w:rPr>
                                  <w:sz w:val="18"/>
                                  <w:szCs w:val="18"/>
                                </w:rPr>
                                <w:id w:val="162126333"/>
                                <w14:checkbox>
                                  <w14:checked w14:val="0"/>
                                  <w14:checkedState w14:val="2612" w14:font="MS Gothic"/>
                                  <w14:uncheckedState w14:val="2610" w14:font="MS Gothic"/>
                                </w14:checkbox>
                              </w:sdtPr>
                              <w:sdtContent>
                                <w:r>
                                  <w:rPr>
                                    <w:rFonts w:ascii="MS Gothic" w:eastAsia="MS Gothic" w:hAnsi="MS Gothic" w:hint="eastAsia"/>
                                    <w:sz w:val="18"/>
                                    <w:szCs w:val="18"/>
                                    <w:lang w:val="en-US"/>
                                  </w:rPr>
                                  <w:t>☐</w:t>
                                </w:r>
                              </w:sdtContent>
                            </w:sdt>
                            <w:r>
                              <w:rPr>
                                <w:sz w:val="18"/>
                                <w:szCs w:val="18"/>
                              </w:rPr>
                              <w:t xml:space="preserve"> Female </w:t>
                            </w:r>
                            <w:sdt>
                              <w:sdtPr>
                                <w:rPr>
                                  <w:sz w:val="18"/>
                                  <w:szCs w:val="18"/>
                                </w:rPr>
                                <w:id w:val="416368789"/>
                                <w14:checkbox>
                                  <w14:checked w14:val="0"/>
                                  <w14:checkedState w14:val="2612" w14:font="MS Gothic"/>
                                  <w14:uncheckedState w14:val="2610" w14:font="MS Gothic"/>
                                </w14:checkbox>
                              </w:sdtPr>
                              <w:sdtContent>
                                <w:r>
                                  <w:rPr>
                                    <w:rFonts w:ascii="MS Gothic" w:eastAsia="MS Gothic" w:hAnsi="MS Gothic" w:hint="eastAsia"/>
                                    <w:sz w:val="18"/>
                                    <w:szCs w:val="18"/>
                                    <w:lang w:val="en-US"/>
                                  </w:rPr>
                                  <w:t>☐</w:t>
                                </w:r>
                              </w:sdtContent>
                            </w:sdt>
                            <w:r>
                              <w:rPr>
                                <w:sz w:val="18"/>
                                <w:szCs w:val="18"/>
                              </w:rPr>
                              <w:t xml:space="preserve"> Other </w:t>
                            </w:r>
                            <w:sdt>
                              <w:sdtPr>
                                <w:rPr>
                                  <w:sz w:val="18"/>
                                  <w:szCs w:val="18"/>
                                </w:rPr>
                                <w:id w:val="-805620121"/>
                                <w14:checkbox>
                                  <w14:checked w14:val="0"/>
                                  <w14:checkedState w14:val="2612" w14:font="MS Gothic"/>
                                  <w14:uncheckedState w14:val="2610" w14:font="MS Gothic"/>
                                </w14:checkbox>
                              </w:sdtPr>
                              <w:sdtContent>
                                <w:r>
                                  <w:rPr>
                                    <w:rFonts w:ascii="MS Gothic" w:eastAsia="MS Gothic" w:hAnsi="MS Gothic" w:hint="eastAsia"/>
                                    <w:sz w:val="18"/>
                                    <w:szCs w:val="18"/>
                                    <w:lang w:val="en-US"/>
                                  </w:rPr>
                                  <w:t>☐</w:t>
                                </w:r>
                              </w:sdtContent>
                            </w:sdt>
                          </w:p>
                          <w:p w14:paraId="0E3663CD" w14:textId="77777777" w:rsidR="001E69D0" w:rsidRDefault="001E69D0" w:rsidP="001E69D0">
                            <w:pPr>
                              <w:rPr>
                                <w:sz w:val="18"/>
                                <w:szCs w:val="18"/>
                              </w:rPr>
                            </w:pPr>
                            <w:r>
                              <w:rPr>
                                <w:sz w:val="18"/>
                                <w:szCs w:val="18"/>
                                <w:u w:val="single"/>
                              </w:rPr>
                              <w:t>Age group</w:t>
                            </w:r>
                            <w:r>
                              <w:rPr>
                                <w:sz w:val="18"/>
                                <w:szCs w:val="18"/>
                              </w:rPr>
                              <w:t xml:space="preserve">: </w:t>
                            </w:r>
                          </w:p>
                          <w:p w14:paraId="579F6B0A" w14:textId="77777777" w:rsidR="001E69D0" w:rsidRDefault="001E69D0" w:rsidP="001E69D0">
                            <w:pPr>
                              <w:rPr>
                                <w:sz w:val="18"/>
                                <w:szCs w:val="18"/>
                              </w:rPr>
                            </w:pPr>
                            <w:r>
                              <w:rPr>
                                <w:sz w:val="18"/>
                                <w:szCs w:val="18"/>
                              </w:rPr>
                              <w:t xml:space="preserve">Under 20 </w:t>
                            </w:r>
                            <w:sdt>
                              <w:sdtPr>
                                <w:rPr>
                                  <w:sz w:val="18"/>
                                  <w:szCs w:val="18"/>
                                </w:rPr>
                                <w:id w:val="-1617281555"/>
                                <w14:checkbox>
                                  <w14:checked w14:val="0"/>
                                  <w14:checkedState w14:val="2612" w14:font="MS Gothic"/>
                                  <w14:uncheckedState w14:val="2610" w14:font="MS Gothic"/>
                                </w14:checkbox>
                              </w:sdtPr>
                              <w:sdtContent>
                                <w:r>
                                  <w:rPr>
                                    <w:rFonts w:ascii="MS Gothic" w:eastAsia="MS Gothic" w:hAnsi="MS Gothic" w:hint="eastAsia"/>
                                    <w:sz w:val="18"/>
                                    <w:szCs w:val="18"/>
                                    <w:lang w:val="en-US"/>
                                  </w:rPr>
                                  <w:t>☐</w:t>
                                </w:r>
                              </w:sdtContent>
                            </w:sdt>
                            <w:r>
                              <w:rPr>
                                <w:sz w:val="18"/>
                                <w:szCs w:val="18"/>
                              </w:rPr>
                              <w:t xml:space="preserve"> , 20-29 </w:t>
                            </w:r>
                            <w:sdt>
                              <w:sdtPr>
                                <w:rPr>
                                  <w:sz w:val="18"/>
                                  <w:szCs w:val="18"/>
                                </w:rPr>
                                <w:id w:val="-1772776955"/>
                                <w14:checkbox>
                                  <w14:checked w14:val="0"/>
                                  <w14:checkedState w14:val="2612" w14:font="MS Gothic"/>
                                  <w14:uncheckedState w14:val="2610" w14:font="MS Gothic"/>
                                </w14:checkbox>
                              </w:sdtPr>
                              <w:sdtContent>
                                <w:r>
                                  <w:rPr>
                                    <w:rFonts w:ascii="MS Gothic" w:eastAsia="MS Gothic" w:hAnsi="MS Gothic" w:hint="eastAsia"/>
                                    <w:sz w:val="18"/>
                                    <w:szCs w:val="18"/>
                                    <w:lang w:val="en-US"/>
                                  </w:rPr>
                                  <w:t>☐</w:t>
                                </w:r>
                              </w:sdtContent>
                            </w:sdt>
                            <w:r>
                              <w:rPr>
                                <w:sz w:val="18"/>
                                <w:szCs w:val="18"/>
                              </w:rPr>
                              <w:t xml:space="preserve"> , 30-39 </w:t>
                            </w:r>
                            <w:sdt>
                              <w:sdtPr>
                                <w:rPr>
                                  <w:sz w:val="18"/>
                                  <w:szCs w:val="18"/>
                                </w:rPr>
                                <w:id w:val="-624696987"/>
                                <w14:checkbox>
                                  <w14:checked w14:val="0"/>
                                  <w14:checkedState w14:val="2612" w14:font="MS Gothic"/>
                                  <w14:uncheckedState w14:val="2610" w14:font="MS Gothic"/>
                                </w14:checkbox>
                              </w:sdtPr>
                              <w:sdtContent>
                                <w:r>
                                  <w:rPr>
                                    <w:rFonts w:ascii="MS Gothic" w:eastAsia="MS Gothic" w:hAnsi="MS Gothic" w:hint="eastAsia"/>
                                    <w:sz w:val="18"/>
                                    <w:szCs w:val="18"/>
                                    <w:lang w:val="en-US"/>
                                  </w:rPr>
                                  <w:t>☐</w:t>
                                </w:r>
                              </w:sdtContent>
                            </w:sdt>
                            <w:r>
                              <w:rPr>
                                <w:sz w:val="18"/>
                                <w:szCs w:val="18"/>
                              </w:rPr>
                              <w:t xml:space="preserve">, 40-49 </w:t>
                            </w:r>
                            <w:sdt>
                              <w:sdtPr>
                                <w:rPr>
                                  <w:sz w:val="18"/>
                                  <w:szCs w:val="18"/>
                                </w:rPr>
                                <w:id w:val="535398057"/>
                                <w14:checkbox>
                                  <w14:checked w14:val="0"/>
                                  <w14:checkedState w14:val="2612" w14:font="MS Gothic"/>
                                  <w14:uncheckedState w14:val="2610" w14:font="MS Gothic"/>
                                </w14:checkbox>
                              </w:sdtPr>
                              <w:sdtContent>
                                <w:r>
                                  <w:rPr>
                                    <w:rFonts w:ascii="MS Gothic" w:eastAsia="MS Gothic" w:hAnsi="MS Gothic" w:hint="eastAsia"/>
                                    <w:sz w:val="18"/>
                                    <w:szCs w:val="18"/>
                                    <w:lang w:val="en-US"/>
                                  </w:rPr>
                                  <w:t>☐</w:t>
                                </w:r>
                              </w:sdtContent>
                            </w:sdt>
                          </w:p>
                          <w:p w14:paraId="19DA47FC" w14:textId="77777777" w:rsidR="001E69D0" w:rsidRDefault="001E69D0" w:rsidP="001E69D0">
                            <w:pPr>
                              <w:rPr>
                                <w:sz w:val="18"/>
                                <w:szCs w:val="18"/>
                              </w:rPr>
                            </w:pPr>
                            <w:r>
                              <w:rPr>
                                <w:sz w:val="18"/>
                                <w:szCs w:val="18"/>
                              </w:rPr>
                              <w:t xml:space="preserve">50-59 </w:t>
                            </w:r>
                            <w:sdt>
                              <w:sdtPr>
                                <w:rPr>
                                  <w:sz w:val="18"/>
                                  <w:szCs w:val="18"/>
                                </w:rPr>
                                <w:id w:val="-310172070"/>
                                <w14:checkbox>
                                  <w14:checked w14:val="0"/>
                                  <w14:checkedState w14:val="2612" w14:font="MS Gothic"/>
                                  <w14:uncheckedState w14:val="2610" w14:font="MS Gothic"/>
                                </w14:checkbox>
                              </w:sdtPr>
                              <w:sdtContent>
                                <w:r>
                                  <w:rPr>
                                    <w:rFonts w:ascii="MS Gothic" w:eastAsia="MS Gothic" w:hAnsi="MS Gothic" w:hint="eastAsia"/>
                                    <w:sz w:val="18"/>
                                    <w:szCs w:val="18"/>
                                    <w:lang w:val="en-US"/>
                                  </w:rPr>
                                  <w:t>☐</w:t>
                                </w:r>
                              </w:sdtContent>
                            </w:sdt>
                            <w:r>
                              <w:rPr>
                                <w:sz w:val="18"/>
                                <w:szCs w:val="18"/>
                              </w:rPr>
                              <w:t xml:space="preserve">, 60-69 </w:t>
                            </w:r>
                            <w:sdt>
                              <w:sdtPr>
                                <w:rPr>
                                  <w:sz w:val="18"/>
                                  <w:szCs w:val="18"/>
                                </w:rPr>
                                <w:id w:val="695358633"/>
                                <w14:checkbox>
                                  <w14:checked w14:val="0"/>
                                  <w14:checkedState w14:val="2612" w14:font="MS Gothic"/>
                                  <w14:uncheckedState w14:val="2610" w14:font="MS Gothic"/>
                                </w14:checkbox>
                              </w:sdtPr>
                              <w:sdtContent>
                                <w:r>
                                  <w:rPr>
                                    <w:rFonts w:ascii="MS Gothic" w:eastAsia="MS Gothic" w:hAnsi="MS Gothic" w:hint="eastAsia"/>
                                    <w:sz w:val="18"/>
                                    <w:szCs w:val="18"/>
                                    <w:lang w:val="en-US"/>
                                  </w:rPr>
                                  <w:t>☐</w:t>
                                </w:r>
                              </w:sdtContent>
                            </w:sdt>
                            <w:r>
                              <w:rPr>
                                <w:sz w:val="18"/>
                                <w:szCs w:val="18"/>
                              </w:rPr>
                              <w:t xml:space="preserve">, 70-79 </w:t>
                            </w:r>
                            <w:sdt>
                              <w:sdtPr>
                                <w:rPr>
                                  <w:sz w:val="18"/>
                                  <w:szCs w:val="18"/>
                                </w:rPr>
                                <w:id w:val="-307403104"/>
                                <w14:checkbox>
                                  <w14:checked w14:val="0"/>
                                  <w14:checkedState w14:val="2612" w14:font="MS Gothic"/>
                                  <w14:uncheckedState w14:val="2610" w14:font="MS Gothic"/>
                                </w14:checkbox>
                              </w:sdtPr>
                              <w:sdtContent>
                                <w:r>
                                  <w:rPr>
                                    <w:rFonts w:ascii="MS Gothic" w:eastAsia="MS Gothic" w:hAnsi="MS Gothic" w:hint="eastAsia"/>
                                    <w:sz w:val="18"/>
                                    <w:szCs w:val="18"/>
                                    <w:lang w:val="en-US"/>
                                  </w:rPr>
                                  <w:t>☐</w:t>
                                </w:r>
                              </w:sdtContent>
                            </w:sdt>
                            <w:r>
                              <w:rPr>
                                <w:sz w:val="18"/>
                                <w:szCs w:val="18"/>
                              </w:rPr>
                              <w:t xml:space="preserve">, 80+ </w:t>
                            </w:r>
                            <w:sdt>
                              <w:sdtPr>
                                <w:rPr>
                                  <w:sz w:val="18"/>
                                  <w:szCs w:val="18"/>
                                </w:rPr>
                                <w:id w:val="258187405"/>
                                <w14:checkbox>
                                  <w14:checked w14:val="0"/>
                                  <w14:checkedState w14:val="2612" w14:font="MS Gothic"/>
                                  <w14:uncheckedState w14:val="2610" w14:font="MS Gothic"/>
                                </w14:checkbox>
                              </w:sdtPr>
                              <w:sdtContent>
                                <w:r>
                                  <w:rPr>
                                    <w:rFonts w:ascii="MS Gothic" w:eastAsia="MS Gothic" w:hAnsi="MS Gothic" w:hint="eastAsia"/>
                                    <w:sz w:val="18"/>
                                    <w:szCs w:val="18"/>
                                    <w:lang w:val="en-US"/>
                                  </w:rPr>
                                  <w:t>☐</w:t>
                                </w:r>
                              </w:sdtContent>
                            </w:sdt>
                          </w:p>
                          <w:p w14:paraId="660850DB" w14:textId="77777777" w:rsidR="001E69D0" w:rsidRDefault="001E69D0" w:rsidP="001E69D0">
                            <w:pPr>
                              <w:rPr>
                                <w:sz w:val="18"/>
                                <w:szCs w:val="18"/>
                                <w:u w:val="single"/>
                              </w:rPr>
                            </w:pPr>
                            <w:r>
                              <w:rPr>
                                <w:sz w:val="18"/>
                                <w:szCs w:val="18"/>
                                <w:u w:val="single"/>
                              </w:rPr>
                              <w:t xml:space="preserve">State: </w:t>
                            </w:r>
                          </w:p>
                          <w:p w14:paraId="6812D83E" w14:textId="77777777" w:rsidR="001E69D0" w:rsidRDefault="001E69D0" w:rsidP="001E69D0">
                            <w:pPr>
                              <w:rPr>
                                <w:b/>
                                <w:bCs/>
                                <w:sz w:val="18"/>
                                <w:szCs w:val="18"/>
                              </w:rPr>
                            </w:pPr>
                            <w:r>
                              <w:rPr>
                                <w:b/>
                                <w:bCs/>
                                <w:sz w:val="18"/>
                                <w:szCs w:val="18"/>
                              </w:rPr>
                              <w:t xml:space="preserve">Treatment stage </w:t>
                            </w:r>
                          </w:p>
                          <w:p w14:paraId="35FEB7F0" w14:textId="77777777" w:rsidR="001E69D0" w:rsidRDefault="001E69D0" w:rsidP="001E69D0">
                            <w:pPr>
                              <w:rPr>
                                <w:sz w:val="18"/>
                                <w:szCs w:val="18"/>
                              </w:rPr>
                            </w:pPr>
                            <w:r>
                              <w:rPr>
                                <w:sz w:val="18"/>
                                <w:szCs w:val="18"/>
                              </w:rPr>
                              <w:t xml:space="preserve">Starting treatment (3 months or less)  </w:t>
                            </w:r>
                            <w:sdt>
                              <w:sdtPr>
                                <w:rPr>
                                  <w:sz w:val="18"/>
                                  <w:szCs w:val="18"/>
                                </w:rPr>
                                <w:id w:val="1447122127"/>
                                <w14:checkbox>
                                  <w14:checked w14:val="0"/>
                                  <w14:checkedState w14:val="2612" w14:font="MS Gothic"/>
                                  <w14:uncheckedState w14:val="2610" w14:font="MS Gothic"/>
                                </w14:checkbox>
                              </w:sdtPr>
                              <w:sdtContent>
                                <w:r>
                                  <w:rPr>
                                    <w:rFonts w:ascii="MS Gothic" w:eastAsia="MS Gothic" w:hAnsi="MS Gothic" w:hint="eastAsia"/>
                                    <w:sz w:val="18"/>
                                    <w:szCs w:val="18"/>
                                    <w:lang w:val="en-US"/>
                                  </w:rPr>
                                  <w:t>☐</w:t>
                                </w:r>
                              </w:sdtContent>
                            </w:sdt>
                          </w:p>
                          <w:p w14:paraId="07E33DDE" w14:textId="77777777" w:rsidR="001E69D0" w:rsidRDefault="001E69D0" w:rsidP="001E69D0">
                            <w:pPr>
                              <w:rPr>
                                <w:sz w:val="18"/>
                                <w:szCs w:val="18"/>
                              </w:rPr>
                            </w:pPr>
                            <w:r>
                              <w:rPr>
                                <w:sz w:val="18"/>
                                <w:szCs w:val="18"/>
                              </w:rPr>
                              <w:t>Continuing treatment (3 months or more)</w:t>
                            </w:r>
                          </w:p>
                          <w:p w14:paraId="33C932A9" w14:textId="77777777" w:rsidR="001E69D0" w:rsidRDefault="001E69D0" w:rsidP="001E69D0">
                            <w:pPr>
                              <w:rPr>
                                <w:sz w:val="18"/>
                                <w:szCs w:val="18"/>
                              </w:rPr>
                            </w:pPr>
                            <w:r>
                              <w:rPr>
                                <w:sz w:val="18"/>
                                <w:szCs w:val="18"/>
                              </w:rPr>
                              <w:t xml:space="preserve">Recently restarted treatment  </w:t>
                            </w:r>
                            <w:sdt>
                              <w:sdtPr>
                                <w:rPr>
                                  <w:sz w:val="18"/>
                                  <w:szCs w:val="18"/>
                                </w:rPr>
                                <w:id w:val="-416024326"/>
                                <w14:checkbox>
                                  <w14:checked w14:val="0"/>
                                  <w14:checkedState w14:val="2612" w14:font="MS Gothic"/>
                                  <w14:uncheckedState w14:val="2610" w14:font="MS Gothic"/>
                                </w14:checkbox>
                              </w:sdtPr>
                              <w:sdtContent>
                                <w:r>
                                  <w:rPr>
                                    <w:rFonts w:ascii="MS Gothic" w:eastAsia="MS Gothic" w:hAnsi="MS Gothic" w:hint="eastAsia"/>
                                    <w:sz w:val="18"/>
                                    <w:szCs w:val="18"/>
                                    <w:lang w:val="en-US"/>
                                  </w:rPr>
                                  <w:t>☐</w:t>
                                </w:r>
                              </w:sdtContent>
                            </w:sdt>
                          </w:p>
                          <w:p w14:paraId="48A93C09" w14:textId="77777777" w:rsidR="001E69D0" w:rsidRDefault="001E69D0" w:rsidP="001E69D0">
                            <w:pPr>
                              <w:rPr>
                                <w:b/>
                                <w:bCs/>
                                <w:sz w:val="18"/>
                                <w:szCs w:val="18"/>
                              </w:rPr>
                            </w:pPr>
                            <w:r>
                              <w:rPr>
                                <w:b/>
                                <w:bCs/>
                                <w:sz w:val="18"/>
                                <w:szCs w:val="18"/>
                              </w:rPr>
                              <w:t>Tick the following that apply:</w:t>
                            </w:r>
                          </w:p>
                          <w:p w14:paraId="1F70F96B" w14:textId="77777777" w:rsidR="001E69D0" w:rsidRDefault="001E69D0" w:rsidP="001E69D0">
                            <w:pPr>
                              <w:rPr>
                                <w:sz w:val="18"/>
                                <w:szCs w:val="18"/>
                              </w:rPr>
                            </w:pPr>
                            <w:r>
                              <w:rPr>
                                <w:sz w:val="18"/>
                                <w:szCs w:val="18"/>
                              </w:rPr>
                              <w:t xml:space="preserve">Living in rural and remote region </w:t>
                            </w:r>
                            <w:sdt>
                              <w:sdtPr>
                                <w:rPr>
                                  <w:sz w:val="18"/>
                                  <w:szCs w:val="18"/>
                                </w:rPr>
                                <w:id w:val="1253695606"/>
                                <w14:checkbox>
                                  <w14:checked w14:val="0"/>
                                  <w14:checkedState w14:val="2612" w14:font="MS Gothic"/>
                                  <w14:uncheckedState w14:val="2610" w14:font="MS Gothic"/>
                                </w14:checkbox>
                              </w:sdtPr>
                              <w:sdtContent>
                                <w:r>
                                  <w:rPr>
                                    <w:rFonts w:ascii="MS Gothic" w:eastAsia="MS Gothic" w:hAnsi="MS Gothic" w:hint="eastAsia"/>
                                    <w:sz w:val="18"/>
                                    <w:szCs w:val="18"/>
                                    <w:lang w:val="en-US"/>
                                  </w:rPr>
                                  <w:t>☐</w:t>
                                </w:r>
                              </w:sdtContent>
                            </w:sdt>
                          </w:p>
                          <w:p w14:paraId="4C1D30AC" w14:textId="77777777" w:rsidR="001E69D0" w:rsidRDefault="001E69D0" w:rsidP="001E69D0">
                            <w:pPr>
                              <w:rPr>
                                <w:sz w:val="18"/>
                                <w:szCs w:val="18"/>
                              </w:rPr>
                            </w:pPr>
                            <w:r>
                              <w:rPr>
                                <w:sz w:val="18"/>
                                <w:szCs w:val="18"/>
                              </w:rPr>
                              <w:t xml:space="preserve">First Nations person </w:t>
                            </w:r>
                            <w:sdt>
                              <w:sdtPr>
                                <w:rPr>
                                  <w:sz w:val="18"/>
                                  <w:szCs w:val="18"/>
                                </w:rPr>
                                <w:id w:val="-703406651"/>
                                <w14:checkbox>
                                  <w14:checked w14:val="0"/>
                                  <w14:checkedState w14:val="2612" w14:font="MS Gothic"/>
                                  <w14:uncheckedState w14:val="2610" w14:font="MS Gothic"/>
                                </w14:checkbox>
                              </w:sdtPr>
                              <w:sdtContent>
                                <w:r>
                                  <w:rPr>
                                    <w:rFonts w:ascii="MS Gothic" w:eastAsia="MS Gothic" w:hAnsi="MS Gothic" w:hint="eastAsia"/>
                                    <w:sz w:val="18"/>
                                    <w:szCs w:val="18"/>
                                    <w:lang w:val="en-US"/>
                                  </w:rPr>
                                  <w:t>☐</w:t>
                                </w:r>
                              </w:sdtContent>
                            </w:sdt>
                          </w:p>
                          <w:p w14:paraId="16E1162C" w14:textId="77777777" w:rsidR="001E69D0" w:rsidRDefault="001E69D0" w:rsidP="001E69D0">
                            <w:pPr>
                              <w:rPr>
                                <w:sz w:val="18"/>
                                <w:szCs w:val="18"/>
                              </w:rPr>
                            </w:pPr>
                            <w:r>
                              <w:rPr>
                                <w:sz w:val="18"/>
                                <w:szCs w:val="18"/>
                              </w:rPr>
                              <w:t xml:space="preserve">Homeless person </w:t>
                            </w:r>
                            <w:sdt>
                              <w:sdtPr>
                                <w:rPr>
                                  <w:sz w:val="18"/>
                                  <w:szCs w:val="18"/>
                                </w:rPr>
                                <w:id w:val="1810740604"/>
                                <w14:checkbox>
                                  <w14:checked w14:val="0"/>
                                  <w14:checkedState w14:val="2612" w14:font="MS Gothic"/>
                                  <w14:uncheckedState w14:val="2610" w14:font="MS Gothic"/>
                                </w14:checkbox>
                              </w:sdtPr>
                              <w:sdtContent>
                                <w:r>
                                  <w:rPr>
                                    <w:rFonts w:ascii="MS Gothic" w:eastAsia="MS Gothic" w:hAnsi="MS Gothic" w:hint="eastAsia"/>
                                    <w:sz w:val="18"/>
                                    <w:szCs w:val="18"/>
                                    <w:lang w:val="en-US"/>
                                  </w:rPr>
                                  <w:t>☐</w:t>
                                </w:r>
                              </w:sdtContent>
                            </w:sdt>
                          </w:p>
                          <w:p w14:paraId="541C47BC" w14:textId="77777777" w:rsidR="001E69D0" w:rsidRDefault="001E69D0" w:rsidP="001E69D0">
                            <w:pPr>
                              <w:rPr>
                                <w:sz w:val="18"/>
                                <w:szCs w:val="18"/>
                              </w:rPr>
                            </w:pPr>
                            <w:r>
                              <w:rPr>
                                <w:sz w:val="18"/>
                                <w:szCs w:val="18"/>
                              </w:rPr>
                              <w:t xml:space="preserve">Pregnant woman </w:t>
                            </w:r>
                            <w:sdt>
                              <w:sdtPr>
                                <w:rPr>
                                  <w:sz w:val="18"/>
                                  <w:szCs w:val="18"/>
                                </w:rPr>
                                <w:id w:val="-1629537393"/>
                                <w14:checkbox>
                                  <w14:checked w14:val="0"/>
                                  <w14:checkedState w14:val="2612" w14:font="MS Gothic"/>
                                  <w14:uncheckedState w14:val="2610" w14:font="MS Gothic"/>
                                </w14:checkbox>
                              </w:sdtPr>
                              <w:sdtContent>
                                <w:r>
                                  <w:rPr>
                                    <w:rFonts w:ascii="MS Gothic" w:eastAsia="MS Gothic" w:hAnsi="MS Gothic" w:hint="eastAsia"/>
                                    <w:sz w:val="18"/>
                                    <w:szCs w:val="18"/>
                                    <w:lang w:val="en-US"/>
                                  </w:rPr>
                                  <w:t>☐</w:t>
                                </w:r>
                              </w:sdtContent>
                            </w:sdt>
                          </w:p>
                          <w:p w14:paraId="5BF8E883" w14:textId="77777777" w:rsidR="001E69D0" w:rsidRDefault="001E69D0" w:rsidP="001E69D0">
                            <w:pPr>
                              <w:rPr>
                                <w:sz w:val="18"/>
                                <w:szCs w:val="18"/>
                              </w:rPr>
                            </w:pPr>
                            <w:r>
                              <w:rPr>
                                <w:sz w:val="18"/>
                                <w:szCs w:val="18"/>
                              </w:rPr>
                              <w:t xml:space="preserve">Recently released from prison or custody  </w:t>
                            </w:r>
                            <w:sdt>
                              <w:sdtPr>
                                <w:rPr>
                                  <w:sz w:val="18"/>
                                  <w:szCs w:val="18"/>
                                </w:rPr>
                                <w:id w:val="-1727217124"/>
                                <w14:checkbox>
                                  <w14:checked w14:val="0"/>
                                  <w14:checkedState w14:val="2612" w14:font="MS Gothic"/>
                                  <w14:uncheckedState w14:val="2610" w14:font="MS Gothic"/>
                                </w14:checkbox>
                              </w:sdtPr>
                              <w:sdtContent>
                                <w:r>
                                  <w:rPr>
                                    <w:rFonts w:ascii="MS Gothic" w:eastAsia="MS Gothic" w:hAnsi="MS Gothic" w:hint="eastAsia"/>
                                    <w:sz w:val="18"/>
                                    <w:szCs w:val="18"/>
                                    <w:lang w:val="en-US"/>
                                  </w:rPr>
                                  <w:t>☐</w:t>
                                </w:r>
                              </w:sdtContent>
                            </w:sdt>
                          </w:p>
                          <w:p w14:paraId="76FCD509" w14:textId="77777777" w:rsidR="001E69D0" w:rsidRDefault="001E69D0" w:rsidP="001E69D0">
                            <w:pPr>
                              <w:rPr>
                                <w:sz w:val="18"/>
                                <w:szCs w:val="18"/>
                              </w:rPr>
                            </w:pPr>
                            <w:r>
                              <w:rPr>
                                <w:sz w:val="18"/>
                                <w:szCs w:val="18"/>
                              </w:rPr>
                              <w:t xml:space="preserve">Culturally and linguistically diverse </w:t>
                            </w:r>
                            <w:sdt>
                              <w:sdtPr>
                                <w:rPr>
                                  <w:sz w:val="18"/>
                                  <w:szCs w:val="18"/>
                                </w:rPr>
                                <w:id w:val="785474800"/>
                                <w14:checkbox>
                                  <w14:checked w14:val="0"/>
                                  <w14:checkedState w14:val="2612" w14:font="MS Gothic"/>
                                  <w14:uncheckedState w14:val="2610" w14:font="MS Gothic"/>
                                </w14:checkbox>
                              </w:sdtPr>
                              <w:sdtContent>
                                <w:r>
                                  <w:rPr>
                                    <w:rFonts w:ascii="MS Gothic" w:eastAsia="MS Gothic" w:hAnsi="MS Gothic" w:hint="eastAsia"/>
                                    <w:sz w:val="18"/>
                                    <w:szCs w:val="18"/>
                                    <w:lang w:val="en-US"/>
                                  </w:rPr>
                                  <w:t>☐</w:t>
                                </w:r>
                              </w:sdtContent>
                            </w:sdt>
                          </w:p>
                          <w:p w14:paraId="5C85A63D" w14:textId="77777777" w:rsidR="001E69D0" w:rsidRDefault="001E69D0" w:rsidP="001E69D0">
                            <w:pPr>
                              <w:rPr>
                                <w:sz w:val="18"/>
                                <w:szCs w:val="18"/>
                              </w:rPr>
                            </w:pPr>
                            <w:r>
                              <w:rPr>
                                <w:sz w:val="18"/>
                                <w:szCs w:val="18"/>
                              </w:rPr>
                              <w:t xml:space="preserve">LGBTIQA+ </w:t>
                            </w:r>
                            <w:sdt>
                              <w:sdtPr>
                                <w:rPr>
                                  <w:sz w:val="18"/>
                                  <w:szCs w:val="18"/>
                                </w:rPr>
                                <w:id w:val="-673261823"/>
                                <w14:checkbox>
                                  <w14:checked w14:val="0"/>
                                  <w14:checkedState w14:val="2612" w14:font="MS Gothic"/>
                                  <w14:uncheckedState w14:val="2610" w14:font="MS Gothic"/>
                                </w14:checkbox>
                              </w:sdtPr>
                              <w:sdtContent>
                                <w:r>
                                  <w:rPr>
                                    <w:rFonts w:ascii="MS Gothic" w:eastAsia="MS Gothic" w:hAnsi="MS Gothic" w:hint="eastAsia"/>
                                    <w:sz w:val="18"/>
                                    <w:szCs w:val="18"/>
                                    <w:lang w:val="en-US"/>
                                  </w:rPr>
                                  <w:t>☐</w:t>
                                </w:r>
                              </w:sdtContent>
                            </w:sdt>
                          </w:p>
                          <w:p w14:paraId="0E4768A0" w14:textId="77777777" w:rsidR="001E69D0" w:rsidRDefault="001E69D0" w:rsidP="001E69D0">
                            <w:pPr>
                              <w:rPr>
                                <w:sz w:val="18"/>
                                <w:szCs w:val="18"/>
                              </w:rPr>
                            </w:pPr>
                            <w:r>
                              <w:rPr>
                                <w:sz w:val="18"/>
                                <w:szCs w:val="18"/>
                              </w:rPr>
                              <w:t xml:space="preserve">Person living with chronic pain </w:t>
                            </w:r>
                            <w:sdt>
                              <w:sdtPr>
                                <w:rPr>
                                  <w:sz w:val="18"/>
                                  <w:szCs w:val="18"/>
                                </w:rPr>
                                <w:id w:val="-1904674165"/>
                                <w14:checkbox>
                                  <w14:checked w14:val="0"/>
                                  <w14:checkedState w14:val="2612" w14:font="MS Gothic"/>
                                  <w14:uncheckedState w14:val="2610" w14:font="MS Gothic"/>
                                </w14:checkbox>
                              </w:sdtPr>
                              <w:sdtContent>
                                <w:r>
                                  <w:rPr>
                                    <w:rFonts w:ascii="MS Gothic" w:eastAsia="MS Gothic" w:hAnsi="MS Gothic" w:hint="eastAsia"/>
                                    <w:sz w:val="18"/>
                                    <w:szCs w:val="18"/>
                                    <w:lang w:val="en-US"/>
                                  </w:rPr>
                                  <w:t>☐</w:t>
                                </w:r>
                              </w:sdtContent>
                            </w:sdt>
                          </w:p>
                          <w:p w14:paraId="64857C44" w14:textId="77777777" w:rsidR="001E69D0" w:rsidRDefault="001E69D0" w:rsidP="001E69D0">
                            <w:pPr>
                              <w:rPr>
                                <w:sz w:val="18"/>
                                <w:szCs w:val="18"/>
                              </w:rPr>
                            </w:pPr>
                            <w:r>
                              <w:rPr>
                                <w:sz w:val="18"/>
                                <w:szCs w:val="18"/>
                              </w:rPr>
                              <w:t xml:space="preserve">Person part of the elderly population </w:t>
                            </w:r>
                            <w:sdt>
                              <w:sdtPr>
                                <w:rPr>
                                  <w:sz w:val="18"/>
                                  <w:szCs w:val="18"/>
                                </w:rPr>
                                <w:id w:val="-1197144166"/>
                                <w14:checkbox>
                                  <w14:checked w14:val="0"/>
                                  <w14:checkedState w14:val="2612" w14:font="MS Gothic"/>
                                  <w14:uncheckedState w14:val="2610" w14:font="MS Gothic"/>
                                </w14:checkbox>
                              </w:sdtPr>
                              <w:sdtContent>
                                <w:r>
                                  <w:rPr>
                                    <w:rFonts w:ascii="MS Gothic" w:eastAsia="MS Gothic" w:hAnsi="MS Gothic" w:hint="eastAsia"/>
                                    <w:sz w:val="18"/>
                                    <w:szCs w:val="18"/>
                                    <w:lang w:val="en-US"/>
                                  </w:rPr>
                                  <w:t>☐</w:t>
                                </w:r>
                              </w:sdtContent>
                            </w:sdt>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5470A3" id="Text Box 217" o:spid="_x0000_s1029" type="#_x0000_t202" style="position:absolute;margin-left:392.5pt;margin-top:5.05pt;width:183.75pt;height:469.5pt;z-index:2516643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">
                <v:textbox>
                  <w:txbxContent>
                    <w:p w14:paraId="7310FB9E" w14:textId="77777777" w:rsidR="001E69D0" w:rsidRDefault="001E69D0" w:rsidP="001E69D0">
                      <w:pPr>
                        <w:rPr>
                          <w:b/>
                          <w:bCs/>
                          <w:sz w:val="18"/>
                          <w:szCs w:val="18"/>
                        </w:rPr>
                      </w:pPr>
                      <w:r>
                        <w:rPr>
                          <w:b/>
                          <w:bCs/>
                          <w:sz w:val="18"/>
                          <w:szCs w:val="18"/>
                        </w:rPr>
                        <w:t xml:space="preserve">Demographics </w:t>
                      </w:r>
                    </w:p>
                    <w:p w14:paraId="6D91D21C" w14:textId="77777777" w:rsidR="001E69D0" w:rsidRDefault="001E69D0" w:rsidP="001E69D0">
                      <w:pPr>
                        <w:rPr>
                          <w:sz w:val="18"/>
                          <w:szCs w:val="18"/>
                        </w:rPr>
                      </w:pPr>
                      <w:r>
                        <w:rPr>
                          <w:sz w:val="18"/>
                          <w:szCs w:val="18"/>
                          <w:u w:val="single"/>
                        </w:rPr>
                        <w:t>Gender:</w:t>
                      </w:r>
                      <w:r>
                        <w:rPr>
                          <w:sz w:val="18"/>
                          <w:szCs w:val="18"/>
                        </w:rPr>
                        <w:t xml:space="preserve">  Male </w:t>
                      </w:r>
                      <w:sdt>
                        <w:sdtPr>
                          <w:rPr>
                            <w:sz w:val="18"/>
                            <w:szCs w:val="18"/>
                          </w:rPr>
                          <w:id w:val="162126333"/>
                          <w14:checkbox>
                            <w14:checked w14:val="0"/>
                            <w14:checkedState w14:val="2612" w14:font="MS Gothic"/>
                            <w14:uncheckedState w14:val="2610" w14:font="MS Gothic"/>
                          </w14:checkbox>
                        </w:sdtPr>
                        <w:sdtContent>
                          <w:r>
                            <w:rPr>
                              <w:rFonts w:ascii="MS Gothic" w:eastAsia="MS Gothic" w:hAnsi="MS Gothic" w:hint="eastAsia"/>
                              <w:sz w:val="18"/>
                              <w:szCs w:val="18"/>
                              <w:lang w:val="en-US"/>
                            </w:rPr>
                            <w:t>☐</w:t>
                          </w:r>
                        </w:sdtContent>
                      </w:sdt>
                      <w:r>
                        <w:rPr>
                          <w:sz w:val="18"/>
                          <w:szCs w:val="18"/>
                        </w:rPr>
                        <w:t xml:space="preserve"> Female </w:t>
                      </w:r>
                      <w:sdt>
                        <w:sdtPr>
                          <w:rPr>
                            <w:sz w:val="18"/>
                            <w:szCs w:val="18"/>
                          </w:rPr>
                          <w:id w:val="416368789"/>
                          <w14:checkbox>
                            <w14:checked w14:val="0"/>
                            <w14:checkedState w14:val="2612" w14:font="MS Gothic"/>
                            <w14:uncheckedState w14:val="2610" w14:font="MS Gothic"/>
                          </w14:checkbox>
                        </w:sdtPr>
                        <w:sdtContent>
                          <w:r>
                            <w:rPr>
                              <w:rFonts w:ascii="MS Gothic" w:eastAsia="MS Gothic" w:hAnsi="MS Gothic" w:hint="eastAsia"/>
                              <w:sz w:val="18"/>
                              <w:szCs w:val="18"/>
                              <w:lang w:val="en-US"/>
                            </w:rPr>
                            <w:t>☐</w:t>
                          </w:r>
                        </w:sdtContent>
                      </w:sdt>
                      <w:r>
                        <w:rPr>
                          <w:sz w:val="18"/>
                          <w:szCs w:val="18"/>
                        </w:rPr>
                        <w:t xml:space="preserve"> Other </w:t>
                      </w:r>
                      <w:sdt>
                        <w:sdtPr>
                          <w:rPr>
                            <w:sz w:val="18"/>
                            <w:szCs w:val="18"/>
                          </w:rPr>
                          <w:id w:val="-805620121"/>
                          <w14:checkbox>
                            <w14:checked w14:val="0"/>
                            <w14:checkedState w14:val="2612" w14:font="MS Gothic"/>
                            <w14:uncheckedState w14:val="2610" w14:font="MS Gothic"/>
                          </w14:checkbox>
                        </w:sdtPr>
                        <w:sdtContent>
                          <w:r>
                            <w:rPr>
                              <w:rFonts w:ascii="MS Gothic" w:eastAsia="MS Gothic" w:hAnsi="MS Gothic" w:hint="eastAsia"/>
                              <w:sz w:val="18"/>
                              <w:szCs w:val="18"/>
                              <w:lang w:val="en-US"/>
                            </w:rPr>
                            <w:t>☐</w:t>
                          </w:r>
                        </w:sdtContent>
                      </w:sdt>
                    </w:p>
                    <w:p w14:paraId="0E3663CD" w14:textId="77777777" w:rsidR="001E69D0" w:rsidRDefault="001E69D0" w:rsidP="001E69D0">
                      <w:pPr>
                        <w:rPr>
                          <w:sz w:val="18"/>
                          <w:szCs w:val="18"/>
                        </w:rPr>
                      </w:pPr>
                      <w:r>
                        <w:rPr>
                          <w:sz w:val="18"/>
                          <w:szCs w:val="18"/>
                          <w:u w:val="single"/>
                        </w:rPr>
                        <w:t>Age group</w:t>
                      </w:r>
                      <w:r>
                        <w:rPr>
                          <w:sz w:val="18"/>
                          <w:szCs w:val="18"/>
                        </w:rPr>
                        <w:t xml:space="preserve">: </w:t>
                      </w:r>
                    </w:p>
                    <w:p w14:paraId="579F6B0A" w14:textId="77777777" w:rsidR="001E69D0" w:rsidRDefault="001E69D0" w:rsidP="001E69D0">
                      <w:pPr>
                        <w:rPr>
                          <w:sz w:val="18"/>
                          <w:szCs w:val="18"/>
                        </w:rPr>
                      </w:pPr>
                      <w:r>
                        <w:rPr>
                          <w:sz w:val="18"/>
                          <w:szCs w:val="18"/>
                        </w:rPr>
                        <w:t xml:space="preserve">Under 20 </w:t>
                      </w:r>
                      <w:sdt>
                        <w:sdtPr>
                          <w:rPr>
                            <w:sz w:val="18"/>
                            <w:szCs w:val="18"/>
                          </w:rPr>
                          <w:id w:val="-1617281555"/>
                          <w14:checkbox>
                            <w14:checked w14:val="0"/>
                            <w14:checkedState w14:val="2612" w14:font="MS Gothic"/>
                            <w14:uncheckedState w14:val="2610" w14:font="MS Gothic"/>
                          </w14:checkbox>
                        </w:sdtPr>
                        <w:sdtContent>
                          <w:r>
                            <w:rPr>
                              <w:rFonts w:ascii="MS Gothic" w:eastAsia="MS Gothic" w:hAnsi="MS Gothic" w:hint="eastAsia"/>
                              <w:sz w:val="18"/>
                              <w:szCs w:val="18"/>
                              <w:lang w:val="en-US"/>
                            </w:rPr>
                            <w:t>☐</w:t>
                          </w:r>
                        </w:sdtContent>
                      </w:sdt>
                      <w:r>
                        <w:rPr>
                          <w:sz w:val="18"/>
                          <w:szCs w:val="18"/>
                        </w:rPr>
                        <w:t xml:space="preserve"> , 20-29 </w:t>
                      </w:r>
                      <w:sdt>
                        <w:sdtPr>
                          <w:rPr>
                            <w:sz w:val="18"/>
                            <w:szCs w:val="18"/>
                          </w:rPr>
                          <w:id w:val="-1772776955"/>
                          <w14:checkbox>
                            <w14:checked w14:val="0"/>
                            <w14:checkedState w14:val="2612" w14:font="MS Gothic"/>
                            <w14:uncheckedState w14:val="2610" w14:font="MS Gothic"/>
                          </w14:checkbox>
                        </w:sdtPr>
                        <w:sdtContent>
                          <w:r>
                            <w:rPr>
                              <w:rFonts w:ascii="MS Gothic" w:eastAsia="MS Gothic" w:hAnsi="MS Gothic" w:hint="eastAsia"/>
                              <w:sz w:val="18"/>
                              <w:szCs w:val="18"/>
                              <w:lang w:val="en-US"/>
                            </w:rPr>
                            <w:t>☐</w:t>
                          </w:r>
                        </w:sdtContent>
                      </w:sdt>
                      <w:r>
                        <w:rPr>
                          <w:sz w:val="18"/>
                          <w:szCs w:val="18"/>
                        </w:rPr>
                        <w:t xml:space="preserve"> , 30-39 </w:t>
                      </w:r>
                      <w:sdt>
                        <w:sdtPr>
                          <w:rPr>
                            <w:sz w:val="18"/>
                            <w:szCs w:val="18"/>
                          </w:rPr>
                          <w:id w:val="-624696987"/>
                          <w14:checkbox>
                            <w14:checked w14:val="0"/>
                            <w14:checkedState w14:val="2612" w14:font="MS Gothic"/>
                            <w14:uncheckedState w14:val="2610" w14:font="MS Gothic"/>
                          </w14:checkbox>
                        </w:sdtPr>
                        <w:sdtContent>
                          <w:r>
                            <w:rPr>
                              <w:rFonts w:ascii="MS Gothic" w:eastAsia="MS Gothic" w:hAnsi="MS Gothic" w:hint="eastAsia"/>
                              <w:sz w:val="18"/>
                              <w:szCs w:val="18"/>
                              <w:lang w:val="en-US"/>
                            </w:rPr>
                            <w:t>☐</w:t>
                          </w:r>
                        </w:sdtContent>
                      </w:sdt>
                      <w:r>
                        <w:rPr>
                          <w:sz w:val="18"/>
                          <w:szCs w:val="18"/>
                        </w:rPr>
                        <w:t xml:space="preserve">, 40-49 </w:t>
                      </w:r>
                      <w:sdt>
                        <w:sdtPr>
                          <w:rPr>
                            <w:sz w:val="18"/>
                            <w:szCs w:val="18"/>
                          </w:rPr>
                          <w:id w:val="535398057"/>
                          <w14:checkbox>
                            <w14:checked w14:val="0"/>
                            <w14:checkedState w14:val="2612" w14:font="MS Gothic"/>
                            <w14:uncheckedState w14:val="2610" w14:font="MS Gothic"/>
                          </w14:checkbox>
                        </w:sdtPr>
                        <w:sdtContent>
                          <w:r>
                            <w:rPr>
                              <w:rFonts w:ascii="MS Gothic" w:eastAsia="MS Gothic" w:hAnsi="MS Gothic" w:hint="eastAsia"/>
                              <w:sz w:val="18"/>
                              <w:szCs w:val="18"/>
                              <w:lang w:val="en-US"/>
                            </w:rPr>
                            <w:t>☐</w:t>
                          </w:r>
                        </w:sdtContent>
                      </w:sdt>
                    </w:p>
                    <w:p w14:paraId="19DA47FC" w14:textId="77777777" w:rsidR="001E69D0" w:rsidRDefault="001E69D0" w:rsidP="001E69D0">
                      <w:pPr>
                        <w:rPr>
                          <w:sz w:val="18"/>
                          <w:szCs w:val="18"/>
                        </w:rPr>
                      </w:pPr>
                      <w:r>
                        <w:rPr>
                          <w:sz w:val="18"/>
                          <w:szCs w:val="18"/>
                        </w:rPr>
                        <w:t xml:space="preserve">50-59 </w:t>
                      </w:r>
                      <w:sdt>
                        <w:sdtPr>
                          <w:rPr>
                            <w:sz w:val="18"/>
                            <w:szCs w:val="18"/>
                          </w:rPr>
                          <w:id w:val="-310172070"/>
                          <w14:checkbox>
                            <w14:checked w14:val="0"/>
                            <w14:checkedState w14:val="2612" w14:font="MS Gothic"/>
                            <w14:uncheckedState w14:val="2610" w14:font="MS Gothic"/>
                          </w14:checkbox>
                        </w:sdtPr>
                        <w:sdtContent>
                          <w:r>
                            <w:rPr>
                              <w:rFonts w:ascii="MS Gothic" w:eastAsia="MS Gothic" w:hAnsi="MS Gothic" w:hint="eastAsia"/>
                              <w:sz w:val="18"/>
                              <w:szCs w:val="18"/>
                              <w:lang w:val="en-US"/>
                            </w:rPr>
                            <w:t>☐</w:t>
                          </w:r>
                        </w:sdtContent>
                      </w:sdt>
                      <w:r>
                        <w:rPr>
                          <w:sz w:val="18"/>
                          <w:szCs w:val="18"/>
                        </w:rPr>
                        <w:t xml:space="preserve">, 60-69 </w:t>
                      </w:r>
                      <w:sdt>
                        <w:sdtPr>
                          <w:rPr>
                            <w:sz w:val="18"/>
                            <w:szCs w:val="18"/>
                          </w:rPr>
                          <w:id w:val="695358633"/>
                          <w14:checkbox>
                            <w14:checked w14:val="0"/>
                            <w14:checkedState w14:val="2612" w14:font="MS Gothic"/>
                            <w14:uncheckedState w14:val="2610" w14:font="MS Gothic"/>
                          </w14:checkbox>
                        </w:sdtPr>
                        <w:sdtContent>
                          <w:r>
                            <w:rPr>
                              <w:rFonts w:ascii="MS Gothic" w:eastAsia="MS Gothic" w:hAnsi="MS Gothic" w:hint="eastAsia"/>
                              <w:sz w:val="18"/>
                              <w:szCs w:val="18"/>
                              <w:lang w:val="en-US"/>
                            </w:rPr>
                            <w:t>☐</w:t>
                          </w:r>
                        </w:sdtContent>
                      </w:sdt>
                      <w:r>
                        <w:rPr>
                          <w:sz w:val="18"/>
                          <w:szCs w:val="18"/>
                        </w:rPr>
                        <w:t xml:space="preserve">, 70-79 </w:t>
                      </w:r>
                      <w:sdt>
                        <w:sdtPr>
                          <w:rPr>
                            <w:sz w:val="18"/>
                            <w:szCs w:val="18"/>
                          </w:rPr>
                          <w:id w:val="-307403104"/>
                          <w14:checkbox>
                            <w14:checked w14:val="0"/>
                            <w14:checkedState w14:val="2612" w14:font="MS Gothic"/>
                            <w14:uncheckedState w14:val="2610" w14:font="MS Gothic"/>
                          </w14:checkbox>
                        </w:sdtPr>
                        <w:sdtContent>
                          <w:r>
                            <w:rPr>
                              <w:rFonts w:ascii="MS Gothic" w:eastAsia="MS Gothic" w:hAnsi="MS Gothic" w:hint="eastAsia"/>
                              <w:sz w:val="18"/>
                              <w:szCs w:val="18"/>
                              <w:lang w:val="en-US"/>
                            </w:rPr>
                            <w:t>☐</w:t>
                          </w:r>
                        </w:sdtContent>
                      </w:sdt>
                      <w:r>
                        <w:rPr>
                          <w:sz w:val="18"/>
                          <w:szCs w:val="18"/>
                        </w:rPr>
                        <w:t xml:space="preserve">, 80+ </w:t>
                      </w:r>
                      <w:sdt>
                        <w:sdtPr>
                          <w:rPr>
                            <w:sz w:val="18"/>
                            <w:szCs w:val="18"/>
                          </w:rPr>
                          <w:id w:val="258187405"/>
                          <w14:checkbox>
                            <w14:checked w14:val="0"/>
                            <w14:checkedState w14:val="2612" w14:font="MS Gothic"/>
                            <w14:uncheckedState w14:val="2610" w14:font="MS Gothic"/>
                          </w14:checkbox>
                        </w:sdtPr>
                        <w:sdtContent>
                          <w:r>
                            <w:rPr>
                              <w:rFonts w:ascii="MS Gothic" w:eastAsia="MS Gothic" w:hAnsi="MS Gothic" w:hint="eastAsia"/>
                              <w:sz w:val="18"/>
                              <w:szCs w:val="18"/>
                              <w:lang w:val="en-US"/>
                            </w:rPr>
                            <w:t>☐</w:t>
                          </w:r>
                        </w:sdtContent>
                      </w:sdt>
                    </w:p>
                    <w:p w14:paraId="660850DB" w14:textId="77777777" w:rsidR="001E69D0" w:rsidRDefault="001E69D0" w:rsidP="001E69D0">
                      <w:pPr>
                        <w:rPr>
                          <w:sz w:val="18"/>
                          <w:szCs w:val="18"/>
                          <w:u w:val="single"/>
                        </w:rPr>
                      </w:pPr>
                      <w:r>
                        <w:rPr>
                          <w:sz w:val="18"/>
                          <w:szCs w:val="18"/>
                          <w:u w:val="single"/>
                        </w:rPr>
                        <w:t xml:space="preserve">State: </w:t>
                      </w:r>
                    </w:p>
                    <w:p w14:paraId="6812D83E" w14:textId="77777777" w:rsidR="001E69D0" w:rsidRDefault="001E69D0" w:rsidP="001E69D0">
                      <w:pPr>
                        <w:rPr>
                          <w:b/>
                          <w:bCs/>
                          <w:sz w:val="18"/>
                          <w:szCs w:val="18"/>
                        </w:rPr>
                      </w:pPr>
                      <w:r>
                        <w:rPr>
                          <w:b/>
                          <w:bCs/>
                          <w:sz w:val="18"/>
                          <w:szCs w:val="18"/>
                        </w:rPr>
                        <w:t xml:space="preserve">Treatment stage </w:t>
                      </w:r>
                    </w:p>
                    <w:p w14:paraId="35FEB7F0" w14:textId="77777777" w:rsidR="001E69D0" w:rsidRDefault="001E69D0" w:rsidP="001E69D0">
                      <w:pPr>
                        <w:rPr>
                          <w:sz w:val="18"/>
                          <w:szCs w:val="18"/>
                        </w:rPr>
                      </w:pPr>
                      <w:r>
                        <w:rPr>
                          <w:sz w:val="18"/>
                          <w:szCs w:val="18"/>
                        </w:rPr>
                        <w:t xml:space="preserve">Starting treatment (3 months or less)  </w:t>
                      </w:r>
                      <w:sdt>
                        <w:sdtPr>
                          <w:rPr>
                            <w:sz w:val="18"/>
                            <w:szCs w:val="18"/>
                          </w:rPr>
                          <w:id w:val="1447122127"/>
                          <w14:checkbox>
                            <w14:checked w14:val="0"/>
                            <w14:checkedState w14:val="2612" w14:font="MS Gothic"/>
                            <w14:uncheckedState w14:val="2610" w14:font="MS Gothic"/>
                          </w14:checkbox>
                        </w:sdtPr>
                        <w:sdtContent>
                          <w:r>
                            <w:rPr>
                              <w:rFonts w:ascii="MS Gothic" w:eastAsia="MS Gothic" w:hAnsi="MS Gothic" w:hint="eastAsia"/>
                              <w:sz w:val="18"/>
                              <w:szCs w:val="18"/>
                              <w:lang w:val="en-US"/>
                            </w:rPr>
                            <w:t>☐</w:t>
                          </w:r>
                        </w:sdtContent>
                      </w:sdt>
                    </w:p>
                    <w:p w14:paraId="07E33DDE" w14:textId="77777777" w:rsidR="001E69D0" w:rsidRDefault="001E69D0" w:rsidP="001E69D0">
                      <w:pPr>
                        <w:rPr>
                          <w:sz w:val="18"/>
                          <w:szCs w:val="18"/>
                        </w:rPr>
                      </w:pPr>
                      <w:r>
                        <w:rPr>
                          <w:sz w:val="18"/>
                          <w:szCs w:val="18"/>
                        </w:rPr>
                        <w:t>Continuing treatment (3 months or more)</w:t>
                      </w:r>
                    </w:p>
                    <w:p w14:paraId="33C932A9" w14:textId="77777777" w:rsidR="001E69D0" w:rsidRDefault="001E69D0" w:rsidP="001E69D0">
                      <w:pPr>
                        <w:rPr>
                          <w:sz w:val="18"/>
                          <w:szCs w:val="18"/>
                        </w:rPr>
                      </w:pPr>
                      <w:r>
                        <w:rPr>
                          <w:sz w:val="18"/>
                          <w:szCs w:val="18"/>
                        </w:rPr>
                        <w:t xml:space="preserve">Recently restarted treatment  </w:t>
                      </w:r>
                      <w:sdt>
                        <w:sdtPr>
                          <w:rPr>
                            <w:sz w:val="18"/>
                            <w:szCs w:val="18"/>
                          </w:rPr>
                          <w:id w:val="-416024326"/>
                          <w14:checkbox>
                            <w14:checked w14:val="0"/>
                            <w14:checkedState w14:val="2612" w14:font="MS Gothic"/>
                            <w14:uncheckedState w14:val="2610" w14:font="MS Gothic"/>
                          </w14:checkbox>
                        </w:sdtPr>
                        <w:sdtContent>
                          <w:r>
                            <w:rPr>
                              <w:rFonts w:ascii="MS Gothic" w:eastAsia="MS Gothic" w:hAnsi="MS Gothic" w:hint="eastAsia"/>
                              <w:sz w:val="18"/>
                              <w:szCs w:val="18"/>
                              <w:lang w:val="en-US"/>
                            </w:rPr>
                            <w:t>☐</w:t>
                          </w:r>
                        </w:sdtContent>
                      </w:sdt>
                    </w:p>
                    <w:p w14:paraId="48A93C09" w14:textId="77777777" w:rsidR="001E69D0" w:rsidRDefault="001E69D0" w:rsidP="001E69D0">
                      <w:pPr>
                        <w:rPr>
                          <w:b/>
                          <w:bCs/>
                          <w:sz w:val="18"/>
                          <w:szCs w:val="18"/>
                        </w:rPr>
                      </w:pPr>
                      <w:r>
                        <w:rPr>
                          <w:b/>
                          <w:bCs/>
                          <w:sz w:val="18"/>
                          <w:szCs w:val="18"/>
                        </w:rPr>
                        <w:t>Tick the following that apply:</w:t>
                      </w:r>
                    </w:p>
                    <w:p w14:paraId="1F70F96B" w14:textId="77777777" w:rsidR="001E69D0" w:rsidRDefault="001E69D0" w:rsidP="001E69D0">
                      <w:pPr>
                        <w:rPr>
                          <w:sz w:val="18"/>
                          <w:szCs w:val="18"/>
                        </w:rPr>
                      </w:pPr>
                      <w:r>
                        <w:rPr>
                          <w:sz w:val="18"/>
                          <w:szCs w:val="18"/>
                        </w:rPr>
                        <w:t xml:space="preserve">Living in rural and remote region </w:t>
                      </w:r>
                      <w:sdt>
                        <w:sdtPr>
                          <w:rPr>
                            <w:sz w:val="18"/>
                            <w:szCs w:val="18"/>
                          </w:rPr>
                          <w:id w:val="1253695606"/>
                          <w14:checkbox>
                            <w14:checked w14:val="0"/>
                            <w14:checkedState w14:val="2612" w14:font="MS Gothic"/>
                            <w14:uncheckedState w14:val="2610" w14:font="MS Gothic"/>
                          </w14:checkbox>
                        </w:sdtPr>
                        <w:sdtContent>
                          <w:r>
                            <w:rPr>
                              <w:rFonts w:ascii="MS Gothic" w:eastAsia="MS Gothic" w:hAnsi="MS Gothic" w:hint="eastAsia"/>
                              <w:sz w:val="18"/>
                              <w:szCs w:val="18"/>
                              <w:lang w:val="en-US"/>
                            </w:rPr>
                            <w:t>☐</w:t>
                          </w:r>
                        </w:sdtContent>
                      </w:sdt>
                    </w:p>
                    <w:p w14:paraId="4C1D30AC" w14:textId="77777777" w:rsidR="001E69D0" w:rsidRDefault="001E69D0" w:rsidP="001E69D0">
                      <w:pPr>
                        <w:rPr>
                          <w:sz w:val="18"/>
                          <w:szCs w:val="18"/>
                        </w:rPr>
                      </w:pPr>
                      <w:r>
                        <w:rPr>
                          <w:sz w:val="18"/>
                          <w:szCs w:val="18"/>
                        </w:rPr>
                        <w:t xml:space="preserve">First Nations person </w:t>
                      </w:r>
                      <w:sdt>
                        <w:sdtPr>
                          <w:rPr>
                            <w:sz w:val="18"/>
                            <w:szCs w:val="18"/>
                          </w:rPr>
                          <w:id w:val="-703406651"/>
                          <w14:checkbox>
                            <w14:checked w14:val="0"/>
                            <w14:checkedState w14:val="2612" w14:font="MS Gothic"/>
                            <w14:uncheckedState w14:val="2610" w14:font="MS Gothic"/>
                          </w14:checkbox>
                        </w:sdtPr>
                        <w:sdtContent>
                          <w:r>
                            <w:rPr>
                              <w:rFonts w:ascii="MS Gothic" w:eastAsia="MS Gothic" w:hAnsi="MS Gothic" w:hint="eastAsia"/>
                              <w:sz w:val="18"/>
                              <w:szCs w:val="18"/>
                              <w:lang w:val="en-US"/>
                            </w:rPr>
                            <w:t>☐</w:t>
                          </w:r>
                        </w:sdtContent>
                      </w:sdt>
                    </w:p>
                    <w:p w14:paraId="16E1162C" w14:textId="77777777" w:rsidR="001E69D0" w:rsidRDefault="001E69D0" w:rsidP="001E69D0">
                      <w:pPr>
                        <w:rPr>
                          <w:sz w:val="18"/>
                          <w:szCs w:val="18"/>
                        </w:rPr>
                      </w:pPr>
                      <w:r>
                        <w:rPr>
                          <w:sz w:val="18"/>
                          <w:szCs w:val="18"/>
                        </w:rPr>
                        <w:t xml:space="preserve">Homeless person </w:t>
                      </w:r>
                      <w:sdt>
                        <w:sdtPr>
                          <w:rPr>
                            <w:sz w:val="18"/>
                            <w:szCs w:val="18"/>
                          </w:rPr>
                          <w:id w:val="1810740604"/>
                          <w14:checkbox>
                            <w14:checked w14:val="0"/>
                            <w14:checkedState w14:val="2612" w14:font="MS Gothic"/>
                            <w14:uncheckedState w14:val="2610" w14:font="MS Gothic"/>
                          </w14:checkbox>
                        </w:sdtPr>
                        <w:sdtContent>
                          <w:r>
                            <w:rPr>
                              <w:rFonts w:ascii="MS Gothic" w:eastAsia="MS Gothic" w:hAnsi="MS Gothic" w:hint="eastAsia"/>
                              <w:sz w:val="18"/>
                              <w:szCs w:val="18"/>
                              <w:lang w:val="en-US"/>
                            </w:rPr>
                            <w:t>☐</w:t>
                          </w:r>
                        </w:sdtContent>
                      </w:sdt>
                    </w:p>
                    <w:p w14:paraId="541C47BC" w14:textId="77777777" w:rsidR="001E69D0" w:rsidRDefault="001E69D0" w:rsidP="001E69D0">
                      <w:pPr>
                        <w:rPr>
                          <w:sz w:val="18"/>
                          <w:szCs w:val="18"/>
                        </w:rPr>
                      </w:pPr>
                      <w:r>
                        <w:rPr>
                          <w:sz w:val="18"/>
                          <w:szCs w:val="18"/>
                        </w:rPr>
                        <w:t xml:space="preserve">Pregnant woman </w:t>
                      </w:r>
                      <w:sdt>
                        <w:sdtPr>
                          <w:rPr>
                            <w:sz w:val="18"/>
                            <w:szCs w:val="18"/>
                          </w:rPr>
                          <w:id w:val="-1629537393"/>
                          <w14:checkbox>
                            <w14:checked w14:val="0"/>
                            <w14:checkedState w14:val="2612" w14:font="MS Gothic"/>
                            <w14:uncheckedState w14:val="2610" w14:font="MS Gothic"/>
                          </w14:checkbox>
                        </w:sdtPr>
                        <w:sdtContent>
                          <w:r>
                            <w:rPr>
                              <w:rFonts w:ascii="MS Gothic" w:eastAsia="MS Gothic" w:hAnsi="MS Gothic" w:hint="eastAsia"/>
                              <w:sz w:val="18"/>
                              <w:szCs w:val="18"/>
                              <w:lang w:val="en-US"/>
                            </w:rPr>
                            <w:t>☐</w:t>
                          </w:r>
                        </w:sdtContent>
                      </w:sdt>
                    </w:p>
                    <w:p w14:paraId="5BF8E883" w14:textId="77777777" w:rsidR="001E69D0" w:rsidRDefault="001E69D0" w:rsidP="001E69D0">
                      <w:pPr>
                        <w:rPr>
                          <w:sz w:val="18"/>
                          <w:szCs w:val="18"/>
                        </w:rPr>
                      </w:pPr>
                      <w:r>
                        <w:rPr>
                          <w:sz w:val="18"/>
                          <w:szCs w:val="18"/>
                        </w:rPr>
                        <w:t xml:space="preserve">Recently released from prison or custody  </w:t>
                      </w:r>
                      <w:sdt>
                        <w:sdtPr>
                          <w:rPr>
                            <w:sz w:val="18"/>
                            <w:szCs w:val="18"/>
                          </w:rPr>
                          <w:id w:val="-1727217124"/>
                          <w14:checkbox>
                            <w14:checked w14:val="0"/>
                            <w14:checkedState w14:val="2612" w14:font="MS Gothic"/>
                            <w14:uncheckedState w14:val="2610" w14:font="MS Gothic"/>
                          </w14:checkbox>
                        </w:sdtPr>
                        <w:sdtContent>
                          <w:r>
                            <w:rPr>
                              <w:rFonts w:ascii="MS Gothic" w:eastAsia="MS Gothic" w:hAnsi="MS Gothic" w:hint="eastAsia"/>
                              <w:sz w:val="18"/>
                              <w:szCs w:val="18"/>
                              <w:lang w:val="en-US"/>
                            </w:rPr>
                            <w:t>☐</w:t>
                          </w:r>
                        </w:sdtContent>
                      </w:sdt>
                    </w:p>
                    <w:p w14:paraId="76FCD509" w14:textId="77777777" w:rsidR="001E69D0" w:rsidRDefault="001E69D0" w:rsidP="001E69D0">
                      <w:pPr>
                        <w:rPr>
                          <w:sz w:val="18"/>
                          <w:szCs w:val="18"/>
                        </w:rPr>
                      </w:pPr>
                      <w:r>
                        <w:rPr>
                          <w:sz w:val="18"/>
                          <w:szCs w:val="18"/>
                        </w:rPr>
                        <w:t xml:space="preserve">Culturally and linguistically diverse </w:t>
                      </w:r>
                      <w:sdt>
                        <w:sdtPr>
                          <w:rPr>
                            <w:sz w:val="18"/>
                            <w:szCs w:val="18"/>
                          </w:rPr>
                          <w:id w:val="785474800"/>
                          <w14:checkbox>
                            <w14:checked w14:val="0"/>
                            <w14:checkedState w14:val="2612" w14:font="MS Gothic"/>
                            <w14:uncheckedState w14:val="2610" w14:font="MS Gothic"/>
                          </w14:checkbox>
                        </w:sdtPr>
                        <w:sdtContent>
                          <w:r>
                            <w:rPr>
                              <w:rFonts w:ascii="MS Gothic" w:eastAsia="MS Gothic" w:hAnsi="MS Gothic" w:hint="eastAsia"/>
                              <w:sz w:val="18"/>
                              <w:szCs w:val="18"/>
                              <w:lang w:val="en-US"/>
                            </w:rPr>
                            <w:t>☐</w:t>
                          </w:r>
                        </w:sdtContent>
                      </w:sdt>
                    </w:p>
                    <w:p w14:paraId="5C85A63D" w14:textId="77777777" w:rsidR="001E69D0" w:rsidRDefault="001E69D0" w:rsidP="001E69D0">
                      <w:pPr>
                        <w:rPr>
                          <w:sz w:val="18"/>
                          <w:szCs w:val="18"/>
                        </w:rPr>
                      </w:pPr>
                      <w:r>
                        <w:rPr>
                          <w:sz w:val="18"/>
                          <w:szCs w:val="18"/>
                        </w:rPr>
                        <w:t xml:space="preserve">LGBTIQA+ </w:t>
                      </w:r>
                      <w:sdt>
                        <w:sdtPr>
                          <w:rPr>
                            <w:sz w:val="18"/>
                            <w:szCs w:val="18"/>
                          </w:rPr>
                          <w:id w:val="-673261823"/>
                          <w14:checkbox>
                            <w14:checked w14:val="0"/>
                            <w14:checkedState w14:val="2612" w14:font="MS Gothic"/>
                            <w14:uncheckedState w14:val="2610" w14:font="MS Gothic"/>
                          </w14:checkbox>
                        </w:sdtPr>
                        <w:sdtContent>
                          <w:r>
                            <w:rPr>
                              <w:rFonts w:ascii="MS Gothic" w:eastAsia="MS Gothic" w:hAnsi="MS Gothic" w:hint="eastAsia"/>
                              <w:sz w:val="18"/>
                              <w:szCs w:val="18"/>
                              <w:lang w:val="en-US"/>
                            </w:rPr>
                            <w:t>☐</w:t>
                          </w:r>
                        </w:sdtContent>
                      </w:sdt>
                    </w:p>
                    <w:p w14:paraId="0E4768A0" w14:textId="77777777" w:rsidR="001E69D0" w:rsidRDefault="001E69D0" w:rsidP="001E69D0">
                      <w:pPr>
                        <w:rPr>
                          <w:sz w:val="18"/>
                          <w:szCs w:val="18"/>
                        </w:rPr>
                      </w:pPr>
                      <w:r>
                        <w:rPr>
                          <w:sz w:val="18"/>
                          <w:szCs w:val="18"/>
                        </w:rPr>
                        <w:t xml:space="preserve">Person living with chronic pain </w:t>
                      </w:r>
                      <w:sdt>
                        <w:sdtPr>
                          <w:rPr>
                            <w:sz w:val="18"/>
                            <w:szCs w:val="18"/>
                          </w:rPr>
                          <w:id w:val="-1904674165"/>
                          <w14:checkbox>
                            <w14:checked w14:val="0"/>
                            <w14:checkedState w14:val="2612" w14:font="MS Gothic"/>
                            <w14:uncheckedState w14:val="2610" w14:font="MS Gothic"/>
                          </w14:checkbox>
                        </w:sdtPr>
                        <w:sdtContent>
                          <w:r>
                            <w:rPr>
                              <w:rFonts w:ascii="MS Gothic" w:eastAsia="MS Gothic" w:hAnsi="MS Gothic" w:hint="eastAsia"/>
                              <w:sz w:val="18"/>
                              <w:szCs w:val="18"/>
                              <w:lang w:val="en-US"/>
                            </w:rPr>
                            <w:t>☐</w:t>
                          </w:r>
                        </w:sdtContent>
                      </w:sdt>
                    </w:p>
                    <w:p w14:paraId="64857C44" w14:textId="77777777" w:rsidR="001E69D0" w:rsidRDefault="001E69D0" w:rsidP="001E69D0">
                      <w:pPr>
                        <w:rPr>
                          <w:sz w:val="18"/>
                          <w:szCs w:val="18"/>
                        </w:rPr>
                      </w:pPr>
                      <w:r>
                        <w:rPr>
                          <w:sz w:val="18"/>
                          <w:szCs w:val="18"/>
                        </w:rPr>
                        <w:t xml:space="preserve">Person part of the elderly population </w:t>
                      </w:r>
                      <w:sdt>
                        <w:sdtPr>
                          <w:rPr>
                            <w:sz w:val="18"/>
                            <w:szCs w:val="18"/>
                          </w:rPr>
                          <w:id w:val="-1197144166"/>
                          <w14:checkbox>
                            <w14:checked w14:val="0"/>
                            <w14:checkedState w14:val="2612" w14:font="MS Gothic"/>
                            <w14:uncheckedState w14:val="2610" w14:font="MS Gothic"/>
                          </w14:checkbox>
                        </w:sdtPr>
                        <w:sdtContent>
                          <w:r>
                            <w:rPr>
                              <w:rFonts w:ascii="MS Gothic" w:eastAsia="MS Gothic" w:hAnsi="MS Gothic" w:hint="eastAsia"/>
                              <w:sz w:val="18"/>
                              <w:szCs w:val="18"/>
                              <w:lang w:val="en-US"/>
                            </w:rPr>
                            <w:t>☐</w:t>
                          </w:r>
                        </w:sdtContent>
                      </w:sdt>
                    </w:p>
                  </w:txbxContent>
                </v:textbox>
                <w10:wrap type="square" anchorx="page"/>
              </v:shape>
            </w:pict>
          </mc:Fallback>
        </mc:AlternateContent>
      </w:r>
      <w:r w:rsidRPr="001E69D0">
        <w:rPr>
          <w:rFonts w:eastAsia="Times New Roman" w:cs="Calibri"/>
          <w:color w:val="000000"/>
          <w:sz w:val="22"/>
          <w:szCs w:val="22"/>
        </w:rPr>
        <w:t>When you</w:t>
      </w:r>
      <w:r w:rsidRPr="001E69D0">
        <w:rPr>
          <w:rFonts w:eastAsia="Times New Roman" w:cs="Calibri"/>
          <w:color w:val="000000"/>
        </w:rPr>
        <w:t xml:space="preserve"> </w:t>
      </w:r>
      <w:r w:rsidRPr="001E69D0">
        <w:rPr>
          <w:rFonts w:eastAsia="Times New Roman" w:cs="Calibri"/>
          <w:b/>
          <w:bCs/>
          <w:color w:val="000000"/>
          <w:sz w:val="22"/>
          <w:szCs w:val="22"/>
          <w:u w:val="single"/>
        </w:rPr>
        <w:t>first started treatment</w:t>
      </w:r>
      <w:r w:rsidRPr="001E69D0">
        <w:rPr>
          <w:rFonts w:eastAsia="Times New Roman" w:cs="Calibri"/>
          <w:color w:val="000000"/>
          <w:sz w:val="22"/>
          <w:szCs w:val="22"/>
        </w:rPr>
        <w:t xml:space="preserve"> on a methadone and/or buprenorphine program for opioid dependence:</w:t>
      </w:r>
    </w:p>
    <w:p w14:paraId="0067B5C9" w14:textId="77777777" w:rsidR="001E69D0" w:rsidRPr="001E69D0" w:rsidRDefault="001E69D0" w:rsidP="007E3DC8">
      <w:pPr>
        <w:numPr>
          <w:ilvl w:val="1"/>
          <w:numId w:val="32"/>
        </w:numPr>
        <w:spacing w:after="0" w:line="240" w:lineRule="auto"/>
        <w:contextualSpacing/>
        <w:jc w:val="left"/>
        <w:rPr>
          <w:rFonts w:eastAsia="Calibri" w:cs="Calibri"/>
          <w:sz w:val="22"/>
          <w:szCs w:val="22"/>
        </w:rPr>
      </w:pPr>
      <w:r w:rsidRPr="001E69D0">
        <w:rPr>
          <w:rFonts w:eastAsia="Calibri" w:cs="Calibri"/>
          <w:sz w:val="22"/>
          <w:szCs w:val="22"/>
        </w:rPr>
        <w:t xml:space="preserve">Who was your prescriber? Doctor </w:t>
      </w:r>
      <w:sdt>
        <w:sdtPr>
          <w:rPr>
            <w:rFonts w:eastAsia="Calibri" w:cs="Calibri"/>
            <w:sz w:val="22"/>
            <w:szCs w:val="22"/>
          </w:rPr>
          <w:id w:val="746158034"/>
          <w14:checkbox>
            <w14:checked w14:val="0"/>
            <w14:checkedState w14:val="2612" w14:font="MS Gothic"/>
            <w14:uncheckedState w14:val="2610" w14:font="MS Gothic"/>
          </w14:checkbox>
        </w:sdtPr>
        <w:sdtContent>
          <w:r w:rsidRPr="001E69D0">
            <w:rPr>
              <w:rFonts w:ascii="Segoe UI Symbol" w:eastAsia="Calibri" w:hAnsi="Segoe UI Symbol" w:cs="Segoe UI Symbol"/>
              <w:sz w:val="22"/>
              <w:szCs w:val="22"/>
            </w:rPr>
            <w:t>☐</w:t>
          </w:r>
        </w:sdtContent>
      </w:sdt>
      <w:r w:rsidRPr="001E69D0">
        <w:rPr>
          <w:rFonts w:eastAsia="Calibri" w:cs="Calibri"/>
          <w:sz w:val="22"/>
          <w:szCs w:val="22"/>
        </w:rPr>
        <w:t xml:space="preserve"> Nurse </w:t>
      </w:r>
      <w:sdt>
        <w:sdtPr>
          <w:rPr>
            <w:rFonts w:eastAsia="Calibri" w:cs="Calibri"/>
            <w:sz w:val="22"/>
            <w:szCs w:val="22"/>
          </w:rPr>
          <w:id w:val="-2005262484"/>
          <w14:checkbox>
            <w14:checked w14:val="0"/>
            <w14:checkedState w14:val="2612" w14:font="MS Gothic"/>
            <w14:uncheckedState w14:val="2610" w14:font="MS Gothic"/>
          </w14:checkbox>
        </w:sdtPr>
        <w:sdtContent>
          <w:r w:rsidRPr="001E69D0">
            <w:rPr>
              <w:rFonts w:ascii="Segoe UI Symbol" w:eastAsia="Calibri" w:hAnsi="Segoe UI Symbol" w:cs="Segoe UI Symbol"/>
              <w:sz w:val="22"/>
              <w:szCs w:val="22"/>
            </w:rPr>
            <w:t>☐</w:t>
          </w:r>
        </w:sdtContent>
      </w:sdt>
      <w:r w:rsidRPr="001E69D0">
        <w:rPr>
          <w:rFonts w:eastAsia="Calibri" w:cs="Calibri"/>
          <w:sz w:val="22"/>
          <w:szCs w:val="22"/>
        </w:rPr>
        <w:t xml:space="preserve"> Other</w:t>
      </w:r>
    </w:p>
    <w:p w14:paraId="25B593DF" w14:textId="77777777" w:rsidR="001E69D0" w:rsidRPr="001E69D0" w:rsidRDefault="001E69D0" w:rsidP="007E3DC8">
      <w:pPr>
        <w:numPr>
          <w:ilvl w:val="1"/>
          <w:numId w:val="32"/>
        </w:numPr>
        <w:spacing w:after="0" w:line="240" w:lineRule="auto"/>
        <w:contextualSpacing/>
        <w:jc w:val="left"/>
        <w:rPr>
          <w:rFonts w:eastAsia="Calibri" w:cs="Calibri"/>
          <w:sz w:val="22"/>
          <w:szCs w:val="22"/>
        </w:rPr>
      </w:pPr>
      <w:r w:rsidRPr="001E69D0">
        <w:rPr>
          <w:rFonts w:eastAsia="Calibri" w:cs="Calibri"/>
          <w:sz w:val="22"/>
          <w:szCs w:val="22"/>
        </w:rPr>
        <w:t>Where did you receive your methadone and/or buprenorphine dose – eg a free public clinic, an alcohol and drug service, a community pharmacy or through another service?</w:t>
      </w:r>
    </w:p>
    <w:p w14:paraId="41F6A02A" w14:textId="77777777" w:rsidR="001E69D0" w:rsidRPr="001E69D0" w:rsidRDefault="001E69D0" w:rsidP="007E3DC8">
      <w:pPr>
        <w:numPr>
          <w:ilvl w:val="1"/>
          <w:numId w:val="32"/>
        </w:numPr>
        <w:spacing w:after="0" w:line="240" w:lineRule="auto"/>
        <w:contextualSpacing/>
        <w:jc w:val="left"/>
        <w:rPr>
          <w:rFonts w:eastAsia="Calibri" w:cs="Calibri"/>
          <w:sz w:val="22"/>
          <w:szCs w:val="22"/>
        </w:rPr>
      </w:pPr>
      <w:r w:rsidRPr="001E69D0">
        <w:rPr>
          <w:rFonts w:eastAsia="Calibri" w:cs="Calibri"/>
          <w:sz w:val="22"/>
          <w:szCs w:val="22"/>
        </w:rPr>
        <w:t>What drug were you prescribed?</w:t>
      </w:r>
    </w:p>
    <w:p w14:paraId="2D6B3E6E" w14:textId="77777777" w:rsidR="001E69D0" w:rsidRPr="001E69D0" w:rsidRDefault="001E69D0" w:rsidP="007E3DC8">
      <w:pPr>
        <w:numPr>
          <w:ilvl w:val="2"/>
          <w:numId w:val="32"/>
        </w:numPr>
        <w:spacing w:after="0" w:line="240" w:lineRule="auto"/>
        <w:contextualSpacing/>
        <w:jc w:val="left"/>
        <w:rPr>
          <w:rFonts w:eastAsia="Calibri" w:cs="Calibri"/>
          <w:sz w:val="22"/>
          <w:szCs w:val="22"/>
        </w:rPr>
      </w:pPr>
      <w:r w:rsidRPr="001E69D0">
        <w:rPr>
          <w:rFonts w:eastAsia="Calibri" w:cs="Calibri"/>
          <w:sz w:val="22"/>
          <w:szCs w:val="22"/>
        </w:rPr>
        <w:t>Methadone</w:t>
      </w:r>
    </w:p>
    <w:p w14:paraId="0646CD45" w14:textId="77777777" w:rsidR="001E69D0" w:rsidRPr="001E69D0" w:rsidRDefault="001E69D0" w:rsidP="007E3DC8">
      <w:pPr>
        <w:numPr>
          <w:ilvl w:val="2"/>
          <w:numId w:val="32"/>
        </w:numPr>
        <w:spacing w:after="0" w:line="240" w:lineRule="auto"/>
        <w:contextualSpacing/>
        <w:jc w:val="left"/>
        <w:rPr>
          <w:rFonts w:eastAsia="Calibri" w:cs="Calibri"/>
          <w:sz w:val="22"/>
          <w:szCs w:val="22"/>
        </w:rPr>
      </w:pPr>
      <w:r w:rsidRPr="001E69D0">
        <w:rPr>
          <w:rFonts w:eastAsia="Calibri" w:cs="Calibri"/>
          <w:sz w:val="22"/>
          <w:szCs w:val="22"/>
        </w:rPr>
        <w:t>Buprenorphine tablet</w:t>
      </w:r>
    </w:p>
    <w:p w14:paraId="653D723B" w14:textId="77777777" w:rsidR="001E69D0" w:rsidRPr="001E69D0" w:rsidRDefault="001E69D0" w:rsidP="007E3DC8">
      <w:pPr>
        <w:numPr>
          <w:ilvl w:val="2"/>
          <w:numId w:val="32"/>
        </w:numPr>
        <w:spacing w:after="0" w:line="240" w:lineRule="auto"/>
        <w:contextualSpacing/>
        <w:jc w:val="left"/>
        <w:rPr>
          <w:rFonts w:eastAsia="Calibri" w:cs="Calibri"/>
          <w:sz w:val="22"/>
          <w:szCs w:val="22"/>
        </w:rPr>
      </w:pPr>
      <w:r w:rsidRPr="001E69D0">
        <w:rPr>
          <w:rFonts w:eastAsia="Calibri" w:cs="Calibri"/>
          <w:sz w:val="22"/>
          <w:szCs w:val="22"/>
        </w:rPr>
        <w:t>Buprenorphine film</w:t>
      </w:r>
    </w:p>
    <w:p w14:paraId="01543B0C" w14:textId="77777777" w:rsidR="001E69D0" w:rsidRPr="001E69D0" w:rsidRDefault="001E69D0" w:rsidP="007E3DC8">
      <w:pPr>
        <w:numPr>
          <w:ilvl w:val="2"/>
          <w:numId w:val="32"/>
        </w:numPr>
        <w:spacing w:after="0" w:line="240" w:lineRule="auto"/>
        <w:contextualSpacing/>
        <w:jc w:val="left"/>
        <w:rPr>
          <w:rFonts w:eastAsia="Calibri" w:cs="Calibri"/>
          <w:sz w:val="22"/>
          <w:szCs w:val="22"/>
        </w:rPr>
      </w:pPr>
      <w:r w:rsidRPr="001E69D0">
        <w:rPr>
          <w:rFonts w:eastAsia="Calibri" w:cs="Calibri"/>
          <w:sz w:val="22"/>
          <w:szCs w:val="22"/>
        </w:rPr>
        <w:t>Buprenorphine injection</w:t>
      </w:r>
    </w:p>
    <w:p w14:paraId="1769E745" w14:textId="77777777" w:rsidR="001E69D0" w:rsidRPr="001E69D0" w:rsidRDefault="001E69D0" w:rsidP="001E69D0">
      <w:pPr>
        <w:spacing w:after="0" w:line="240" w:lineRule="auto"/>
        <w:ind w:left="1440"/>
        <w:contextualSpacing/>
        <w:jc w:val="left"/>
        <w:rPr>
          <w:rFonts w:eastAsia="Calibri" w:cs="Calibri"/>
        </w:rPr>
      </w:pPr>
    </w:p>
    <w:p w14:paraId="54DA067A" w14:textId="77777777" w:rsidR="001E69D0" w:rsidRPr="001E69D0" w:rsidRDefault="001E69D0" w:rsidP="007E3DC8">
      <w:pPr>
        <w:numPr>
          <w:ilvl w:val="0"/>
          <w:numId w:val="32"/>
        </w:numPr>
        <w:spacing w:after="0" w:line="240" w:lineRule="auto"/>
        <w:contextualSpacing/>
        <w:jc w:val="left"/>
        <w:rPr>
          <w:rFonts w:eastAsia="Calibri" w:cs="Calibri"/>
        </w:rPr>
      </w:pPr>
      <w:r w:rsidRPr="001E69D0">
        <w:rPr>
          <w:rFonts w:eastAsia="Calibri" w:cs="Calibri"/>
        </w:rPr>
        <w:t xml:space="preserve">Where do you </w:t>
      </w:r>
      <w:r w:rsidRPr="001E69D0">
        <w:rPr>
          <w:rFonts w:eastAsia="Calibri" w:cs="Calibri"/>
          <w:b/>
          <w:bCs/>
          <w:u w:val="single"/>
        </w:rPr>
        <w:t>currently receive</w:t>
      </w:r>
      <w:r w:rsidRPr="001E69D0">
        <w:rPr>
          <w:rFonts w:eastAsia="Calibri" w:cs="Calibri"/>
        </w:rPr>
        <w:t xml:space="preserve"> your methadone and/or buprenorphine dose?</w:t>
      </w:r>
    </w:p>
    <w:p w14:paraId="4B375571" w14:textId="77777777" w:rsidR="001E69D0" w:rsidRPr="001E69D0" w:rsidRDefault="001E69D0" w:rsidP="007E3DC8">
      <w:pPr>
        <w:numPr>
          <w:ilvl w:val="1"/>
          <w:numId w:val="32"/>
        </w:numPr>
        <w:spacing w:after="0" w:line="240" w:lineRule="auto"/>
        <w:contextualSpacing/>
        <w:jc w:val="left"/>
        <w:rPr>
          <w:rFonts w:eastAsia="Calibri" w:cs="Calibri"/>
        </w:rPr>
      </w:pPr>
      <w:r w:rsidRPr="001E69D0">
        <w:rPr>
          <w:rFonts w:eastAsia="Calibri" w:cs="Calibri"/>
        </w:rPr>
        <w:t>a free public clinic, an alcohol and drug service, a community pharmacy or through another service?</w:t>
      </w:r>
    </w:p>
    <w:p w14:paraId="24D5AD6A" w14:textId="77777777" w:rsidR="001E69D0" w:rsidRPr="001E69D0" w:rsidRDefault="001E69D0" w:rsidP="007E3DC8">
      <w:pPr>
        <w:numPr>
          <w:ilvl w:val="1"/>
          <w:numId w:val="32"/>
        </w:numPr>
        <w:spacing w:after="0" w:line="240" w:lineRule="auto"/>
        <w:contextualSpacing/>
        <w:jc w:val="left"/>
        <w:rPr>
          <w:rFonts w:eastAsia="Calibri" w:cs="Calibri"/>
          <w:sz w:val="22"/>
          <w:szCs w:val="22"/>
        </w:rPr>
      </w:pPr>
      <w:r w:rsidRPr="001E69D0">
        <w:rPr>
          <w:rFonts w:eastAsia="Calibri" w:cs="Calibri"/>
          <w:sz w:val="22"/>
          <w:szCs w:val="22"/>
        </w:rPr>
        <w:t>If from a community pharmacy, can you choose which community pharmacy you get your methadone and/or buprenorphine dose from?</w:t>
      </w:r>
    </w:p>
    <w:p w14:paraId="346A7B6C" w14:textId="77777777" w:rsidR="001E69D0" w:rsidRPr="001E69D0" w:rsidRDefault="001E69D0" w:rsidP="007E3DC8">
      <w:pPr>
        <w:numPr>
          <w:ilvl w:val="1"/>
          <w:numId w:val="32"/>
        </w:numPr>
        <w:spacing w:after="0" w:line="240" w:lineRule="auto"/>
        <w:contextualSpacing/>
        <w:jc w:val="left"/>
        <w:rPr>
          <w:rFonts w:eastAsia="Calibri" w:cs="Calibri"/>
          <w:sz w:val="22"/>
          <w:szCs w:val="22"/>
        </w:rPr>
      </w:pPr>
      <w:r w:rsidRPr="001E69D0">
        <w:rPr>
          <w:rFonts w:eastAsia="Calibri" w:cs="Calibri"/>
          <w:sz w:val="22"/>
          <w:szCs w:val="22"/>
        </w:rPr>
        <w:t xml:space="preserve">If from a community pharmacy, what works well and what </w:t>
      </w:r>
    </w:p>
    <w:p w14:paraId="740DB5BF" w14:textId="77777777" w:rsidR="001E69D0" w:rsidRPr="001E69D0" w:rsidRDefault="001E69D0" w:rsidP="007E3DC8">
      <w:pPr>
        <w:numPr>
          <w:ilvl w:val="2"/>
          <w:numId w:val="32"/>
        </w:numPr>
        <w:spacing w:after="0" w:line="240" w:lineRule="auto"/>
        <w:contextualSpacing/>
        <w:jc w:val="left"/>
        <w:rPr>
          <w:rFonts w:eastAsia="Calibri" w:cs="Calibri"/>
          <w:sz w:val="22"/>
          <w:szCs w:val="22"/>
        </w:rPr>
      </w:pPr>
      <w:r w:rsidRPr="001E69D0">
        <w:rPr>
          <w:rFonts w:eastAsia="Calibri" w:cs="Calibri"/>
          <w:sz w:val="22"/>
          <w:szCs w:val="22"/>
        </w:rPr>
        <w:t>What works well?</w:t>
      </w:r>
    </w:p>
    <w:p w14:paraId="4D026695" w14:textId="77777777" w:rsidR="001E69D0" w:rsidRPr="001E69D0" w:rsidRDefault="001E69D0" w:rsidP="007E3DC8">
      <w:pPr>
        <w:numPr>
          <w:ilvl w:val="2"/>
          <w:numId w:val="32"/>
        </w:numPr>
        <w:spacing w:after="0" w:line="240" w:lineRule="auto"/>
        <w:contextualSpacing/>
        <w:jc w:val="left"/>
        <w:rPr>
          <w:rFonts w:eastAsia="Calibri" w:cs="Calibri"/>
          <w:sz w:val="22"/>
          <w:szCs w:val="22"/>
        </w:rPr>
      </w:pPr>
      <w:r w:rsidRPr="001E69D0">
        <w:rPr>
          <w:rFonts w:eastAsia="Calibri" w:cs="Calibri"/>
          <w:sz w:val="22"/>
          <w:szCs w:val="22"/>
        </w:rPr>
        <w:t xml:space="preserve">What can be improved? </w:t>
      </w:r>
    </w:p>
    <w:p w14:paraId="70264841" w14:textId="77777777" w:rsidR="001E69D0" w:rsidRPr="001E69D0" w:rsidRDefault="001E69D0" w:rsidP="001E69D0">
      <w:pPr>
        <w:spacing w:after="0" w:line="240" w:lineRule="auto"/>
        <w:ind w:left="2160"/>
        <w:contextualSpacing/>
        <w:jc w:val="left"/>
        <w:rPr>
          <w:rFonts w:eastAsia="Calibri" w:cs="Calibri"/>
          <w:sz w:val="22"/>
          <w:szCs w:val="22"/>
        </w:rPr>
      </w:pPr>
    </w:p>
    <w:p w14:paraId="07AED58F" w14:textId="77777777" w:rsidR="001E69D0" w:rsidRPr="001E69D0" w:rsidRDefault="001E69D0" w:rsidP="007E3DC8">
      <w:pPr>
        <w:numPr>
          <w:ilvl w:val="0"/>
          <w:numId w:val="32"/>
        </w:numPr>
        <w:spacing w:after="0" w:line="240" w:lineRule="auto"/>
        <w:contextualSpacing/>
        <w:jc w:val="left"/>
        <w:rPr>
          <w:rFonts w:eastAsia="Calibri" w:cs="Calibri"/>
          <w:sz w:val="22"/>
          <w:szCs w:val="22"/>
        </w:rPr>
      </w:pPr>
      <w:r w:rsidRPr="001E69D0">
        <w:rPr>
          <w:rFonts w:eastAsia="Calibri" w:cs="Calibri"/>
          <w:sz w:val="22"/>
          <w:szCs w:val="22"/>
        </w:rPr>
        <w:t xml:space="preserve">In general, what has been your experience of the methadone and/or buprenorphine program services or service providers? </w:t>
      </w:r>
    </w:p>
    <w:p w14:paraId="594390CF" w14:textId="77777777" w:rsidR="001E69D0" w:rsidRPr="001E69D0" w:rsidRDefault="001E69D0" w:rsidP="007E3DC8">
      <w:pPr>
        <w:numPr>
          <w:ilvl w:val="1"/>
          <w:numId w:val="32"/>
        </w:numPr>
        <w:spacing w:after="0" w:line="240" w:lineRule="auto"/>
        <w:contextualSpacing/>
        <w:jc w:val="left"/>
        <w:rPr>
          <w:rFonts w:eastAsia="Calibri" w:cs="Calibri"/>
          <w:sz w:val="22"/>
          <w:szCs w:val="22"/>
        </w:rPr>
      </w:pPr>
      <w:r w:rsidRPr="001E69D0">
        <w:rPr>
          <w:rFonts w:eastAsia="Calibri" w:cs="Calibri"/>
          <w:sz w:val="22"/>
          <w:szCs w:val="22"/>
        </w:rPr>
        <w:t>What worked well?</w:t>
      </w:r>
    </w:p>
    <w:p w14:paraId="10174871" w14:textId="77777777" w:rsidR="001E69D0" w:rsidRPr="001E69D0" w:rsidRDefault="001E69D0" w:rsidP="007E3DC8">
      <w:pPr>
        <w:numPr>
          <w:ilvl w:val="1"/>
          <w:numId w:val="32"/>
        </w:numPr>
        <w:spacing w:after="0" w:line="240" w:lineRule="auto"/>
        <w:contextualSpacing/>
        <w:jc w:val="left"/>
        <w:rPr>
          <w:rFonts w:eastAsia="Calibri" w:cs="Calibri"/>
          <w:sz w:val="22"/>
          <w:szCs w:val="22"/>
        </w:rPr>
      </w:pPr>
      <w:r w:rsidRPr="001E69D0">
        <w:rPr>
          <w:rFonts w:eastAsia="Calibri" w:cs="Calibri"/>
          <w:sz w:val="22"/>
          <w:szCs w:val="22"/>
        </w:rPr>
        <w:t xml:space="preserve">What did you find difficult? </w:t>
      </w:r>
    </w:p>
    <w:p w14:paraId="6842D876" w14:textId="77777777" w:rsidR="001E69D0" w:rsidRPr="001E69D0" w:rsidRDefault="001E69D0" w:rsidP="007E3DC8">
      <w:pPr>
        <w:numPr>
          <w:ilvl w:val="1"/>
          <w:numId w:val="32"/>
        </w:numPr>
        <w:spacing w:after="0" w:line="240" w:lineRule="auto"/>
        <w:contextualSpacing/>
        <w:jc w:val="left"/>
        <w:rPr>
          <w:rFonts w:eastAsia="Calibri" w:cs="Calibri"/>
          <w:sz w:val="22"/>
          <w:szCs w:val="22"/>
        </w:rPr>
      </w:pPr>
      <w:r w:rsidRPr="001E69D0">
        <w:rPr>
          <w:rFonts w:eastAsia="Calibri" w:cs="Calibri"/>
          <w:sz w:val="22"/>
          <w:szCs w:val="22"/>
        </w:rPr>
        <w:t>What could be improved?</w:t>
      </w:r>
    </w:p>
    <w:p w14:paraId="677716A8" w14:textId="77777777" w:rsidR="001E69D0" w:rsidRPr="001E69D0" w:rsidRDefault="001E69D0" w:rsidP="007E3DC8">
      <w:pPr>
        <w:numPr>
          <w:ilvl w:val="1"/>
          <w:numId w:val="32"/>
        </w:numPr>
        <w:spacing w:after="0" w:line="240" w:lineRule="auto"/>
        <w:contextualSpacing/>
        <w:jc w:val="left"/>
        <w:rPr>
          <w:rFonts w:eastAsia="Calibri" w:cs="Calibri"/>
          <w:sz w:val="22"/>
          <w:szCs w:val="22"/>
        </w:rPr>
      </w:pPr>
      <w:r w:rsidRPr="001E69D0">
        <w:rPr>
          <w:rFonts w:eastAsia="Calibri" w:cs="Calibri"/>
          <w:sz w:val="22"/>
          <w:szCs w:val="22"/>
        </w:rPr>
        <w:t>Were you ever given a referral to a specialist or other support services – If so, what worked well and what could be improved?</w:t>
      </w:r>
    </w:p>
    <w:p w14:paraId="5EAD2B88" w14:textId="77777777" w:rsidR="001E69D0" w:rsidRPr="001E69D0" w:rsidRDefault="001E69D0" w:rsidP="001E69D0">
      <w:pPr>
        <w:spacing w:after="0" w:line="240" w:lineRule="auto"/>
        <w:ind w:left="1069"/>
        <w:contextualSpacing/>
        <w:jc w:val="left"/>
        <w:rPr>
          <w:rFonts w:eastAsia="Calibri" w:cs="Calibri"/>
        </w:rPr>
      </w:pPr>
    </w:p>
    <w:p w14:paraId="346BEDF4" w14:textId="77777777" w:rsidR="001E69D0" w:rsidRPr="001E69D0" w:rsidRDefault="001E69D0" w:rsidP="007E3DC8">
      <w:pPr>
        <w:keepNext/>
        <w:numPr>
          <w:ilvl w:val="0"/>
          <w:numId w:val="32"/>
        </w:numPr>
        <w:spacing w:after="0" w:line="240" w:lineRule="auto"/>
        <w:ind w:left="714" w:hanging="357"/>
        <w:contextualSpacing/>
        <w:jc w:val="left"/>
        <w:rPr>
          <w:rFonts w:eastAsia="Calibri" w:cs="Calibri"/>
          <w:sz w:val="22"/>
          <w:szCs w:val="22"/>
        </w:rPr>
      </w:pPr>
      <w:r w:rsidRPr="001E69D0">
        <w:rPr>
          <w:rFonts w:eastAsia="Calibri" w:cs="Calibri"/>
          <w:sz w:val="22"/>
          <w:szCs w:val="22"/>
        </w:rPr>
        <w:t xml:space="preserve">When on a methadone and/or buprenorphine program do you also receive other treatment or support services such as counselling/mental health services, social/welfare/case management? </w:t>
      </w:r>
    </w:p>
    <w:p w14:paraId="2B94728C" w14:textId="77777777" w:rsidR="001E69D0" w:rsidRPr="001E69D0" w:rsidRDefault="001E69D0" w:rsidP="007E3DC8">
      <w:pPr>
        <w:numPr>
          <w:ilvl w:val="1"/>
          <w:numId w:val="32"/>
        </w:numPr>
        <w:spacing w:after="0" w:line="240" w:lineRule="auto"/>
        <w:contextualSpacing/>
        <w:jc w:val="left"/>
        <w:rPr>
          <w:rFonts w:eastAsia="Calibri" w:cs="Calibri"/>
          <w:sz w:val="22"/>
          <w:szCs w:val="22"/>
        </w:rPr>
      </w:pPr>
      <w:r w:rsidRPr="001E69D0">
        <w:rPr>
          <w:rFonts w:eastAsia="Calibri" w:cs="Calibri"/>
          <w:sz w:val="22"/>
          <w:szCs w:val="22"/>
        </w:rPr>
        <w:t>No, Im on a methadone and/or buprenorphine program and don’t receive any other treatment/support</w:t>
      </w:r>
    </w:p>
    <w:p w14:paraId="78FB3494" w14:textId="77777777" w:rsidR="001E69D0" w:rsidRPr="001E69D0" w:rsidRDefault="001E69D0" w:rsidP="007E3DC8">
      <w:pPr>
        <w:numPr>
          <w:ilvl w:val="1"/>
          <w:numId w:val="32"/>
        </w:numPr>
        <w:spacing w:after="0" w:line="240" w:lineRule="auto"/>
        <w:contextualSpacing/>
        <w:jc w:val="left"/>
        <w:rPr>
          <w:rFonts w:eastAsia="Calibri" w:cs="Calibri"/>
          <w:sz w:val="22"/>
          <w:szCs w:val="22"/>
        </w:rPr>
      </w:pPr>
      <w:r w:rsidRPr="001E69D0">
        <w:rPr>
          <w:rFonts w:eastAsia="Calibri" w:cs="Calibri"/>
          <w:sz w:val="22"/>
          <w:szCs w:val="22"/>
        </w:rPr>
        <w:t xml:space="preserve">If yes, what treatment or support are you receiving? </w:t>
      </w:r>
    </w:p>
    <w:p w14:paraId="581D1C28" w14:textId="77777777" w:rsidR="001E69D0" w:rsidRPr="001E69D0" w:rsidRDefault="001E69D0" w:rsidP="007E3DC8">
      <w:pPr>
        <w:numPr>
          <w:ilvl w:val="2"/>
          <w:numId w:val="32"/>
        </w:numPr>
        <w:spacing w:after="0" w:line="240" w:lineRule="auto"/>
        <w:contextualSpacing/>
        <w:jc w:val="left"/>
        <w:rPr>
          <w:rFonts w:eastAsia="Calibri" w:cs="Calibri"/>
          <w:sz w:val="22"/>
          <w:szCs w:val="22"/>
        </w:rPr>
      </w:pPr>
      <w:r w:rsidRPr="001E69D0">
        <w:rPr>
          <w:rFonts w:eastAsia="Calibri" w:cs="Calibri"/>
          <w:sz w:val="22"/>
          <w:szCs w:val="22"/>
        </w:rPr>
        <w:t>What worked well?</w:t>
      </w:r>
    </w:p>
    <w:p w14:paraId="6FCE1740" w14:textId="77777777" w:rsidR="001E69D0" w:rsidRPr="001E69D0" w:rsidRDefault="001E69D0" w:rsidP="007E3DC8">
      <w:pPr>
        <w:numPr>
          <w:ilvl w:val="2"/>
          <w:numId w:val="32"/>
        </w:numPr>
        <w:spacing w:after="0" w:line="240" w:lineRule="auto"/>
        <w:contextualSpacing/>
        <w:jc w:val="left"/>
        <w:rPr>
          <w:rFonts w:eastAsia="Calibri" w:cs="Calibri"/>
          <w:sz w:val="22"/>
          <w:szCs w:val="22"/>
        </w:rPr>
      </w:pPr>
      <w:r w:rsidRPr="001E69D0">
        <w:rPr>
          <w:rFonts w:eastAsia="Calibri" w:cs="Calibri"/>
          <w:sz w:val="22"/>
          <w:szCs w:val="22"/>
        </w:rPr>
        <w:t xml:space="preserve">What can be improved? </w:t>
      </w:r>
    </w:p>
    <w:p w14:paraId="505EE198" w14:textId="77777777" w:rsidR="001E69D0" w:rsidRPr="001E69D0" w:rsidRDefault="001E69D0" w:rsidP="001E69D0">
      <w:pPr>
        <w:spacing w:after="0" w:line="240" w:lineRule="auto"/>
        <w:ind w:left="2160"/>
        <w:contextualSpacing/>
        <w:jc w:val="left"/>
        <w:rPr>
          <w:rFonts w:eastAsia="Calibri" w:cs="Calibri"/>
          <w:sz w:val="22"/>
          <w:szCs w:val="22"/>
        </w:rPr>
      </w:pPr>
    </w:p>
    <w:p w14:paraId="63015B0F" w14:textId="77777777" w:rsidR="001E69D0" w:rsidRPr="001E69D0" w:rsidRDefault="001E69D0" w:rsidP="007E3DC8">
      <w:pPr>
        <w:numPr>
          <w:ilvl w:val="0"/>
          <w:numId w:val="32"/>
        </w:numPr>
        <w:spacing w:after="0" w:line="240" w:lineRule="auto"/>
        <w:contextualSpacing/>
        <w:jc w:val="left"/>
        <w:rPr>
          <w:rFonts w:eastAsia="Calibri" w:cs="Calibri"/>
          <w:sz w:val="22"/>
          <w:szCs w:val="22"/>
        </w:rPr>
      </w:pPr>
      <w:r w:rsidRPr="001E69D0">
        <w:rPr>
          <w:rFonts w:eastAsia="Calibri" w:cs="Calibri"/>
          <w:sz w:val="22"/>
          <w:szCs w:val="22"/>
        </w:rPr>
        <w:t xml:space="preserve">Have you switched medicines for opioid dependence treatment before, for example to the buprenorphine injection? How did you find the process of switching over to another medicine? How could this be improved? </w:t>
      </w:r>
    </w:p>
    <w:p w14:paraId="460F3C4B" w14:textId="77777777" w:rsidR="001E69D0" w:rsidRPr="001E69D0" w:rsidRDefault="001E69D0" w:rsidP="001E69D0">
      <w:pPr>
        <w:spacing w:after="0" w:line="240" w:lineRule="auto"/>
        <w:ind w:left="720"/>
        <w:contextualSpacing/>
        <w:jc w:val="left"/>
        <w:rPr>
          <w:rFonts w:eastAsia="Calibri" w:cs="Calibri"/>
          <w:sz w:val="22"/>
          <w:szCs w:val="22"/>
        </w:rPr>
      </w:pPr>
    </w:p>
    <w:p w14:paraId="5188EE06" w14:textId="77777777" w:rsidR="001E69D0" w:rsidRPr="001E69D0" w:rsidRDefault="001E69D0" w:rsidP="007E3DC8">
      <w:pPr>
        <w:numPr>
          <w:ilvl w:val="0"/>
          <w:numId w:val="32"/>
        </w:numPr>
        <w:spacing w:after="0" w:line="240" w:lineRule="auto"/>
        <w:contextualSpacing/>
        <w:jc w:val="left"/>
        <w:rPr>
          <w:rFonts w:eastAsia="Calibri" w:cs="Calibri"/>
          <w:sz w:val="22"/>
          <w:szCs w:val="22"/>
        </w:rPr>
      </w:pPr>
      <w:r w:rsidRPr="001E69D0">
        <w:rPr>
          <w:rFonts w:eastAsia="Calibri" w:cs="Calibri"/>
          <w:sz w:val="22"/>
          <w:szCs w:val="22"/>
        </w:rPr>
        <w:t xml:space="preserve">We understand that ODT can be costly for many people.   </w:t>
      </w:r>
    </w:p>
    <w:p w14:paraId="0D2041C9" w14:textId="77777777" w:rsidR="001E69D0" w:rsidRPr="001E69D0" w:rsidRDefault="001E69D0" w:rsidP="007E3DC8">
      <w:pPr>
        <w:numPr>
          <w:ilvl w:val="0"/>
          <w:numId w:val="33"/>
        </w:numPr>
        <w:spacing w:after="0" w:line="240" w:lineRule="auto"/>
        <w:contextualSpacing/>
        <w:jc w:val="left"/>
        <w:rPr>
          <w:rFonts w:eastAsia="Calibri" w:cs="Calibri"/>
          <w:sz w:val="22"/>
          <w:szCs w:val="22"/>
        </w:rPr>
      </w:pPr>
      <w:r w:rsidRPr="001E69D0">
        <w:rPr>
          <w:rFonts w:eastAsia="Calibri" w:cs="Calibri"/>
          <w:sz w:val="22"/>
          <w:szCs w:val="22"/>
        </w:rPr>
        <w:t xml:space="preserve">How does the financial cost of ODT impact your life? </w:t>
      </w:r>
    </w:p>
    <w:p w14:paraId="29887B30" w14:textId="77777777" w:rsidR="001E69D0" w:rsidRPr="001E69D0" w:rsidRDefault="001E69D0" w:rsidP="007E3DC8">
      <w:pPr>
        <w:numPr>
          <w:ilvl w:val="0"/>
          <w:numId w:val="33"/>
        </w:numPr>
        <w:spacing w:after="0" w:line="240" w:lineRule="auto"/>
        <w:contextualSpacing/>
        <w:jc w:val="left"/>
        <w:rPr>
          <w:rFonts w:eastAsia="Calibri" w:cs="Calibri"/>
          <w:sz w:val="22"/>
          <w:szCs w:val="22"/>
        </w:rPr>
      </w:pPr>
      <w:r w:rsidRPr="001E69D0">
        <w:rPr>
          <w:rFonts w:eastAsia="Calibri" w:cs="Calibri"/>
          <w:sz w:val="22"/>
          <w:szCs w:val="22"/>
        </w:rPr>
        <w:t>What would make treatment affordable to you?</w:t>
      </w:r>
    </w:p>
    <w:p w14:paraId="73EA98A2" w14:textId="77777777" w:rsidR="001E69D0" w:rsidRPr="001E69D0" w:rsidRDefault="001E69D0" w:rsidP="001E69D0">
      <w:pPr>
        <w:spacing w:after="0" w:line="240" w:lineRule="auto"/>
        <w:ind w:left="1440"/>
        <w:contextualSpacing/>
        <w:jc w:val="left"/>
        <w:rPr>
          <w:rFonts w:eastAsia="Calibri" w:cs="Calibri"/>
          <w:sz w:val="22"/>
          <w:szCs w:val="22"/>
        </w:rPr>
      </w:pPr>
    </w:p>
    <w:p w14:paraId="09EE6189" w14:textId="77777777" w:rsidR="001E69D0" w:rsidRPr="001E69D0" w:rsidRDefault="001E69D0" w:rsidP="007E3DC8">
      <w:pPr>
        <w:numPr>
          <w:ilvl w:val="0"/>
          <w:numId w:val="32"/>
        </w:numPr>
        <w:spacing w:after="0" w:line="240" w:lineRule="auto"/>
        <w:contextualSpacing/>
        <w:jc w:val="left"/>
        <w:rPr>
          <w:rFonts w:eastAsia="Calibri" w:cs="Calibri"/>
          <w:sz w:val="22"/>
          <w:szCs w:val="22"/>
        </w:rPr>
      </w:pPr>
      <w:r w:rsidRPr="001E69D0">
        <w:rPr>
          <w:rFonts w:eastAsia="Calibri" w:cs="Calibri"/>
          <w:sz w:val="22"/>
          <w:szCs w:val="22"/>
        </w:rPr>
        <w:t xml:space="preserve">What has been your experience (if any) transitioning between treatment settings (e.g. hospital to community, public clinic to community pharmacy, prison to community)? </w:t>
      </w:r>
    </w:p>
    <w:p w14:paraId="192080CA" w14:textId="77777777" w:rsidR="001E69D0" w:rsidRPr="001E69D0" w:rsidRDefault="001E69D0" w:rsidP="007E3DC8">
      <w:pPr>
        <w:numPr>
          <w:ilvl w:val="0"/>
          <w:numId w:val="36"/>
        </w:numPr>
        <w:spacing w:after="0" w:line="240" w:lineRule="auto"/>
        <w:contextualSpacing/>
        <w:jc w:val="left"/>
        <w:rPr>
          <w:rFonts w:eastAsia="Calibri" w:cs="Calibri"/>
          <w:sz w:val="22"/>
          <w:szCs w:val="22"/>
        </w:rPr>
      </w:pPr>
      <w:r w:rsidRPr="001E69D0">
        <w:rPr>
          <w:rFonts w:eastAsia="Calibri" w:cs="Calibri"/>
          <w:sz w:val="22"/>
          <w:szCs w:val="22"/>
        </w:rPr>
        <w:t>What worked well</w:t>
      </w:r>
    </w:p>
    <w:p w14:paraId="0EF98BD2" w14:textId="77777777" w:rsidR="001E69D0" w:rsidRPr="001E69D0" w:rsidRDefault="001E69D0" w:rsidP="007E3DC8">
      <w:pPr>
        <w:numPr>
          <w:ilvl w:val="0"/>
          <w:numId w:val="36"/>
        </w:numPr>
        <w:spacing w:after="0" w:line="240" w:lineRule="auto"/>
        <w:contextualSpacing/>
        <w:jc w:val="left"/>
        <w:rPr>
          <w:rFonts w:eastAsia="Calibri" w:cs="Calibri"/>
          <w:sz w:val="22"/>
          <w:szCs w:val="22"/>
        </w:rPr>
      </w:pPr>
      <w:r w:rsidRPr="001E69D0">
        <w:rPr>
          <w:rFonts w:eastAsia="Calibri" w:cs="Calibri"/>
          <w:sz w:val="22"/>
          <w:szCs w:val="22"/>
        </w:rPr>
        <w:t>What did you find difficult?</w:t>
      </w:r>
    </w:p>
    <w:p w14:paraId="1675A0E1" w14:textId="77777777" w:rsidR="001E69D0" w:rsidRPr="001E69D0" w:rsidRDefault="001E69D0" w:rsidP="007E3DC8">
      <w:pPr>
        <w:numPr>
          <w:ilvl w:val="0"/>
          <w:numId w:val="36"/>
        </w:numPr>
        <w:spacing w:after="0" w:line="240" w:lineRule="auto"/>
        <w:contextualSpacing/>
        <w:jc w:val="left"/>
        <w:rPr>
          <w:rFonts w:eastAsia="Calibri" w:cs="Calibri"/>
          <w:sz w:val="22"/>
          <w:szCs w:val="22"/>
        </w:rPr>
      </w:pPr>
      <w:r w:rsidRPr="001E69D0">
        <w:rPr>
          <w:rFonts w:eastAsia="Calibri" w:cs="Calibri"/>
          <w:sz w:val="22"/>
          <w:szCs w:val="22"/>
        </w:rPr>
        <w:t>What could be improved?</w:t>
      </w:r>
    </w:p>
    <w:p w14:paraId="39A983F2" w14:textId="77777777" w:rsidR="001E69D0" w:rsidRPr="001E69D0" w:rsidRDefault="001E69D0" w:rsidP="001E69D0">
      <w:pPr>
        <w:spacing w:after="0" w:line="240" w:lineRule="auto"/>
        <w:ind w:left="2160"/>
        <w:contextualSpacing/>
        <w:jc w:val="left"/>
        <w:rPr>
          <w:rFonts w:eastAsia="Calibri" w:cs="Calibri"/>
          <w:sz w:val="22"/>
          <w:szCs w:val="22"/>
        </w:rPr>
      </w:pPr>
    </w:p>
    <w:p w14:paraId="3737BB33" w14:textId="77777777" w:rsidR="001E69D0" w:rsidRPr="001E69D0" w:rsidRDefault="001E69D0" w:rsidP="007E3DC8">
      <w:pPr>
        <w:numPr>
          <w:ilvl w:val="0"/>
          <w:numId w:val="32"/>
        </w:numPr>
        <w:spacing w:after="0" w:line="240" w:lineRule="auto"/>
        <w:contextualSpacing/>
        <w:jc w:val="left"/>
        <w:rPr>
          <w:rFonts w:eastAsia="Calibri" w:cs="Calibri"/>
          <w:sz w:val="22"/>
          <w:szCs w:val="22"/>
        </w:rPr>
      </w:pPr>
      <w:r w:rsidRPr="001E69D0">
        <w:rPr>
          <w:rFonts w:eastAsia="Calibri" w:cs="Calibri"/>
          <w:sz w:val="22"/>
          <w:szCs w:val="22"/>
        </w:rPr>
        <w:t xml:space="preserve">With COVID-19, we have seen the increase in take-away doses being provided to people.  </w:t>
      </w:r>
    </w:p>
    <w:p w14:paraId="701556A9" w14:textId="77777777" w:rsidR="001E69D0" w:rsidRPr="001E69D0" w:rsidRDefault="001E69D0" w:rsidP="007E3DC8">
      <w:pPr>
        <w:numPr>
          <w:ilvl w:val="0"/>
          <w:numId w:val="34"/>
        </w:numPr>
        <w:spacing w:after="0" w:line="240" w:lineRule="auto"/>
        <w:contextualSpacing/>
        <w:jc w:val="left"/>
        <w:rPr>
          <w:rFonts w:eastAsia="Calibri" w:cs="Calibri"/>
          <w:sz w:val="22"/>
          <w:szCs w:val="22"/>
        </w:rPr>
      </w:pPr>
      <w:r w:rsidRPr="001E69D0">
        <w:rPr>
          <w:rFonts w:eastAsia="Calibri" w:cs="Calibri"/>
          <w:sz w:val="22"/>
          <w:szCs w:val="22"/>
        </w:rPr>
        <w:t>How many takeaway doses do you get in a week? None, 1, 2, 3, 4, 5, 6, 7</w:t>
      </w:r>
    </w:p>
    <w:p w14:paraId="7DAA8801" w14:textId="77777777" w:rsidR="001E69D0" w:rsidRPr="001E69D0" w:rsidRDefault="001E69D0" w:rsidP="007E3DC8">
      <w:pPr>
        <w:numPr>
          <w:ilvl w:val="0"/>
          <w:numId w:val="34"/>
        </w:numPr>
        <w:spacing w:after="0" w:line="240" w:lineRule="auto"/>
        <w:contextualSpacing/>
        <w:jc w:val="left"/>
        <w:rPr>
          <w:rFonts w:eastAsia="Calibri" w:cs="Calibri"/>
          <w:sz w:val="22"/>
          <w:szCs w:val="22"/>
        </w:rPr>
      </w:pPr>
      <w:r w:rsidRPr="001E69D0">
        <w:rPr>
          <w:rFonts w:eastAsia="Calibri" w:cs="Calibri"/>
          <w:sz w:val="22"/>
          <w:szCs w:val="22"/>
        </w:rPr>
        <w:t xml:space="preserve">do you have a preference for supervised or unsupervised (take-away) doses? </w:t>
      </w:r>
    </w:p>
    <w:p w14:paraId="12307CE3" w14:textId="77777777" w:rsidR="001E69D0" w:rsidRPr="001E69D0" w:rsidRDefault="001E69D0" w:rsidP="001E69D0">
      <w:pPr>
        <w:spacing w:after="0" w:line="240" w:lineRule="auto"/>
        <w:ind w:left="1440"/>
        <w:contextualSpacing/>
        <w:jc w:val="left"/>
        <w:rPr>
          <w:rFonts w:eastAsia="Calibri" w:cs="Calibri"/>
          <w:sz w:val="22"/>
          <w:szCs w:val="22"/>
        </w:rPr>
      </w:pPr>
      <w:r w:rsidRPr="001E69D0">
        <w:rPr>
          <w:rFonts w:eastAsia="Calibri" w:cs="Calibri"/>
          <w:sz w:val="22"/>
          <w:szCs w:val="22"/>
        </w:rPr>
        <w:t>(We know that some people prefer the flexibility and convenience of take-away doses, but others like to have regular contact with their pharmacist or clinic)</w:t>
      </w:r>
    </w:p>
    <w:p w14:paraId="6933C0F1" w14:textId="77777777" w:rsidR="001E69D0" w:rsidRPr="001E69D0" w:rsidRDefault="001E69D0" w:rsidP="007E3DC8">
      <w:pPr>
        <w:numPr>
          <w:ilvl w:val="0"/>
          <w:numId w:val="34"/>
        </w:numPr>
        <w:spacing w:after="0" w:line="240" w:lineRule="auto"/>
        <w:contextualSpacing/>
        <w:jc w:val="left"/>
        <w:rPr>
          <w:rFonts w:eastAsia="Calibri" w:cs="Calibri"/>
          <w:sz w:val="22"/>
          <w:szCs w:val="22"/>
        </w:rPr>
      </w:pPr>
      <w:r w:rsidRPr="001E69D0">
        <w:rPr>
          <w:rFonts w:eastAsia="Calibri" w:cs="Calibri"/>
          <w:sz w:val="22"/>
          <w:szCs w:val="22"/>
        </w:rPr>
        <w:t xml:space="preserve">Have you ever been on longer-term takeaway doses (over weeks), due to </w:t>
      </w:r>
      <w:r w:rsidRPr="001E69D0">
        <w:rPr>
          <w:rFonts w:eastAsia="Calibri" w:cs="Calibri"/>
          <w:b/>
          <w:bCs/>
          <w:sz w:val="22"/>
          <w:szCs w:val="22"/>
        </w:rPr>
        <w:t xml:space="preserve">interstate </w:t>
      </w:r>
      <w:r w:rsidRPr="001E69D0">
        <w:rPr>
          <w:rFonts w:eastAsia="Calibri" w:cs="Calibri"/>
          <w:sz w:val="22"/>
          <w:szCs w:val="22"/>
        </w:rPr>
        <w:t xml:space="preserve">travel? </w:t>
      </w:r>
    </w:p>
    <w:p w14:paraId="017DCB66" w14:textId="77777777" w:rsidR="001E69D0" w:rsidRPr="001E69D0" w:rsidRDefault="001E69D0" w:rsidP="007E3DC8">
      <w:pPr>
        <w:numPr>
          <w:ilvl w:val="2"/>
          <w:numId w:val="32"/>
        </w:numPr>
        <w:spacing w:after="0" w:line="240" w:lineRule="auto"/>
        <w:contextualSpacing/>
        <w:jc w:val="left"/>
        <w:rPr>
          <w:rFonts w:eastAsia="Calibri" w:cs="Calibri"/>
          <w:sz w:val="22"/>
          <w:szCs w:val="22"/>
        </w:rPr>
      </w:pPr>
      <w:r w:rsidRPr="001E69D0">
        <w:rPr>
          <w:rFonts w:eastAsia="Calibri" w:cs="Calibri"/>
          <w:sz w:val="22"/>
          <w:szCs w:val="22"/>
        </w:rPr>
        <w:t>What worked well</w:t>
      </w:r>
    </w:p>
    <w:p w14:paraId="51F0C678" w14:textId="77777777" w:rsidR="001E69D0" w:rsidRPr="001E69D0" w:rsidRDefault="001E69D0" w:rsidP="007E3DC8">
      <w:pPr>
        <w:numPr>
          <w:ilvl w:val="2"/>
          <w:numId w:val="32"/>
        </w:numPr>
        <w:spacing w:after="0" w:line="240" w:lineRule="auto"/>
        <w:contextualSpacing/>
        <w:jc w:val="left"/>
        <w:rPr>
          <w:rFonts w:eastAsia="Calibri" w:cs="Calibri"/>
          <w:sz w:val="22"/>
          <w:szCs w:val="22"/>
        </w:rPr>
      </w:pPr>
      <w:r w:rsidRPr="001E69D0">
        <w:rPr>
          <w:rFonts w:eastAsia="Calibri" w:cs="Calibri"/>
          <w:sz w:val="22"/>
          <w:szCs w:val="22"/>
        </w:rPr>
        <w:t>What did you find difficult?</w:t>
      </w:r>
    </w:p>
    <w:p w14:paraId="1CFACF33" w14:textId="77777777" w:rsidR="001E69D0" w:rsidRPr="001E69D0" w:rsidRDefault="001E69D0" w:rsidP="007E3DC8">
      <w:pPr>
        <w:numPr>
          <w:ilvl w:val="2"/>
          <w:numId w:val="32"/>
        </w:numPr>
        <w:spacing w:after="0" w:line="240" w:lineRule="auto"/>
        <w:contextualSpacing/>
        <w:jc w:val="left"/>
        <w:rPr>
          <w:rFonts w:eastAsia="Calibri" w:cs="Calibri"/>
          <w:sz w:val="22"/>
          <w:szCs w:val="22"/>
        </w:rPr>
      </w:pPr>
      <w:r w:rsidRPr="001E69D0">
        <w:rPr>
          <w:rFonts w:eastAsia="Calibri" w:cs="Calibri"/>
          <w:sz w:val="22"/>
          <w:szCs w:val="22"/>
        </w:rPr>
        <w:t>What could be improved?</w:t>
      </w:r>
    </w:p>
    <w:p w14:paraId="5CEBA228" w14:textId="77777777" w:rsidR="001E69D0" w:rsidRPr="001E69D0" w:rsidRDefault="001E69D0" w:rsidP="001E69D0">
      <w:pPr>
        <w:spacing w:after="0" w:line="240" w:lineRule="auto"/>
        <w:ind w:left="2160"/>
        <w:contextualSpacing/>
        <w:jc w:val="left"/>
        <w:rPr>
          <w:rFonts w:eastAsia="Calibri" w:cs="Calibri"/>
          <w:sz w:val="22"/>
          <w:szCs w:val="22"/>
        </w:rPr>
      </w:pPr>
    </w:p>
    <w:p w14:paraId="56B8AF13" w14:textId="77777777" w:rsidR="001E69D0" w:rsidRPr="001E69D0" w:rsidRDefault="001E69D0" w:rsidP="007E3DC8">
      <w:pPr>
        <w:numPr>
          <w:ilvl w:val="0"/>
          <w:numId w:val="32"/>
        </w:numPr>
        <w:spacing w:after="0" w:line="240" w:lineRule="auto"/>
        <w:contextualSpacing/>
        <w:jc w:val="left"/>
        <w:rPr>
          <w:rFonts w:eastAsia="Calibri" w:cs="Calibri"/>
          <w:sz w:val="22"/>
          <w:szCs w:val="22"/>
        </w:rPr>
      </w:pPr>
      <w:r w:rsidRPr="001E69D0">
        <w:rPr>
          <w:rFonts w:eastAsia="Calibri" w:cs="Calibri"/>
          <w:sz w:val="22"/>
          <w:szCs w:val="22"/>
        </w:rPr>
        <w:t xml:space="preserve">Do you have any other suggestions on how methadone and/or buprenorphine programs can be improved to make it easier for you to access treatment, make treatment more affordable and stay on the program? </w:t>
      </w:r>
    </w:p>
    <w:p w14:paraId="06213DE1" w14:textId="090C168C" w:rsidR="001E69D0" w:rsidRPr="001E69D0" w:rsidRDefault="001E69D0" w:rsidP="007E3DC8">
      <w:pPr>
        <w:numPr>
          <w:ilvl w:val="0"/>
          <w:numId w:val="35"/>
        </w:numPr>
        <w:spacing w:after="0" w:line="240" w:lineRule="auto"/>
        <w:contextualSpacing/>
        <w:jc w:val="left"/>
        <w:rPr>
          <w:rFonts w:eastAsia="Calibri" w:cs="Calibri"/>
          <w:sz w:val="22"/>
          <w:szCs w:val="22"/>
        </w:rPr>
      </w:pPr>
      <w:r w:rsidRPr="001E69D0">
        <w:rPr>
          <w:rFonts w:eastAsia="Calibri" w:cs="Calibri"/>
          <w:sz w:val="22"/>
          <w:szCs w:val="22"/>
        </w:rPr>
        <w:t>What changes to methadone and/or buprenorphine programs would make a difference to you?</w:t>
      </w:r>
      <w:bookmarkEnd w:id="711"/>
      <w:bookmarkEnd w:id="716"/>
    </w:p>
    <w:p w14:paraId="44870AA9" w14:textId="79EDE319" w:rsidR="00845868" w:rsidRPr="00EA3458" w:rsidRDefault="00845868" w:rsidP="00DA0E77">
      <w:pPr>
        <w:pStyle w:val="Heading3"/>
        <w:numPr>
          <w:ilvl w:val="0"/>
          <w:numId w:val="0"/>
        </w:numPr>
        <w:rPr>
          <w:rFonts w:eastAsia="Calibri"/>
        </w:rPr>
      </w:pPr>
    </w:p>
    <w:sectPr w:rsidR="00845868" w:rsidRPr="00EA3458" w:rsidSect="00934954">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9F9FE" w14:textId="77777777" w:rsidR="00F42360" w:rsidRDefault="00F42360" w:rsidP="00EB1B87">
      <w:pPr>
        <w:spacing w:after="0" w:line="240" w:lineRule="auto"/>
      </w:pPr>
      <w:r>
        <w:separator/>
      </w:r>
    </w:p>
  </w:endnote>
  <w:endnote w:type="continuationSeparator" w:id="0">
    <w:p w14:paraId="6A986E2A" w14:textId="77777777" w:rsidR="00F42360" w:rsidRDefault="00F42360" w:rsidP="00EB1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pen Sans">
    <w:altName w:val="Verdana"/>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loOT">
    <w:altName w:val="Calibri"/>
    <w:panose1 w:val="00000000000000000000"/>
    <w:charset w:val="00"/>
    <w:family w:val="swiss"/>
    <w:notTrueType/>
    <w:pitch w:val="variable"/>
    <w:sig w:usb0="800000EF" w:usb1="4000205B" w:usb2="00000000" w:usb3="00000000" w:csb0="00000001" w:csb1="00000000"/>
  </w:font>
  <w:font w:name="Source Sans Pro">
    <w:charset w:val="00"/>
    <w:family w:val="swiss"/>
    <w:pitch w:val="variable"/>
    <w:sig w:usb0="600002F7" w:usb1="02000001"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EC42E" w14:textId="77777777" w:rsidR="00BF0334" w:rsidRDefault="00BF03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8641D" w14:textId="77777777" w:rsidR="00934954" w:rsidRDefault="009349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8BE3C" w14:textId="69519A6F" w:rsidR="001E69D0" w:rsidRDefault="001E69D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7F5AA" w14:textId="67CE04DD" w:rsidR="001E69D0" w:rsidRDefault="001E69D0">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2BDEA" w14:textId="414505EC" w:rsidR="001E69D0" w:rsidRDefault="001E69D0">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v</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21699" w14:textId="77777777" w:rsidR="00F42360" w:rsidRDefault="00F42360" w:rsidP="00EB1B87">
      <w:pPr>
        <w:spacing w:after="0" w:line="240" w:lineRule="auto"/>
      </w:pPr>
      <w:r>
        <w:separator/>
      </w:r>
    </w:p>
  </w:footnote>
  <w:footnote w:type="continuationSeparator" w:id="0">
    <w:p w14:paraId="728F6445" w14:textId="77777777" w:rsidR="00F42360" w:rsidRDefault="00F42360" w:rsidP="00EB1B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1766C" w14:textId="33C4D980" w:rsidR="002077C5" w:rsidRPr="00887696" w:rsidRDefault="002077C5" w:rsidP="00887696">
    <w:pPr>
      <w:pStyle w:val="Header"/>
      <w:jc w:val="center"/>
      <w:rPr>
        <w:color w:val="FF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3350E" w14:textId="4BCA9528" w:rsidR="002077C5" w:rsidRDefault="002077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5B925" w14:textId="7B311261" w:rsidR="002077C5" w:rsidRDefault="002077C5" w:rsidP="002077C5">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2FBF1" w14:textId="73A2B2AF" w:rsidR="002077C5" w:rsidRDefault="002077C5" w:rsidP="002077C5">
    <w:pPr>
      <w:pStyle w:val="Heade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42175" w14:textId="77777777" w:rsidR="001E69D0" w:rsidRPr="00E0263F" w:rsidRDefault="001E69D0" w:rsidP="00E0263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12D94" w14:textId="33F3D268" w:rsidR="001E69D0" w:rsidRPr="004D3FF6" w:rsidRDefault="001E69D0" w:rsidP="004D3FF6">
    <w:pPr>
      <w:rPr>
        <w:sz w:val="18"/>
        <w:szCs w:val="1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90015" w14:textId="3C965579" w:rsidR="001E69D0" w:rsidRPr="00E0263F" w:rsidRDefault="001E69D0" w:rsidP="00E0263F">
    <w:pPr>
      <w:rPr>
        <w:sz w:val="18"/>
        <w:szCs w:val="18"/>
      </w:rPr>
    </w:pPr>
    <w:r w:rsidRPr="00E0263F">
      <w:rPr>
        <w:sz w:val="18"/>
        <w:szCs w:val="18"/>
      </w:rPr>
      <w:t xml:space="preserve">Post-market review of the </w:t>
    </w:r>
    <w:r>
      <w:rPr>
        <w:sz w:val="18"/>
        <w:szCs w:val="18"/>
      </w:rPr>
      <w:t>ODTP</w:t>
    </w:r>
    <w:r w:rsidRPr="00E0263F">
      <w:rPr>
        <w:sz w:val="18"/>
        <w:szCs w:val="18"/>
      </w:rPr>
      <w:t>: consumer focus groups and interviews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71CA"/>
    <w:multiLevelType w:val="hybridMultilevel"/>
    <w:tmpl w:val="C2F02C9C"/>
    <w:lvl w:ilvl="0" w:tplc="44303C18">
      <w:start w:val="1"/>
      <w:numFmt w:val="bullet"/>
      <w:pStyle w:val="BoxDash"/>
      <w:lvlText w:val=""/>
      <w:lvlJc w:val="left"/>
      <w:pPr>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7E7BE3"/>
    <w:multiLevelType w:val="hybridMultilevel"/>
    <w:tmpl w:val="24AE73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FF0DB1"/>
    <w:multiLevelType w:val="hybridMultilevel"/>
    <w:tmpl w:val="E90646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81079F3"/>
    <w:multiLevelType w:val="hybridMultilevel"/>
    <w:tmpl w:val="B4ACBE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8FB29AD"/>
    <w:multiLevelType w:val="hybridMultilevel"/>
    <w:tmpl w:val="2C3AFA8C"/>
    <w:lvl w:ilvl="0" w:tplc="91B6699E">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F61B6F"/>
    <w:multiLevelType w:val="hybridMultilevel"/>
    <w:tmpl w:val="15CC7B7E"/>
    <w:lvl w:ilvl="0" w:tplc="0C090019">
      <w:start w:val="1"/>
      <w:numFmt w:val="lowerLetter"/>
      <w:lvlText w:val="%1."/>
      <w:lvlJc w:val="left"/>
      <w:pPr>
        <w:ind w:left="1440" w:hanging="360"/>
      </w:p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start w:val="1"/>
      <w:numFmt w:val="lowerLetter"/>
      <w:lvlText w:val="%5."/>
      <w:lvlJc w:val="left"/>
      <w:pPr>
        <w:ind w:left="4320" w:hanging="360"/>
      </w:pPr>
    </w:lvl>
    <w:lvl w:ilvl="5" w:tplc="0C09001B">
      <w:start w:val="1"/>
      <w:numFmt w:val="lowerRoman"/>
      <w:lvlText w:val="%6."/>
      <w:lvlJc w:val="right"/>
      <w:pPr>
        <w:ind w:left="5040" w:hanging="180"/>
      </w:pPr>
    </w:lvl>
    <w:lvl w:ilvl="6" w:tplc="0C09000F">
      <w:start w:val="1"/>
      <w:numFmt w:val="decimal"/>
      <w:lvlText w:val="%7."/>
      <w:lvlJc w:val="left"/>
      <w:pPr>
        <w:ind w:left="5760" w:hanging="360"/>
      </w:pPr>
    </w:lvl>
    <w:lvl w:ilvl="7" w:tplc="0C090019">
      <w:start w:val="1"/>
      <w:numFmt w:val="lowerLetter"/>
      <w:lvlText w:val="%8."/>
      <w:lvlJc w:val="left"/>
      <w:pPr>
        <w:ind w:left="6480" w:hanging="360"/>
      </w:pPr>
    </w:lvl>
    <w:lvl w:ilvl="8" w:tplc="0C09001B">
      <w:start w:val="1"/>
      <w:numFmt w:val="lowerRoman"/>
      <w:lvlText w:val="%9."/>
      <w:lvlJc w:val="right"/>
      <w:pPr>
        <w:ind w:left="7200" w:hanging="180"/>
      </w:pPr>
    </w:lvl>
  </w:abstractNum>
  <w:abstractNum w:abstractNumId="6" w15:restartNumberingAfterBreak="0">
    <w:nsid w:val="0E1143FA"/>
    <w:multiLevelType w:val="hybridMultilevel"/>
    <w:tmpl w:val="A6F0D4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4F53969"/>
    <w:multiLevelType w:val="multilevel"/>
    <w:tmpl w:val="008C47BC"/>
    <w:lvl w:ilvl="0">
      <w:start w:val="2"/>
      <w:numFmt w:val="decimal"/>
      <w:lvlText w:val="%1."/>
      <w:lvlJc w:val="left"/>
      <w:pPr>
        <w:ind w:left="360" w:hanging="360"/>
      </w:pPr>
      <w:rPr>
        <w:rFonts w:hint="default"/>
        <w:color w:val="FFFFFF" w:themeColor="background1"/>
      </w:rPr>
    </w:lvl>
    <w:lvl w:ilvl="1">
      <w:start w:val="4"/>
      <w:numFmt w:val="decimal"/>
      <w:pStyle w:val="Heading3"/>
      <w:lvlText w:val="%1.%2."/>
      <w:lvlJc w:val="left"/>
      <w:pPr>
        <w:ind w:left="934" w:hanging="792"/>
      </w:pPr>
      <w:rPr>
        <w:rFonts w:hint="default"/>
      </w:rPr>
    </w:lvl>
    <w:lvl w:ilvl="2">
      <w:start w:val="1"/>
      <w:numFmt w:val="decimal"/>
      <w:pStyle w:val="Heading4"/>
      <w:lvlText w:val="%1.%2.%3"/>
      <w:lvlJc w:val="left"/>
      <w:pPr>
        <w:ind w:left="1134" w:hanging="850"/>
      </w:pPr>
      <w:rPr>
        <w:rFonts w:asciiTheme="majorHAnsi" w:hAnsiTheme="majorHAnsi" w:cstheme="majorHAnsi" w:hint="default"/>
        <w:b w:val="0"/>
        <w:bCs w:val="0"/>
        <w:color w:val="4472C4" w:themeColor="accent1"/>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6BB4224"/>
    <w:multiLevelType w:val="hybridMultilevel"/>
    <w:tmpl w:val="9A809E82"/>
    <w:lvl w:ilvl="0" w:tplc="288E36DA">
      <w:start w:val="1"/>
      <w:numFmt w:val="bullet"/>
      <w:pStyle w:val="Box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EB5AE0"/>
    <w:multiLevelType w:val="hybridMultilevel"/>
    <w:tmpl w:val="C98479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8010784"/>
    <w:multiLevelType w:val="hybridMultilevel"/>
    <w:tmpl w:val="A8F419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DD6512F"/>
    <w:multiLevelType w:val="hybridMultilevel"/>
    <w:tmpl w:val="8C9496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EB40E73"/>
    <w:multiLevelType w:val="hybridMultilevel"/>
    <w:tmpl w:val="1944A64A"/>
    <w:lvl w:ilvl="0" w:tplc="892869EE">
      <w:start w:val="1"/>
      <w:numFmt w:val="bullet"/>
      <w:lvlText w:val=""/>
      <w:lvlJc w:val="left"/>
      <w:pPr>
        <w:ind w:left="720" w:hanging="360"/>
      </w:pPr>
      <w:rPr>
        <w:rFonts w:ascii="Symbol" w:hAnsi="Symbol" w:hint="default"/>
      </w:rPr>
    </w:lvl>
    <w:lvl w:ilvl="1" w:tplc="88408470">
      <w:numFmt w:val="bullet"/>
      <w:lvlText w:val="-"/>
      <w:lvlJc w:val="left"/>
      <w:pPr>
        <w:ind w:left="1440" w:hanging="36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9E17EC"/>
    <w:multiLevelType w:val="multilevel"/>
    <w:tmpl w:val="B65A0DC2"/>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24B4442A"/>
    <w:multiLevelType w:val="hybridMultilevel"/>
    <w:tmpl w:val="FFFFFFFF"/>
    <w:lvl w:ilvl="0" w:tplc="76DC4452">
      <w:start w:val="1"/>
      <w:numFmt w:val="bullet"/>
      <w:lvlText w:val="·"/>
      <w:lvlJc w:val="left"/>
      <w:pPr>
        <w:ind w:left="720" w:hanging="360"/>
      </w:pPr>
      <w:rPr>
        <w:rFonts w:ascii="Symbol" w:hAnsi="Symbol" w:hint="default"/>
      </w:rPr>
    </w:lvl>
    <w:lvl w:ilvl="1" w:tplc="9454C41A">
      <w:start w:val="1"/>
      <w:numFmt w:val="bullet"/>
      <w:lvlText w:val="o"/>
      <w:lvlJc w:val="left"/>
      <w:pPr>
        <w:ind w:left="1440" w:hanging="360"/>
      </w:pPr>
      <w:rPr>
        <w:rFonts w:ascii="Courier New" w:hAnsi="Courier New" w:cs="Times New Roman" w:hint="default"/>
      </w:rPr>
    </w:lvl>
    <w:lvl w:ilvl="2" w:tplc="A7445182">
      <w:start w:val="1"/>
      <w:numFmt w:val="bullet"/>
      <w:lvlText w:val=""/>
      <w:lvlJc w:val="left"/>
      <w:pPr>
        <w:ind w:left="2160" w:hanging="360"/>
      </w:pPr>
      <w:rPr>
        <w:rFonts w:ascii="Wingdings" w:hAnsi="Wingdings" w:hint="default"/>
      </w:rPr>
    </w:lvl>
    <w:lvl w:ilvl="3" w:tplc="5DF4C2D0">
      <w:start w:val="1"/>
      <w:numFmt w:val="bullet"/>
      <w:lvlText w:val=""/>
      <w:lvlJc w:val="left"/>
      <w:pPr>
        <w:ind w:left="2880" w:hanging="360"/>
      </w:pPr>
      <w:rPr>
        <w:rFonts w:ascii="Symbol" w:hAnsi="Symbol" w:hint="default"/>
      </w:rPr>
    </w:lvl>
    <w:lvl w:ilvl="4" w:tplc="1B944D3A">
      <w:start w:val="1"/>
      <w:numFmt w:val="bullet"/>
      <w:lvlText w:val="o"/>
      <w:lvlJc w:val="left"/>
      <w:pPr>
        <w:ind w:left="3600" w:hanging="360"/>
      </w:pPr>
      <w:rPr>
        <w:rFonts w:ascii="Courier New" w:hAnsi="Courier New" w:cs="Times New Roman" w:hint="default"/>
      </w:rPr>
    </w:lvl>
    <w:lvl w:ilvl="5" w:tplc="422613D2">
      <w:start w:val="1"/>
      <w:numFmt w:val="bullet"/>
      <w:lvlText w:val=""/>
      <w:lvlJc w:val="left"/>
      <w:pPr>
        <w:ind w:left="4320" w:hanging="360"/>
      </w:pPr>
      <w:rPr>
        <w:rFonts w:ascii="Wingdings" w:hAnsi="Wingdings" w:hint="default"/>
      </w:rPr>
    </w:lvl>
    <w:lvl w:ilvl="6" w:tplc="A17CB7E4">
      <w:start w:val="1"/>
      <w:numFmt w:val="bullet"/>
      <w:lvlText w:val=""/>
      <w:lvlJc w:val="left"/>
      <w:pPr>
        <w:ind w:left="5040" w:hanging="360"/>
      </w:pPr>
      <w:rPr>
        <w:rFonts w:ascii="Symbol" w:hAnsi="Symbol" w:hint="default"/>
      </w:rPr>
    </w:lvl>
    <w:lvl w:ilvl="7" w:tplc="460EE87C">
      <w:start w:val="1"/>
      <w:numFmt w:val="bullet"/>
      <w:lvlText w:val="o"/>
      <w:lvlJc w:val="left"/>
      <w:pPr>
        <w:ind w:left="5760" w:hanging="360"/>
      </w:pPr>
      <w:rPr>
        <w:rFonts w:ascii="Courier New" w:hAnsi="Courier New" w:cs="Times New Roman" w:hint="default"/>
      </w:rPr>
    </w:lvl>
    <w:lvl w:ilvl="8" w:tplc="8D6289E0">
      <w:start w:val="1"/>
      <w:numFmt w:val="bullet"/>
      <w:lvlText w:val=""/>
      <w:lvlJc w:val="left"/>
      <w:pPr>
        <w:ind w:left="6480" w:hanging="360"/>
      </w:pPr>
      <w:rPr>
        <w:rFonts w:ascii="Wingdings" w:hAnsi="Wingdings" w:hint="default"/>
      </w:rPr>
    </w:lvl>
  </w:abstractNum>
  <w:abstractNum w:abstractNumId="15" w15:restartNumberingAfterBreak="0">
    <w:nsid w:val="25FC5EFF"/>
    <w:multiLevelType w:val="hybridMultilevel"/>
    <w:tmpl w:val="38A0C8C6"/>
    <w:lvl w:ilvl="0" w:tplc="69FE925C">
      <w:start w:val="1"/>
      <w:numFmt w:val="bullet"/>
      <w:pStyle w:val="Quote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29D62BC0"/>
    <w:multiLevelType w:val="hybridMultilevel"/>
    <w:tmpl w:val="DCFA0DAA"/>
    <w:lvl w:ilvl="0" w:tplc="892869EE">
      <w:start w:val="1"/>
      <w:numFmt w:val="bullet"/>
      <w:pStyle w:val="Consumerreport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C851D10"/>
    <w:multiLevelType w:val="hybridMultilevel"/>
    <w:tmpl w:val="F0744C9A"/>
    <w:lvl w:ilvl="0" w:tplc="F6D619BE">
      <w:start w:val="85"/>
      <w:numFmt w:val="bullet"/>
      <w:lvlText w:val="-"/>
      <w:lvlJc w:val="left"/>
      <w:pPr>
        <w:ind w:left="720" w:hanging="360"/>
      </w:pPr>
      <w:rPr>
        <w:rFonts w:ascii="Calibri" w:eastAsiaTheme="minorHAnsi" w:hAnsi="Calibri" w:cstheme="minorHAns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F035493"/>
    <w:multiLevelType w:val="hybridMultilevel"/>
    <w:tmpl w:val="4E78D8A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F726621"/>
    <w:multiLevelType w:val="hybridMultilevel"/>
    <w:tmpl w:val="A12C95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F86748F"/>
    <w:multiLevelType w:val="hybridMultilevel"/>
    <w:tmpl w:val="E19A55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3661118"/>
    <w:multiLevelType w:val="multilevel"/>
    <w:tmpl w:val="D660BDBE"/>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2" w15:restartNumberingAfterBreak="0">
    <w:nsid w:val="36D30AB9"/>
    <w:multiLevelType w:val="hybridMultilevel"/>
    <w:tmpl w:val="10749E4A"/>
    <w:lvl w:ilvl="0" w:tplc="0C090001">
      <w:start w:val="1"/>
      <w:numFmt w:val="bullet"/>
      <w:lvlText w:val=""/>
      <w:lvlJc w:val="left"/>
      <w:pPr>
        <w:ind w:left="408" w:hanging="360"/>
      </w:pPr>
      <w:rPr>
        <w:rFonts w:ascii="Symbol" w:hAnsi="Symbol" w:hint="default"/>
      </w:rPr>
    </w:lvl>
    <w:lvl w:ilvl="1" w:tplc="0C090003">
      <w:start w:val="1"/>
      <w:numFmt w:val="bullet"/>
      <w:lvlText w:val="o"/>
      <w:lvlJc w:val="left"/>
      <w:pPr>
        <w:ind w:left="1128" w:hanging="360"/>
      </w:pPr>
      <w:rPr>
        <w:rFonts w:ascii="Courier New" w:hAnsi="Courier New" w:cs="Courier New" w:hint="default"/>
      </w:rPr>
    </w:lvl>
    <w:lvl w:ilvl="2" w:tplc="0C090005">
      <w:start w:val="1"/>
      <w:numFmt w:val="bullet"/>
      <w:lvlText w:val=""/>
      <w:lvlJc w:val="left"/>
      <w:pPr>
        <w:ind w:left="1848" w:hanging="360"/>
      </w:pPr>
      <w:rPr>
        <w:rFonts w:ascii="Wingdings" w:hAnsi="Wingdings" w:hint="default"/>
      </w:rPr>
    </w:lvl>
    <w:lvl w:ilvl="3" w:tplc="0C090001">
      <w:start w:val="1"/>
      <w:numFmt w:val="bullet"/>
      <w:lvlText w:val=""/>
      <w:lvlJc w:val="left"/>
      <w:pPr>
        <w:ind w:left="2568" w:hanging="360"/>
      </w:pPr>
      <w:rPr>
        <w:rFonts w:ascii="Symbol" w:hAnsi="Symbol" w:hint="default"/>
      </w:rPr>
    </w:lvl>
    <w:lvl w:ilvl="4" w:tplc="0C090003">
      <w:start w:val="1"/>
      <w:numFmt w:val="bullet"/>
      <w:lvlText w:val="o"/>
      <w:lvlJc w:val="left"/>
      <w:pPr>
        <w:ind w:left="3288" w:hanging="360"/>
      </w:pPr>
      <w:rPr>
        <w:rFonts w:ascii="Courier New" w:hAnsi="Courier New" w:cs="Courier New" w:hint="default"/>
      </w:rPr>
    </w:lvl>
    <w:lvl w:ilvl="5" w:tplc="0C090005">
      <w:start w:val="1"/>
      <w:numFmt w:val="bullet"/>
      <w:lvlText w:val=""/>
      <w:lvlJc w:val="left"/>
      <w:pPr>
        <w:ind w:left="4008" w:hanging="360"/>
      </w:pPr>
      <w:rPr>
        <w:rFonts w:ascii="Wingdings" w:hAnsi="Wingdings" w:hint="default"/>
      </w:rPr>
    </w:lvl>
    <w:lvl w:ilvl="6" w:tplc="0C090001">
      <w:start w:val="1"/>
      <w:numFmt w:val="bullet"/>
      <w:lvlText w:val=""/>
      <w:lvlJc w:val="left"/>
      <w:pPr>
        <w:ind w:left="4728" w:hanging="360"/>
      </w:pPr>
      <w:rPr>
        <w:rFonts w:ascii="Symbol" w:hAnsi="Symbol" w:hint="default"/>
      </w:rPr>
    </w:lvl>
    <w:lvl w:ilvl="7" w:tplc="0C090003">
      <w:start w:val="1"/>
      <w:numFmt w:val="bullet"/>
      <w:lvlText w:val="o"/>
      <w:lvlJc w:val="left"/>
      <w:pPr>
        <w:ind w:left="5448" w:hanging="360"/>
      </w:pPr>
      <w:rPr>
        <w:rFonts w:ascii="Courier New" w:hAnsi="Courier New" w:cs="Courier New" w:hint="default"/>
      </w:rPr>
    </w:lvl>
    <w:lvl w:ilvl="8" w:tplc="0C090005">
      <w:start w:val="1"/>
      <w:numFmt w:val="bullet"/>
      <w:lvlText w:val=""/>
      <w:lvlJc w:val="left"/>
      <w:pPr>
        <w:ind w:left="6168" w:hanging="360"/>
      </w:pPr>
      <w:rPr>
        <w:rFonts w:ascii="Wingdings" w:hAnsi="Wingdings" w:hint="default"/>
      </w:rPr>
    </w:lvl>
  </w:abstractNum>
  <w:abstractNum w:abstractNumId="23" w15:restartNumberingAfterBreak="0">
    <w:nsid w:val="3B712E1D"/>
    <w:multiLevelType w:val="multilevel"/>
    <w:tmpl w:val="E176240E"/>
    <w:lvl w:ilvl="0">
      <w:start w:val="1"/>
      <w:numFmt w:val="decimal"/>
      <w:lvlText w:val="%1."/>
      <w:lvlJc w:val="left"/>
      <w:pPr>
        <w:ind w:left="360" w:hanging="360"/>
      </w:pPr>
      <w:rPr>
        <w:rFonts w:hint="default"/>
      </w:rPr>
    </w:lvl>
    <w:lvl w:ilvl="1">
      <w:start w:val="1"/>
      <w:numFmt w:val="decimal"/>
      <w:lvlText w:val="%1.%2."/>
      <w:lvlJc w:val="left"/>
      <w:pPr>
        <w:ind w:left="934" w:hanging="792"/>
      </w:pPr>
      <w:rPr>
        <w:rFonts w:hint="default"/>
      </w:rPr>
    </w:lvl>
    <w:lvl w:ilvl="2">
      <w:start w:val="1"/>
      <w:numFmt w:val="decimal"/>
      <w:lvlText w:val="%1.%2.%3."/>
      <w:lvlJc w:val="left"/>
      <w:pPr>
        <w:ind w:left="1134" w:hanging="850"/>
      </w:pPr>
      <w:rPr>
        <w:rFonts w:asciiTheme="majorHAnsi" w:hAnsiTheme="majorHAnsi" w:cstheme="majorHAnsi" w:hint="default"/>
        <w:color w:val="4472C4" w:themeColor="accent1"/>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E2A181C"/>
    <w:multiLevelType w:val="hybridMultilevel"/>
    <w:tmpl w:val="64A6A3C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5" w15:restartNumberingAfterBreak="0">
    <w:nsid w:val="44775A4E"/>
    <w:multiLevelType w:val="hybridMultilevel"/>
    <w:tmpl w:val="797C2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56C74EB"/>
    <w:multiLevelType w:val="hybridMultilevel"/>
    <w:tmpl w:val="FF9473E8"/>
    <w:lvl w:ilvl="0" w:tplc="E4C27104">
      <w:start w:val="1"/>
      <w:numFmt w:val="decimal"/>
      <w:lvlText w:val="%1."/>
      <w:lvlJc w:val="left"/>
      <w:pPr>
        <w:ind w:left="720" w:hanging="360"/>
      </w:pPr>
      <w:rPr>
        <w:rFonts w:ascii="Calibri" w:eastAsiaTheme="minorHAnsi" w:hAnsi="Calibri" w:cs="Calibri"/>
        <w:b w:val="0"/>
        <w:bCs w:val="0"/>
      </w:rPr>
    </w:lvl>
    <w:lvl w:ilvl="1" w:tplc="0C090019">
      <w:start w:val="1"/>
      <w:numFmt w:val="lowerLetter"/>
      <w:lvlText w:val="%2."/>
      <w:lvlJc w:val="left"/>
      <w:pPr>
        <w:ind w:left="1069"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7" w15:restartNumberingAfterBreak="0">
    <w:nsid w:val="462F4A0B"/>
    <w:multiLevelType w:val="hybridMultilevel"/>
    <w:tmpl w:val="8230ED46"/>
    <w:lvl w:ilvl="0" w:tplc="37762F46">
      <w:start w:val="1"/>
      <w:numFmt w:val="bullet"/>
      <w:pStyle w:val="TableBullet"/>
      <w:lvlText w:val="•"/>
      <w:lvlJc w:val="left"/>
      <w:pPr>
        <w:tabs>
          <w:tab w:val="num" w:pos="360"/>
        </w:tabs>
        <w:ind w:left="360" w:hanging="360"/>
      </w:pPr>
      <w:rPr>
        <w:rFonts w:ascii="Verdana" w:hAnsi="Verdana" w:hint="default"/>
        <w:sz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98397E"/>
    <w:multiLevelType w:val="hybridMultilevel"/>
    <w:tmpl w:val="05780C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1D52834"/>
    <w:multiLevelType w:val="hybridMultilevel"/>
    <w:tmpl w:val="15CC7B7E"/>
    <w:lvl w:ilvl="0" w:tplc="0C090019">
      <w:start w:val="1"/>
      <w:numFmt w:val="lowerLetter"/>
      <w:lvlText w:val="%1."/>
      <w:lvlJc w:val="left"/>
      <w:pPr>
        <w:ind w:left="1440" w:hanging="360"/>
      </w:p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start w:val="1"/>
      <w:numFmt w:val="lowerLetter"/>
      <w:lvlText w:val="%5."/>
      <w:lvlJc w:val="left"/>
      <w:pPr>
        <w:ind w:left="4320" w:hanging="360"/>
      </w:pPr>
    </w:lvl>
    <w:lvl w:ilvl="5" w:tplc="0C09001B">
      <w:start w:val="1"/>
      <w:numFmt w:val="lowerRoman"/>
      <w:lvlText w:val="%6."/>
      <w:lvlJc w:val="right"/>
      <w:pPr>
        <w:ind w:left="5040" w:hanging="180"/>
      </w:pPr>
    </w:lvl>
    <w:lvl w:ilvl="6" w:tplc="0C09000F">
      <w:start w:val="1"/>
      <w:numFmt w:val="decimal"/>
      <w:lvlText w:val="%7."/>
      <w:lvlJc w:val="left"/>
      <w:pPr>
        <w:ind w:left="5760" w:hanging="360"/>
      </w:pPr>
    </w:lvl>
    <w:lvl w:ilvl="7" w:tplc="0C090019">
      <w:start w:val="1"/>
      <w:numFmt w:val="lowerLetter"/>
      <w:lvlText w:val="%8."/>
      <w:lvlJc w:val="left"/>
      <w:pPr>
        <w:ind w:left="6480" w:hanging="360"/>
      </w:pPr>
    </w:lvl>
    <w:lvl w:ilvl="8" w:tplc="0C09001B">
      <w:start w:val="1"/>
      <w:numFmt w:val="lowerRoman"/>
      <w:lvlText w:val="%9."/>
      <w:lvlJc w:val="right"/>
      <w:pPr>
        <w:ind w:left="7200" w:hanging="180"/>
      </w:pPr>
    </w:lvl>
  </w:abstractNum>
  <w:abstractNum w:abstractNumId="30" w15:restartNumberingAfterBreak="0">
    <w:nsid w:val="54E51D50"/>
    <w:multiLevelType w:val="multilevel"/>
    <w:tmpl w:val="73C24666"/>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1" w15:restartNumberingAfterBreak="0">
    <w:nsid w:val="5C6264B4"/>
    <w:multiLevelType w:val="hybridMultilevel"/>
    <w:tmpl w:val="04C2F852"/>
    <w:lvl w:ilvl="0" w:tplc="2E5E2236">
      <w:start w:val="1"/>
      <w:numFmt w:val="bullet"/>
      <w:pStyle w:val="TableDash"/>
      <w:lvlText w:val="–"/>
      <w:lvlJc w:val="left"/>
      <w:pPr>
        <w:tabs>
          <w:tab w:val="num" w:pos="216"/>
        </w:tabs>
        <w:ind w:left="432" w:hanging="216"/>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A95D64"/>
    <w:multiLevelType w:val="hybridMultilevel"/>
    <w:tmpl w:val="FD94CD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34A5BB2"/>
    <w:multiLevelType w:val="hybridMultilevel"/>
    <w:tmpl w:val="0A2EC3E2"/>
    <w:lvl w:ilvl="0" w:tplc="DF183732">
      <w:start w:val="1"/>
      <w:numFmt w:val="bullet"/>
      <w:pStyle w:val="BulletChecklist"/>
      <w:lvlText w:val=""/>
      <w:lvlJc w:val="left"/>
      <w:pPr>
        <w:ind w:left="720" w:hanging="360"/>
      </w:pPr>
      <w:rPr>
        <w:rFonts w:ascii="Wingdings"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3807861"/>
    <w:multiLevelType w:val="hybridMultilevel"/>
    <w:tmpl w:val="EA9282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4EE4316"/>
    <w:multiLevelType w:val="hybridMultilevel"/>
    <w:tmpl w:val="15CC7B7E"/>
    <w:lvl w:ilvl="0" w:tplc="0C090019">
      <w:start w:val="1"/>
      <w:numFmt w:val="lowerLetter"/>
      <w:lvlText w:val="%1."/>
      <w:lvlJc w:val="left"/>
      <w:pPr>
        <w:ind w:left="1440" w:hanging="360"/>
      </w:p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start w:val="1"/>
      <w:numFmt w:val="lowerLetter"/>
      <w:lvlText w:val="%5."/>
      <w:lvlJc w:val="left"/>
      <w:pPr>
        <w:ind w:left="4320" w:hanging="360"/>
      </w:pPr>
    </w:lvl>
    <w:lvl w:ilvl="5" w:tplc="0C09001B">
      <w:start w:val="1"/>
      <w:numFmt w:val="lowerRoman"/>
      <w:lvlText w:val="%6."/>
      <w:lvlJc w:val="right"/>
      <w:pPr>
        <w:ind w:left="5040" w:hanging="180"/>
      </w:pPr>
    </w:lvl>
    <w:lvl w:ilvl="6" w:tplc="0C09000F">
      <w:start w:val="1"/>
      <w:numFmt w:val="decimal"/>
      <w:lvlText w:val="%7."/>
      <w:lvlJc w:val="left"/>
      <w:pPr>
        <w:ind w:left="5760" w:hanging="360"/>
      </w:pPr>
    </w:lvl>
    <w:lvl w:ilvl="7" w:tplc="0C090019">
      <w:start w:val="1"/>
      <w:numFmt w:val="lowerLetter"/>
      <w:lvlText w:val="%8."/>
      <w:lvlJc w:val="left"/>
      <w:pPr>
        <w:ind w:left="6480" w:hanging="360"/>
      </w:pPr>
    </w:lvl>
    <w:lvl w:ilvl="8" w:tplc="0C09001B">
      <w:start w:val="1"/>
      <w:numFmt w:val="lowerRoman"/>
      <w:lvlText w:val="%9."/>
      <w:lvlJc w:val="right"/>
      <w:pPr>
        <w:ind w:left="7200" w:hanging="180"/>
      </w:pPr>
    </w:lvl>
  </w:abstractNum>
  <w:abstractNum w:abstractNumId="36" w15:restartNumberingAfterBreak="0">
    <w:nsid w:val="66AC26BC"/>
    <w:multiLevelType w:val="hybridMultilevel"/>
    <w:tmpl w:val="5E4632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8B24CEB"/>
    <w:multiLevelType w:val="multilevel"/>
    <w:tmpl w:val="12EC6AAE"/>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8" w15:restartNumberingAfterBreak="0">
    <w:nsid w:val="784D033C"/>
    <w:multiLevelType w:val="multilevel"/>
    <w:tmpl w:val="B192A63C"/>
    <w:lvl w:ilvl="0">
      <w:start w:val="1"/>
      <w:numFmt w:val="decimal"/>
      <w:pStyle w:val="2Sections"/>
      <w:lvlText w:val="%1"/>
      <w:lvlJc w:val="left"/>
      <w:pPr>
        <w:ind w:left="720" w:hanging="720"/>
      </w:pPr>
      <w:rPr>
        <w:rFonts w:hint="default"/>
        <w:b/>
        <w:color w:val="000000" w:themeColor="text1"/>
      </w:rPr>
    </w:lvl>
    <w:lvl w:ilvl="1">
      <w:start w:val="1"/>
      <w:numFmt w:val="decimal"/>
      <w:pStyle w:val="4Bodytextnumbered"/>
      <w:lvlText w:val="%1.%2"/>
      <w:lvlJc w:val="left"/>
      <w:pPr>
        <w:ind w:left="720" w:hanging="720"/>
      </w:pPr>
      <w:rPr>
        <w:rFonts w:hint="default"/>
        <w:b w:val="0"/>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8E81FDC"/>
    <w:multiLevelType w:val="hybridMultilevel"/>
    <w:tmpl w:val="D5C698E8"/>
    <w:lvl w:ilvl="0" w:tplc="A79EC4F8">
      <w:start w:val="1"/>
      <w:numFmt w:val="bullet"/>
      <w:lvlText w:val="•"/>
      <w:lvlJc w:val="left"/>
      <w:pPr>
        <w:tabs>
          <w:tab w:val="num" w:pos="360"/>
        </w:tabs>
        <w:ind w:left="360" w:hanging="360"/>
      </w:pPr>
      <w:rPr>
        <w:rFont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2C536D"/>
    <w:multiLevelType w:val="hybridMultilevel"/>
    <w:tmpl w:val="71007E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F4B40FB"/>
    <w:multiLevelType w:val="hybridMultilevel"/>
    <w:tmpl w:val="EF540A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7F71665B"/>
    <w:multiLevelType w:val="hybridMultilevel"/>
    <w:tmpl w:val="15CC7B7E"/>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43" w15:restartNumberingAfterBreak="0">
    <w:nsid w:val="7FF93C47"/>
    <w:multiLevelType w:val="multilevel"/>
    <w:tmpl w:val="79949C4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826044103">
    <w:abstractNumId w:val="24"/>
  </w:num>
  <w:num w:numId="2" w16cid:durableId="946548259">
    <w:abstractNumId w:val="36"/>
  </w:num>
  <w:num w:numId="3" w16cid:durableId="987393322">
    <w:abstractNumId w:val="14"/>
  </w:num>
  <w:num w:numId="4" w16cid:durableId="1171723493">
    <w:abstractNumId w:val="4"/>
  </w:num>
  <w:num w:numId="5" w16cid:durableId="1363943234">
    <w:abstractNumId w:val="34"/>
  </w:num>
  <w:num w:numId="6" w16cid:durableId="391200154">
    <w:abstractNumId w:val="40"/>
  </w:num>
  <w:num w:numId="7" w16cid:durableId="414207916">
    <w:abstractNumId w:val="20"/>
  </w:num>
  <w:num w:numId="8" w16cid:durableId="619075554">
    <w:abstractNumId w:val="10"/>
  </w:num>
  <w:num w:numId="9" w16cid:durableId="1130781656">
    <w:abstractNumId w:val="43"/>
  </w:num>
  <w:num w:numId="10" w16cid:durableId="160436341">
    <w:abstractNumId w:val="13"/>
  </w:num>
  <w:num w:numId="11" w16cid:durableId="803349187">
    <w:abstractNumId w:val="8"/>
  </w:num>
  <w:num w:numId="12" w16cid:durableId="1373188427">
    <w:abstractNumId w:val="28"/>
  </w:num>
  <w:num w:numId="13" w16cid:durableId="87849892">
    <w:abstractNumId w:val="32"/>
  </w:num>
  <w:num w:numId="14" w16cid:durableId="500701036">
    <w:abstractNumId w:val="41"/>
  </w:num>
  <w:num w:numId="15" w16cid:durableId="2058626476">
    <w:abstractNumId w:val="6"/>
  </w:num>
  <w:num w:numId="16" w16cid:durableId="1099182515">
    <w:abstractNumId w:val="9"/>
  </w:num>
  <w:num w:numId="17" w16cid:durableId="343021048">
    <w:abstractNumId w:val="3"/>
  </w:num>
  <w:num w:numId="18" w16cid:durableId="86388758">
    <w:abstractNumId w:val="22"/>
  </w:num>
  <w:num w:numId="19" w16cid:durableId="542520827">
    <w:abstractNumId w:val="2"/>
  </w:num>
  <w:num w:numId="20" w16cid:durableId="365839969">
    <w:abstractNumId w:val="25"/>
  </w:num>
  <w:num w:numId="21" w16cid:durableId="1075202498">
    <w:abstractNumId w:val="23"/>
  </w:num>
  <w:num w:numId="22" w16cid:durableId="843739754">
    <w:abstractNumId w:val="19"/>
  </w:num>
  <w:num w:numId="23" w16cid:durableId="1216744149">
    <w:abstractNumId w:val="7"/>
  </w:num>
  <w:num w:numId="24" w16cid:durableId="1572891035">
    <w:abstractNumId w:val="1"/>
  </w:num>
  <w:num w:numId="25" w16cid:durableId="1090390570">
    <w:abstractNumId w:val="38"/>
  </w:num>
  <w:num w:numId="26" w16cid:durableId="1068108525">
    <w:abstractNumId w:val="27"/>
  </w:num>
  <w:num w:numId="27" w16cid:durableId="866603476">
    <w:abstractNumId w:val="31"/>
  </w:num>
  <w:num w:numId="28" w16cid:durableId="625427820">
    <w:abstractNumId w:val="39"/>
  </w:num>
  <w:num w:numId="29" w16cid:durableId="1806968354">
    <w:abstractNumId w:val="0"/>
  </w:num>
  <w:num w:numId="30" w16cid:durableId="266040938">
    <w:abstractNumId w:val="33"/>
  </w:num>
  <w:num w:numId="31" w16cid:durableId="1803494863">
    <w:abstractNumId w:val="15"/>
  </w:num>
  <w:num w:numId="32" w16cid:durableId="135870277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987439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261589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7652175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17680451">
    <w:abstractNumId w:val="42"/>
  </w:num>
  <w:num w:numId="37" w16cid:durableId="333805787">
    <w:abstractNumId w:val="11"/>
  </w:num>
  <w:num w:numId="38" w16cid:durableId="1292593976">
    <w:abstractNumId w:val="16"/>
  </w:num>
  <w:num w:numId="39" w16cid:durableId="741297942">
    <w:abstractNumId w:val="12"/>
  </w:num>
  <w:num w:numId="40" w16cid:durableId="1541476694">
    <w:abstractNumId w:val="17"/>
  </w:num>
  <w:num w:numId="41" w16cid:durableId="804087289">
    <w:abstractNumId w:val="18"/>
  </w:num>
  <w:num w:numId="42" w16cid:durableId="988628218">
    <w:abstractNumId w:val="7"/>
  </w:num>
  <w:num w:numId="43" w16cid:durableId="286863371">
    <w:abstractNumId w:val="30"/>
  </w:num>
  <w:num w:numId="44" w16cid:durableId="121191911">
    <w:abstractNumId w:val="37"/>
  </w:num>
  <w:num w:numId="45" w16cid:durableId="1553662123">
    <w:abstractNumId w:val="21"/>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Vancouver Superscript&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xssz590sx9vzw4ewpzdv0s5sret50aexdtd9&quot;&gt;PMR EndNote Library&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9&lt;/item&gt;&lt;item&gt;20&lt;/item&gt;&lt;item&gt;21&lt;/item&gt;&lt;item&gt;22&lt;/item&gt;&lt;item&gt;23&lt;/item&gt;&lt;item&gt;24&lt;/item&gt;&lt;item&gt;25&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record-ids&gt;&lt;/item&gt;&lt;/Libraries&gt;"/>
  </w:docVars>
  <w:rsids>
    <w:rsidRoot w:val="00A65EBB"/>
    <w:rsid w:val="00001281"/>
    <w:rsid w:val="000013E1"/>
    <w:rsid w:val="00003CC9"/>
    <w:rsid w:val="000058B6"/>
    <w:rsid w:val="000078CC"/>
    <w:rsid w:val="000123E2"/>
    <w:rsid w:val="00013BE8"/>
    <w:rsid w:val="00014656"/>
    <w:rsid w:val="00014709"/>
    <w:rsid w:val="00015A66"/>
    <w:rsid w:val="00015C04"/>
    <w:rsid w:val="000165C0"/>
    <w:rsid w:val="000166F8"/>
    <w:rsid w:val="000175C7"/>
    <w:rsid w:val="0002123E"/>
    <w:rsid w:val="000223C2"/>
    <w:rsid w:val="000326C5"/>
    <w:rsid w:val="00033AAE"/>
    <w:rsid w:val="00034C4E"/>
    <w:rsid w:val="000353BE"/>
    <w:rsid w:val="000356B1"/>
    <w:rsid w:val="00037100"/>
    <w:rsid w:val="000401C7"/>
    <w:rsid w:val="0004275A"/>
    <w:rsid w:val="00043CD9"/>
    <w:rsid w:val="00044F90"/>
    <w:rsid w:val="00045EDB"/>
    <w:rsid w:val="000471C1"/>
    <w:rsid w:val="00050392"/>
    <w:rsid w:val="00050617"/>
    <w:rsid w:val="0005248A"/>
    <w:rsid w:val="000524DC"/>
    <w:rsid w:val="000540B7"/>
    <w:rsid w:val="00055AA6"/>
    <w:rsid w:val="0005636F"/>
    <w:rsid w:val="00063610"/>
    <w:rsid w:val="00063F43"/>
    <w:rsid w:val="00066F6D"/>
    <w:rsid w:val="00070343"/>
    <w:rsid w:val="00072FA0"/>
    <w:rsid w:val="00073303"/>
    <w:rsid w:val="00076FD2"/>
    <w:rsid w:val="00077779"/>
    <w:rsid w:val="00083CA6"/>
    <w:rsid w:val="000843FD"/>
    <w:rsid w:val="00084C9D"/>
    <w:rsid w:val="000861EA"/>
    <w:rsid w:val="000862DD"/>
    <w:rsid w:val="00090429"/>
    <w:rsid w:val="00090B3A"/>
    <w:rsid w:val="00091A21"/>
    <w:rsid w:val="000A00C0"/>
    <w:rsid w:val="000A14B1"/>
    <w:rsid w:val="000A15A9"/>
    <w:rsid w:val="000A53FA"/>
    <w:rsid w:val="000A5E9D"/>
    <w:rsid w:val="000A63BE"/>
    <w:rsid w:val="000A6901"/>
    <w:rsid w:val="000A715C"/>
    <w:rsid w:val="000B5815"/>
    <w:rsid w:val="000B5938"/>
    <w:rsid w:val="000B5B6E"/>
    <w:rsid w:val="000B6BFB"/>
    <w:rsid w:val="000B733C"/>
    <w:rsid w:val="000B7F0F"/>
    <w:rsid w:val="000C01AC"/>
    <w:rsid w:val="000C0F50"/>
    <w:rsid w:val="000C22DC"/>
    <w:rsid w:val="000C2D70"/>
    <w:rsid w:val="000C46CF"/>
    <w:rsid w:val="000C480B"/>
    <w:rsid w:val="000C4B1E"/>
    <w:rsid w:val="000D0836"/>
    <w:rsid w:val="000D0D4B"/>
    <w:rsid w:val="000D1AA4"/>
    <w:rsid w:val="000D1F3E"/>
    <w:rsid w:val="000E0125"/>
    <w:rsid w:val="000E3808"/>
    <w:rsid w:val="000E4BB4"/>
    <w:rsid w:val="000E558F"/>
    <w:rsid w:val="000F4B04"/>
    <w:rsid w:val="000F4CE7"/>
    <w:rsid w:val="000F558C"/>
    <w:rsid w:val="000F750A"/>
    <w:rsid w:val="000F7A6A"/>
    <w:rsid w:val="00101F08"/>
    <w:rsid w:val="001023C7"/>
    <w:rsid w:val="00105085"/>
    <w:rsid w:val="00110535"/>
    <w:rsid w:val="0011427A"/>
    <w:rsid w:val="00117A41"/>
    <w:rsid w:val="0012032B"/>
    <w:rsid w:val="001204E8"/>
    <w:rsid w:val="00124E70"/>
    <w:rsid w:val="00131E29"/>
    <w:rsid w:val="001353F7"/>
    <w:rsid w:val="00135831"/>
    <w:rsid w:val="00135E98"/>
    <w:rsid w:val="00141209"/>
    <w:rsid w:val="001432E7"/>
    <w:rsid w:val="001453CB"/>
    <w:rsid w:val="00145885"/>
    <w:rsid w:val="00145F63"/>
    <w:rsid w:val="00146E55"/>
    <w:rsid w:val="00154314"/>
    <w:rsid w:val="00156182"/>
    <w:rsid w:val="0015619D"/>
    <w:rsid w:val="00156C3B"/>
    <w:rsid w:val="00156F80"/>
    <w:rsid w:val="001572E2"/>
    <w:rsid w:val="00161718"/>
    <w:rsid w:val="00161F50"/>
    <w:rsid w:val="00163160"/>
    <w:rsid w:val="001641F2"/>
    <w:rsid w:val="001669CD"/>
    <w:rsid w:val="0017041B"/>
    <w:rsid w:val="001725C8"/>
    <w:rsid w:val="0017441B"/>
    <w:rsid w:val="001748FF"/>
    <w:rsid w:val="00177B64"/>
    <w:rsid w:val="00181343"/>
    <w:rsid w:val="001816CC"/>
    <w:rsid w:val="00181DF4"/>
    <w:rsid w:val="001825E2"/>
    <w:rsid w:val="00185110"/>
    <w:rsid w:val="00186064"/>
    <w:rsid w:val="001867AD"/>
    <w:rsid w:val="001957C9"/>
    <w:rsid w:val="0019627B"/>
    <w:rsid w:val="001A2C9F"/>
    <w:rsid w:val="001A3DFD"/>
    <w:rsid w:val="001A3E2C"/>
    <w:rsid w:val="001A4874"/>
    <w:rsid w:val="001A6153"/>
    <w:rsid w:val="001A62EA"/>
    <w:rsid w:val="001A6434"/>
    <w:rsid w:val="001A687A"/>
    <w:rsid w:val="001A7F25"/>
    <w:rsid w:val="001B17CB"/>
    <w:rsid w:val="001B1913"/>
    <w:rsid w:val="001B1FEE"/>
    <w:rsid w:val="001B2ADD"/>
    <w:rsid w:val="001B31AF"/>
    <w:rsid w:val="001B35D0"/>
    <w:rsid w:val="001B5E2E"/>
    <w:rsid w:val="001B6480"/>
    <w:rsid w:val="001B6FD8"/>
    <w:rsid w:val="001C12EB"/>
    <w:rsid w:val="001C14FD"/>
    <w:rsid w:val="001C1D3A"/>
    <w:rsid w:val="001C37E1"/>
    <w:rsid w:val="001C3AD3"/>
    <w:rsid w:val="001C4269"/>
    <w:rsid w:val="001C7C0F"/>
    <w:rsid w:val="001D27F2"/>
    <w:rsid w:val="001D4875"/>
    <w:rsid w:val="001D51AA"/>
    <w:rsid w:val="001D6C5D"/>
    <w:rsid w:val="001D7063"/>
    <w:rsid w:val="001E3375"/>
    <w:rsid w:val="001E3699"/>
    <w:rsid w:val="001E574E"/>
    <w:rsid w:val="001E5884"/>
    <w:rsid w:val="001E5DF0"/>
    <w:rsid w:val="001E69D0"/>
    <w:rsid w:val="001F1035"/>
    <w:rsid w:val="001F4418"/>
    <w:rsid w:val="001F4557"/>
    <w:rsid w:val="001F5401"/>
    <w:rsid w:val="001F6BDC"/>
    <w:rsid w:val="001F744A"/>
    <w:rsid w:val="001F7D60"/>
    <w:rsid w:val="0020098F"/>
    <w:rsid w:val="00200E90"/>
    <w:rsid w:val="00201914"/>
    <w:rsid w:val="00201B7B"/>
    <w:rsid w:val="00202E31"/>
    <w:rsid w:val="00203F3C"/>
    <w:rsid w:val="002052E3"/>
    <w:rsid w:val="00205405"/>
    <w:rsid w:val="00205455"/>
    <w:rsid w:val="002056F2"/>
    <w:rsid w:val="002057DA"/>
    <w:rsid w:val="002077C5"/>
    <w:rsid w:val="0021131A"/>
    <w:rsid w:val="002133A6"/>
    <w:rsid w:val="0021409F"/>
    <w:rsid w:val="0021604E"/>
    <w:rsid w:val="00216481"/>
    <w:rsid w:val="00217678"/>
    <w:rsid w:val="002178D6"/>
    <w:rsid w:val="00220305"/>
    <w:rsid w:val="00220D1C"/>
    <w:rsid w:val="00222BA9"/>
    <w:rsid w:val="002243DB"/>
    <w:rsid w:val="00226937"/>
    <w:rsid w:val="002273A1"/>
    <w:rsid w:val="00227EAB"/>
    <w:rsid w:val="00231477"/>
    <w:rsid w:val="002316F1"/>
    <w:rsid w:val="002325D1"/>
    <w:rsid w:val="00232ECE"/>
    <w:rsid w:val="002374CF"/>
    <w:rsid w:val="00240F10"/>
    <w:rsid w:val="00241237"/>
    <w:rsid w:val="0025160F"/>
    <w:rsid w:val="00253486"/>
    <w:rsid w:val="0025475B"/>
    <w:rsid w:val="00255862"/>
    <w:rsid w:val="002558E5"/>
    <w:rsid w:val="00255CD0"/>
    <w:rsid w:val="002565E6"/>
    <w:rsid w:val="00257E95"/>
    <w:rsid w:val="00257F28"/>
    <w:rsid w:val="002621FD"/>
    <w:rsid w:val="00263374"/>
    <w:rsid w:val="00263D33"/>
    <w:rsid w:val="00264AE1"/>
    <w:rsid w:val="0026561C"/>
    <w:rsid w:val="00270D98"/>
    <w:rsid w:val="0027110F"/>
    <w:rsid w:val="002711B9"/>
    <w:rsid w:val="0027185D"/>
    <w:rsid w:val="0027528D"/>
    <w:rsid w:val="002767F3"/>
    <w:rsid w:val="00280050"/>
    <w:rsid w:val="002819E4"/>
    <w:rsid w:val="002823CC"/>
    <w:rsid w:val="0028256B"/>
    <w:rsid w:val="00282A3F"/>
    <w:rsid w:val="00282A66"/>
    <w:rsid w:val="00282F53"/>
    <w:rsid w:val="002833B3"/>
    <w:rsid w:val="00283730"/>
    <w:rsid w:val="00283F6B"/>
    <w:rsid w:val="002843E2"/>
    <w:rsid w:val="0028497A"/>
    <w:rsid w:val="002909B1"/>
    <w:rsid w:val="00290B88"/>
    <w:rsid w:val="002915E5"/>
    <w:rsid w:val="00291E7F"/>
    <w:rsid w:val="00296D8B"/>
    <w:rsid w:val="002A07AA"/>
    <w:rsid w:val="002A0DDA"/>
    <w:rsid w:val="002A2DD0"/>
    <w:rsid w:val="002A4C98"/>
    <w:rsid w:val="002A6DF0"/>
    <w:rsid w:val="002B34DE"/>
    <w:rsid w:val="002B5048"/>
    <w:rsid w:val="002C0432"/>
    <w:rsid w:val="002C0A93"/>
    <w:rsid w:val="002C26E2"/>
    <w:rsid w:val="002C6609"/>
    <w:rsid w:val="002C748D"/>
    <w:rsid w:val="002D1AAE"/>
    <w:rsid w:val="002D2B58"/>
    <w:rsid w:val="002D4DDA"/>
    <w:rsid w:val="002D55ED"/>
    <w:rsid w:val="002D5DBD"/>
    <w:rsid w:val="002D5DDE"/>
    <w:rsid w:val="002D679C"/>
    <w:rsid w:val="002E01CD"/>
    <w:rsid w:val="002E0C10"/>
    <w:rsid w:val="002E104D"/>
    <w:rsid w:val="002E20BD"/>
    <w:rsid w:val="002E568B"/>
    <w:rsid w:val="002E6C67"/>
    <w:rsid w:val="002E721A"/>
    <w:rsid w:val="002E7310"/>
    <w:rsid w:val="002F0AE3"/>
    <w:rsid w:val="002F1C6A"/>
    <w:rsid w:val="002F25CF"/>
    <w:rsid w:val="002F2D31"/>
    <w:rsid w:val="002F31D5"/>
    <w:rsid w:val="002F3FAB"/>
    <w:rsid w:val="002F5331"/>
    <w:rsid w:val="002F633E"/>
    <w:rsid w:val="002F6C93"/>
    <w:rsid w:val="002F7DE4"/>
    <w:rsid w:val="0030007B"/>
    <w:rsid w:val="003005C1"/>
    <w:rsid w:val="00301435"/>
    <w:rsid w:val="0030225F"/>
    <w:rsid w:val="00302745"/>
    <w:rsid w:val="0030283C"/>
    <w:rsid w:val="00302E3C"/>
    <w:rsid w:val="00307B05"/>
    <w:rsid w:val="00307C34"/>
    <w:rsid w:val="00311DE7"/>
    <w:rsid w:val="00313068"/>
    <w:rsid w:val="00313097"/>
    <w:rsid w:val="0031367D"/>
    <w:rsid w:val="00313785"/>
    <w:rsid w:val="00313D57"/>
    <w:rsid w:val="00315063"/>
    <w:rsid w:val="0031595C"/>
    <w:rsid w:val="00316322"/>
    <w:rsid w:val="00316DFE"/>
    <w:rsid w:val="00316F53"/>
    <w:rsid w:val="00317513"/>
    <w:rsid w:val="0032198F"/>
    <w:rsid w:val="003224E8"/>
    <w:rsid w:val="00323028"/>
    <w:rsid w:val="0032311A"/>
    <w:rsid w:val="00323501"/>
    <w:rsid w:val="00324EEE"/>
    <w:rsid w:val="0032539D"/>
    <w:rsid w:val="003258E1"/>
    <w:rsid w:val="00330542"/>
    <w:rsid w:val="00331750"/>
    <w:rsid w:val="00332B1B"/>
    <w:rsid w:val="00332C81"/>
    <w:rsid w:val="0033315D"/>
    <w:rsid w:val="003331FC"/>
    <w:rsid w:val="00333F91"/>
    <w:rsid w:val="00334D6A"/>
    <w:rsid w:val="00340187"/>
    <w:rsid w:val="00341F3B"/>
    <w:rsid w:val="003437E1"/>
    <w:rsid w:val="003448FF"/>
    <w:rsid w:val="00345C82"/>
    <w:rsid w:val="0034644E"/>
    <w:rsid w:val="00347BF7"/>
    <w:rsid w:val="00353A61"/>
    <w:rsid w:val="003568C3"/>
    <w:rsid w:val="00356D31"/>
    <w:rsid w:val="00357250"/>
    <w:rsid w:val="00361238"/>
    <w:rsid w:val="00363A7A"/>
    <w:rsid w:val="00366FA6"/>
    <w:rsid w:val="00367512"/>
    <w:rsid w:val="003702F8"/>
    <w:rsid w:val="00372BB1"/>
    <w:rsid w:val="00376296"/>
    <w:rsid w:val="003767A8"/>
    <w:rsid w:val="0037777A"/>
    <w:rsid w:val="00377D05"/>
    <w:rsid w:val="003817E6"/>
    <w:rsid w:val="00382D36"/>
    <w:rsid w:val="003873F0"/>
    <w:rsid w:val="003878A0"/>
    <w:rsid w:val="003879D2"/>
    <w:rsid w:val="003904D0"/>
    <w:rsid w:val="003910BE"/>
    <w:rsid w:val="003968EF"/>
    <w:rsid w:val="00397022"/>
    <w:rsid w:val="0039756E"/>
    <w:rsid w:val="00397F47"/>
    <w:rsid w:val="003A07DC"/>
    <w:rsid w:val="003A211A"/>
    <w:rsid w:val="003A3C32"/>
    <w:rsid w:val="003A56CE"/>
    <w:rsid w:val="003A5A34"/>
    <w:rsid w:val="003A5C5D"/>
    <w:rsid w:val="003A6043"/>
    <w:rsid w:val="003A65D7"/>
    <w:rsid w:val="003B1F27"/>
    <w:rsid w:val="003C1DF3"/>
    <w:rsid w:val="003C1F66"/>
    <w:rsid w:val="003C36D9"/>
    <w:rsid w:val="003C3C45"/>
    <w:rsid w:val="003C4825"/>
    <w:rsid w:val="003C4A7C"/>
    <w:rsid w:val="003C4D67"/>
    <w:rsid w:val="003D3171"/>
    <w:rsid w:val="003D4D14"/>
    <w:rsid w:val="003D4EAB"/>
    <w:rsid w:val="003E13E1"/>
    <w:rsid w:val="003E30A8"/>
    <w:rsid w:val="003E3CFC"/>
    <w:rsid w:val="003E5F94"/>
    <w:rsid w:val="003F4B9D"/>
    <w:rsid w:val="003F6A10"/>
    <w:rsid w:val="0040160A"/>
    <w:rsid w:val="004030E1"/>
    <w:rsid w:val="004036BF"/>
    <w:rsid w:val="00404226"/>
    <w:rsid w:val="004060F1"/>
    <w:rsid w:val="00407270"/>
    <w:rsid w:val="0040727F"/>
    <w:rsid w:val="004113E5"/>
    <w:rsid w:val="004117B4"/>
    <w:rsid w:val="00412BA3"/>
    <w:rsid w:val="004132AD"/>
    <w:rsid w:val="00413594"/>
    <w:rsid w:val="004139FC"/>
    <w:rsid w:val="00414344"/>
    <w:rsid w:val="0041569E"/>
    <w:rsid w:val="00415ACE"/>
    <w:rsid w:val="00415D94"/>
    <w:rsid w:val="00420AEF"/>
    <w:rsid w:val="00420E81"/>
    <w:rsid w:val="00420EA7"/>
    <w:rsid w:val="004210AE"/>
    <w:rsid w:val="00421D86"/>
    <w:rsid w:val="00421F9E"/>
    <w:rsid w:val="004233C1"/>
    <w:rsid w:val="004260DD"/>
    <w:rsid w:val="004275E8"/>
    <w:rsid w:val="0043014E"/>
    <w:rsid w:val="004306D2"/>
    <w:rsid w:val="00433141"/>
    <w:rsid w:val="004341E7"/>
    <w:rsid w:val="00434810"/>
    <w:rsid w:val="00434CB3"/>
    <w:rsid w:val="00435E99"/>
    <w:rsid w:val="0043729F"/>
    <w:rsid w:val="00441126"/>
    <w:rsid w:val="00441997"/>
    <w:rsid w:val="00443C61"/>
    <w:rsid w:val="00443E9C"/>
    <w:rsid w:val="004448A6"/>
    <w:rsid w:val="00445DC1"/>
    <w:rsid w:val="0044643F"/>
    <w:rsid w:val="00450484"/>
    <w:rsid w:val="00450596"/>
    <w:rsid w:val="00450803"/>
    <w:rsid w:val="00454002"/>
    <w:rsid w:val="00454721"/>
    <w:rsid w:val="00463EE2"/>
    <w:rsid w:val="0046420B"/>
    <w:rsid w:val="0046431B"/>
    <w:rsid w:val="00464C4C"/>
    <w:rsid w:val="00464CB6"/>
    <w:rsid w:val="00467BB0"/>
    <w:rsid w:val="00470644"/>
    <w:rsid w:val="0047151E"/>
    <w:rsid w:val="00472667"/>
    <w:rsid w:val="00473761"/>
    <w:rsid w:val="004740C5"/>
    <w:rsid w:val="00475593"/>
    <w:rsid w:val="004766CA"/>
    <w:rsid w:val="00480E91"/>
    <w:rsid w:val="004812BA"/>
    <w:rsid w:val="004834C8"/>
    <w:rsid w:val="00485353"/>
    <w:rsid w:val="00485A27"/>
    <w:rsid w:val="00485DB3"/>
    <w:rsid w:val="00486D84"/>
    <w:rsid w:val="00487F06"/>
    <w:rsid w:val="00491630"/>
    <w:rsid w:val="004921AF"/>
    <w:rsid w:val="00494E60"/>
    <w:rsid w:val="00495AA2"/>
    <w:rsid w:val="00496F32"/>
    <w:rsid w:val="00497BF9"/>
    <w:rsid w:val="004A0216"/>
    <w:rsid w:val="004A0B94"/>
    <w:rsid w:val="004A4CEF"/>
    <w:rsid w:val="004A5210"/>
    <w:rsid w:val="004B080C"/>
    <w:rsid w:val="004B13E3"/>
    <w:rsid w:val="004B321B"/>
    <w:rsid w:val="004B4F09"/>
    <w:rsid w:val="004B6B6D"/>
    <w:rsid w:val="004B7837"/>
    <w:rsid w:val="004C18E7"/>
    <w:rsid w:val="004C371E"/>
    <w:rsid w:val="004C5281"/>
    <w:rsid w:val="004D097E"/>
    <w:rsid w:val="004D0AEA"/>
    <w:rsid w:val="004D146B"/>
    <w:rsid w:val="004D1783"/>
    <w:rsid w:val="004D277D"/>
    <w:rsid w:val="004D35D1"/>
    <w:rsid w:val="004D382D"/>
    <w:rsid w:val="004D4079"/>
    <w:rsid w:val="004D5AB2"/>
    <w:rsid w:val="004E0719"/>
    <w:rsid w:val="004E1714"/>
    <w:rsid w:val="004E1AC4"/>
    <w:rsid w:val="004E1E07"/>
    <w:rsid w:val="004E307A"/>
    <w:rsid w:val="004E3303"/>
    <w:rsid w:val="004E47E5"/>
    <w:rsid w:val="004E7DEE"/>
    <w:rsid w:val="004F0638"/>
    <w:rsid w:val="004F0F2C"/>
    <w:rsid w:val="004F1482"/>
    <w:rsid w:val="004F3159"/>
    <w:rsid w:val="004F4E54"/>
    <w:rsid w:val="004F5711"/>
    <w:rsid w:val="004F683E"/>
    <w:rsid w:val="004F6B75"/>
    <w:rsid w:val="004F7DF4"/>
    <w:rsid w:val="005003D4"/>
    <w:rsid w:val="00500A11"/>
    <w:rsid w:val="00501235"/>
    <w:rsid w:val="005012E8"/>
    <w:rsid w:val="005053C9"/>
    <w:rsid w:val="005056DE"/>
    <w:rsid w:val="0050782E"/>
    <w:rsid w:val="00507FC3"/>
    <w:rsid w:val="00511A69"/>
    <w:rsid w:val="00513FE4"/>
    <w:rsid w:val="00515A22"/>
    <w:rsid w:val="005218B3"/>
    <w:rsid w:val="005241F8"/>
    <w:rsid w:val="00525506"/>
    <w:rsid w:val="005256E8"/>
    <w:rsid w:val="00527780"/>
    <w:rsid w:val="00531A35"/>
    <w:rsid w:val="00533671"/>
    <w:rsid w:val="00533C56"/>
    <w:rsid w:val="00533EC5"/>
    <w:rsid w:val="00534BFB"/>
    <w:rsid w:val="00535711"/>
    <w:rsid w:val="00536C9D"/>
    <w:rsid w:val="0053766B"/>
    <w:rsid w:val="00537BCE"/>
    <w:rsid w:val="00541841"/>
    <w:rsid w:val="00544A58"/>
    <w:rsid w:val="005467BC"/>
    <w:rsid w:val="0054691F"/>
    <w:rsid w:val="005500A1"/>
    <w:rsid w:val="005507B3"/>
    <w:rsid w:val="00552044"/>
    <w:rsid w:val="00552B59"/>
    <w:rsid w:val="00552C08"/>
    <w:rsid w:val="005531C9"/>
    <w:rsid w:val="005533DA"/>
    <w:rsid w:val="00554F80"/>
    <w:rsid w:val="00557499"/>
    <w:rsid w:val="005577E2"/>
    <w:rsid w:val="005625AC"/>
    <w:rsid w:val="005630DD"/>
    <w:rsid w:val="00566FCD"/>
    <w:rsid w:val="005678F9"/>
    <w:rsid w:val="00567E1D"/>
    <w:rsid w:val="00573258"/>
    <w:rsid w:val="005733E4"/>
    <w:rsid w:val="00573460"/>
    <w:rsid w:val="00574A21"/>
    <w:rsid w:val="005756A2"/>
    <w:rsid w:val="005801D0"/>
    <w:rsid w:val="00581A45"/>
    <w:rsid w:val="005843C4"/>
    <w:rsid w:val="00584A47"/>
    <w:rsid w:val="00585868"/>
    <w:rsid w:val="005859AA"/>
    <w:rsid w:val="005904B4"/>
    <w:rsid w:val="00590BD6"/>
    <w:rsid w:val="00593300"/>
    <w:rsid w:val="005936DC"/>
    <w:rsid w:val="00594251"/>
    <w:rsid w:val="00594654"/>
    <w:rsid w:val="00594AF2"/>
    <w:rsid w:val="00595A22"/>
    <w:rsid w:val="00597FED"/>
    <w:rsid w:val="005A5291"/>
    <w:rsid w:val="005A7472"/>
    <w:rsid w:val="005B0C0C"/>
    <w:rsid w:val="005B1F19"/>
    <w:rsid w:val="005B4647"/>
    <w:rsid w:val="005C121B"/>
    <w:rsid w:val="005C15E0"/>
    <w:rsid w:val="005C194E"/>
    <w:rsid w:val="005C27DD"/>
    <w:rsid w:val="005C2FDD"/>
    <w:rsid w:val="005C41E9"/>
    <w:rsid w:val="005C5049"/>
    <w:rsid w:val="005C7875"/>
    <w:rsid w:val="005C7E2F"/>
    <w:rsid w:val="005D2F14"/>
    <w:rsid w:val="005D45FB"/>
    <w:rsid w:val="005D5213"/>
    <w:rsid w:val="005D65C2"/>
    <w:rsid w:val="005E1FA4"/>
    <w:rsid w:val="005E3899"/>
    <w:rsid w:val="005E4E29"/>
    <w:rsid w:val="005E541B"/>
    <w:rsid w:val="005E6303"/>
    <w:rsid w:val="005F2527"/>
    <w:rsid w:val="005F7787"/>
    <w:rsid w:val="00600CE7"/>
    <w:rsid w:val="0060180D"/>
    <w:rsid w:val="00602980"/>
    <w:rsid w:val="00604A6B"/>
    <w:rsid w:val="00604DBC"/>
    <w:rsid w:val="00605DAC"/>
    <w:rsid w:val="006061A2"/>
    <w:rsid w:val="00607283"/>
    <w:rsid w:val="00607924"/>
    <w:rsid w:val="00607D28"/>
    <w:rsid w:val="0061107D"/>
    <w:rsid w:val="00613D56"/>
    <w:rsid w:val="00613DB3"/>
    <w:rsid w:val="00620073"/>
    <w:rsid w:val="006208B8"/>
    <w:rsid w:val="00620FF0"/>
    <w:rsid w:val="00623955"/>
    <w:rsid w:val="00623E25"/>
    <w:rsid w:val="00624133"/>
    <w:rsid w:val="0062536E"/>
    <w:rsid w:val="006274CC"/>
    <w:rsid w:val="00630E93"/>
    <w:rsid w:val="006310B4"/>
    <w:rsid w:val="00631CF6"/>
    <w:rsid w:val="006321E8"/>
    <w:rsid w:val="00632246"/>
    <w:rsid w:val="00632B62"/>
    <w:rsid w:val="00632DDD"/>
    <w:rsid w:val="0063508E"/>
    <w:rsid w:val="00636171"/>
    <w:rsid w:val="00637605"/>
    <w:rsid w:val="006403C3"/>
    <w:rsid w:val="006436B4"/>
    <w:rsid w:val="0064372B"/>
    <w:rsid w:val="0064482C"/>
    <w:rsid w:val="00646B2D"/>
    <w:rsid w:val="00646BA3"/>
    <w:rsid w:val="00646D54"/>
    <w:rsid w:val="0064748A"/>
    <w:rsid w:val="006562D4"/>
    <w:rsid w:val="00656634"/>
    <w:rsid w:val="006576BE"/>
    <w:rsid w:val="00657910"/>
    <w:rsid w:val="00661B90"/>
    <w:rsid w:val="00661F48"/>
    <w:rsid w:val="00662F3E"/>
    <w:rsid w:val="0066335A"/>
    <w:rsid w:val="00666385"/>
    <w:rsid w:val="00667013"/>
    <w:rsid w:val="006704B3"/>
    <w:rsid w:val="0067160D"/>
    <w:rsid w:val="00672EB8"/>
    <w:rsid w:val="00673585"/>
    <w:rsid w:val="00674A3B"/>
    <w:rsid w:val="00675B58"/>
    <w:rsid w:val="00677219"/>
    <w:rsid w:val="006776CC"/>
    <w:rsid w:val="006804C3"/>
    <w:rsid w:val="0068125D"/>
    <w:rsid w:val="00681AF4"/>
    <w:rsid w:val="00681BBC"/>
    <w:rsid w:val="006851EB"/>
    <w:rsid w:val="006907EB"/>
    <w:rsid w:val="00691B46"/>
    <w:rsid w:val="00691FB8"/>
    <w:rsid w:val="00693D9A"/>
    <w:rsid w:val="00694422"/>
    <w:rsid w:val="00694A1A"/>
    <w:rsid w:val="006951EE"/>
    <w:rsid w:val="00695D79"/>
    <w:rsid w:val="0069717D"/>
    <w:rsid w:val="006A0626"/>
    <w:rsid w:val="006A069E"/>
    <w:rsid w:val="006A366A"/>
    <w:rsid w:val="006A3A0B"/>
    <w:rsid w:val="006A40D7"/>
    <w:rsid w:val="006A749E"/>
    <w:rsid w:val="006B0F04"/>
    <w:rsid w:val="006B2523"/>
    <w:rsid w:val="006B3263"/>
    <w:rsid w:val="006C1B0B"/>
    <w:rsid w:val="006C247E"/>
    <w:rsid w:val="006C4489"/>
    <w:rsid w:val="006C4A78"/>
    <w:rsid w:val="006C5734"/>
    <w:rsid w:val="006C5C8F"/>
    <w:rsid w:val="006D1683"/>
    <w:rsid w:val="006D1E1B"/>
    <w:rsid w:val="006D2853"/>
    <w:rsid w:val="006D416A"/>
    <w:rsid w:val="006D69A3"/>
    <w:rsid w:val="006D776E"/>
    <w:rsid w:val="006E1617"/>
    <w:rsid w:val="006E1D59"/>
    <w:rsid w:val="006E227E"/>
    <w:rsid w:val="006E27C5"/>
    <w:rsid w:val="006E2ABB"/>
    <w:rsid w:val="006E3E04"/>
    <w:rsid w:val="006E454B"/>
    <w:rsid w:val="006E4D72"/>
    <w:rsid w:val="006F07A1"/>
    <w:rsid w:val="006F0DAE"/>
    <w:rsid w:val="006F3741"/>
    <w:rsid w:val="006F3933"/>
    <w:rsid w:val="006F56F1"/>
    <w:rsid w:val="006F74EE"/>
    <w:rsid w:val="007006F3"/>
    <w:rsid w:val="00700914"/>
    <w:rsid w:val="00700A24"/>
    <w:rsid w:val="00702091"/>
    <w:rsid w:val="00702162"/>
    <w:rsid w:val="00703281"/>
    <w:rsid w:val="00703314"/>
    <w:rsid w:val="00703547"/>
    <w:rsid w:val="00703D8C"/>
    <w:rsid w:val="00704874"/>
    <w:rsid w:val="00705AF0"/>
    <w:rsid w:val="00706831"/>
    <w:rsid w:val="00706B3C"/>
    <w:rsid w:val="00707AAE"/>
    <w:rsid w:val="00712939"/>
    <w:rsid w:val="00713452"/>
    <w:rsid w:val="007149C7"/>
    <w:rsid w:val="0071522C"/>
    <w:rsid w:val="00715B77"/>
    <w:rsid w:val="00716202"/>
    <w:rsid w:val="007162A7"/>
    <w:rsid w:val="0071712C"/>
    <w:rsid w:val="0071741E"/>
    <w:rsid w:val="00717C6E"/>
    <w:rsid w:val="00721808"/>
    <w:rsid w:val="00722215"/>
    <w:rsid w:val="00722AEB"/>
    <w:rsid w:val="0072609F"/>
    <w:rsid w:val="00727FD1"/>
    <w:rsid w:val="00735CDE"/>
    <w:rsid w:val="00736F99"/>
    <w:rsid w:val="00736FF0"/>
    <w:rsid w:val="00737396"/>
    <w:rsid w:val="00737644"/>
    <w:rsid w:val="00740369"/>
    <w:rsid w:val="00740D6B"/>
    <w:rsid w:val="007429F7"/>
    <w:rsid w:val="00742F78"/>
    <w:rsid w:val="0074369D"/>
    <w:rsid w:val="00743EE1"/>
    <w:rsid w:val="00744925"/>
    <w:rsid w:val="007466F7"/>
    <w:rsid w:val="0074670F"/>
    <w:rsid w:val="00746B2F"/>
    <w:rsid w:val="0075356A"/>
    <w:rsid w:val="007625E6"/>
    <w:rsid w:val="00762FA5"/>
    <w:rsid w:val="007679C0"/>
    <w:rsid w:val="007711C4"/>
    <w:rsid w:val="007716EA"/>
    <w:rsid w:val="007733A0"/>
    <w:rsid w:val="00774461"/>
    <w:rsid w:val="00775A64"/>
    <w:rsid w:val="0077600D"/>
    <w:rsid w:val="00776C80"/>
    <w:rsid w:val="00780238"/>
    <w:rsid w:val="00781C68"/>
    <w:rsid w:val="007846D4"/>
    <w:rsid w:val="007852D5"/>
    <w:rsid w:val="00785EE0"/>
    <w:rsid w:val="00787908"/>
    <w:rsid w:val="00790667"/>
    <w:rsid w:val="00790873"/>
    <w:rsid w:val="0079688F"/>
    <w:rsid w:val="007A01A8"/>
    <w:rsid w:val="007A1264"/>
    <w:rsid w:val="007A2A9D"/>
    <w:rsid w:val="007A38C8"/>
    <w:rsid w:val="007A39F6"/>
    <w:rsid w:val="007A49EE"/>
    <w:rsid w:val="007A51A4"/>
    <w:rsid w:val="007A7D60"/>
    <w:rsid w:val="007B478D"/>
    <w:rsid w:val="007B6190"/>
    <w:rsid w:val="007B6A6D"/>
    <w:rsid w:val="007C0AB3"/>
    <w:rsid w:val="007C0F41"/>
    <w:rsid w:val="007C1080"/>
    <w:rsid w:val="007C1151"/>
    <w:rsid w:val="007C3EB0"/>
    <w:rsid w:val="007C4B17"/>
    <w:rsid w:val="007C66EA"/>
    <w:rsid w:val="007C740B"/>
    <w:rsid w:val="007C7459"/>
    <w:rsid w:val="007D0CCB"/>
    <w:rsid w:val="007D2196"/>
    <w:rsid w:val="007D333A"/>
    <w:rsid w:val="007E0776"/>
    <w:rsid w:val="007E3DC8"/>
    <w:rsid w:val="007E4412"/>
    <w:rsid w:val="007E4C79"/>
    <w:rsid w:val="007E63FF"/>
    <w:rsid w:val="007F2362"/>
    <w:rsid w:val="007F2DB3"/>
    <w:rsid w:val="007F609B"/>
    <w:rsid w:val="007F6551"/>
    <w:rsid w:val="007F6DF7"/>
    <w:rsid w:val="00803150"/>
    <w:rsid w:val="00803C12"/>
    <w:rsid w:val="00803E3E"/>
    <w:rsid w:val="0080404A"/>
    <w:rsid w:val="00804843"/>
    <w:rsid w:val="00805A62"/>
    <w:rsid w:val="008064CC"/>
    <w:rsid w:val="00806701"/>
    <w:rsid w:val="00806A1A"/>
    <w:rsid w:val="00806A85"/>
    <w:rsid w:val="00810E28"/>
    <w:rsid w:val="008119A0"/>
    <w:rsid w:val="00812348"/>
    <w:rsid w:val="00815BAE"/>
    <w:rsid w:val="0081609A"/>
    <w:rsid w:val="00821D69"/>
    <w:rsid w:val="0082225F"/>
    <w:rsid w:val="00824AFE"/>
    <w:rsid w:val="00826FE7"/>
    <w:rsid w:val="00831171"/>
    <w:rsid w:val="00831828"/>
    <w:rsid w:val="00833707"/>
    <w:rsid w:val="0083486B"/>
    <w:rsid w:val="008350B2"/>
    <w:rsid w:val="0083592C"/>
    <w:rsid w:val="0084071B"/>
    <w:rsid w:val="008407F8"/>
    <w:rsid w:val="00842120"/>
    <w:rsid w:val="0084242A"/>
    <w:rsid w:val="00843009"/>
    <w:rsid w:val="0084515D"/>
    <w:rsid w:val="008453F7"/>
    <w:rsid w:val="00845868"/>
    <w:rsid w:val="00846C71"/>
    <w:rsid w:val="008519EC"/>
    <w:rsid w:val="00852481"/>
    <w:rsid w:val="00853F7C"/>
    <w:rsid w:val="008603D7"/>
    <w:rsid w:val="008627C4"/>
    <w:rsid w:val="00864060"/>
    <w:rsid w:val="00866385"/>
    <w:rsid w:val="00876516"/>
    <w:rsid w:val="008770A8"/>
    <w:rsid w:val="00880138"/>
    <w:rsid w:val="00881003"/>
    <w:rsid w:val="00884265"/>
    <w:rsid w:val="00885001"/>
    <w:rsid w:val="008863FA"/>
    <w:rsid w:val="0088661A"/>
    <w:rsid w:val="008872A5"/>
    <w:rsid w:val="00887696"/>
    <w:rsid w:val="008902A0"/>
    <w:rsid w:val="00890634"/>
    <w:rsid w:val="00890963"/>
    <w:rsid w:val="00891E4D"/>
    <w:rsid w:val="008A0334"/>
    <w:rsid w:val="008A6B34"/>
    <w:rsid w:val="008A739E"/>
    <w:rsid w:val="008A7D01"/>
    <w:rsid w:val="008B0372"/>
    <w:rsid w:val="008B0387"/>
    <w:rsid w:val="008B08A3"/>
    <w:rsid w:val="008B1911"/>
    <w:rsid w:val="008B1D63"/>
    <w:rsid w:val="008B1F34"/>
    <w:rsid w:val="008B6D1F"/>
    <w:rsid w:val="008B74E2"/>
    <w:rsid w:val="008C29FC"/>
    <w:rsid w:val="008C6473"/>
    <w:rsid w:val="008C6957"/>
    <w:rsid w:val="008C7FA0"/>
    <w:rsid w:val="008D1980"/>
    <w:rsid w:val="008D3734"/>
    <w:rsid w:val="008D3D78"/>
    <w:rsid w:val="008D40F6"/>
    <w:rsid w:val="008D5167"/>
    <w:rsid w:val="008D6189"/>
    <w:rsid w:val="008D6860"/>
    <w:rsid w:val="008D6EF7"/>
    <w:rsid w:val="008E07DF"/>
    <w:rsid w:val="008E1718"/>
    <w:rsid w:val="008E23D8"/>
    <w:rsid w:val="008E51D4"/>
    <w:rsid w:val="008E5B96"/>
    <w:rsid w:val="008F3B08"/>
    <w:rsid w:val="008F59F2"/>
    <w:rsid w:val="00900F10"/>
    <w:rsid w:val="0090192E"/>
    <w:rsid w:val="009024B4"/>
    <w:rsid w:val="00905F53"/>
    <w:rsid w:val="00906AE8"/>
    <w:rsid w:val="00906CE4"/>
    <w:rsid w:val="00910BE8"/>
    <w:rsid w:val="00912977"/>
    <w:rsid w:val="00913BEF"/>
    <w:rsid w:val="009143FE"/>
    <w:rsid w:val="0091545F"/>
    <w:rsid w:val="0091620A"/>
    <w:rsid w:val="0091678C"/>
    <w:rsid w:val="00916AB6"/>
    <w:rsid w:val="00921DE9"/>
    <w:rsid w:val="00922B44"/>
    <w:rsid w:val="009242C0"/>
    <w:rsid w:val="00925F94"/>
    <w:rsid w:val="00927367"/>
    <w:rsid w:val="00927D10"/>
    <w:rsid w:val="009331D6"/>
    <w:rsid w:val="00934954"/>
    <w:rsid w:val="0093496B"/>
    <w:rsid w:val="009352F3"/>
    <w:rsid w:val="009367A6"/>
    <w:rsid w:val="009367FE"/>
    <w:rsid w:val="0093719C"/>
    <w:rsid w:val="00940208"/>
    <w:rsid w:val="00940493"/>
    <w:rsid w:val="009407C8"/>
    <w:rsid w:val="00945379"/>
    <w:rsid w:val="00945951"/>
    <w:rsid w:val="00945A42"/>
    <w:rsid w:val="009474D3"/>
    <w:rsid w:val="009527E3"/>
    <w:rsid w:val="00956C65"/>
    <w:rsid w:val="00957DA4"/>
    <w:rsid w:val="00960858"/>
    <w:rsid w:val="0096102C"/>
    <w:rsid w:val="0096786C"/>
    <w:rsid w:val="00971336"/>
    <w:rsid w:val="00972271"/>
    <w:rsid w:val="00974B7A"/>
    <w:rsid w:val="00974F3E"/>
    <w:rsid w:val="00975FB6"/>
    <w:rsid w:val="00977AAB"/>
    <w:rsid w:val="00977ADC"/>
    <w:rsid w:val="00981550"/>
    <w:rsid w:val="00981925"/>
    <w:rsid w:val="00981E8B"/>
    <w:rsid w:val="0098315A"/>
    <w:rsid w:val="00986146"/>
    <w:rsid w:val="0098658D"/>
    <w:rsid w:val="009877AA"/>
    <w:rsid w:val="00990533"/>
    <w:rsid w:val="00991668"/>
    <w:rsid w:val="00992300"/>
    <w:rsid w:val="00992E73"/>
    <w:rsid w:val="00995103"/>
    <w:rsid w:val="00995D0A"/>
    <w:rsid w:val="009A1C73"/>
    <w:rsid w:val="009A2797"/>
    <w:rsid w:val="009A416A"/>
    <w:rsid w:val="009A692D"/>
    <w:rsid w:val="009A6F44"/>
    <w:rsid w:val="009A7FF7"/>
    <w:rsid w:val="009B0D1C"/>
    <w:rsid w:val="009B1FF0"/>
    <w:rsid w:val="009B3077"/>
    <w:rsid w:val="009B47BC"/>
    <w:rsid w:val="009B6E8D"/>
    <w:rsid w:val="009C059F"/>
    <w:rsid w:val="009C1D8F"/>
    <w:rsid w:val="009C22C6"/>
    <w:rsid w:val="009C4071"/>
    <w:rsid w:val="009C4BDE"/>
    <w:rsid w:val="009C4FB7"/>
    <w:rsid w:val="009C7BD3"/>
    <w:rsid w:val="009C7DB8"/>
    <w:rsid w:val="009D0F89"/>
    <w:rsid w:val="009D34D3"/>
    <w:rsid w:val="009D4AFE"/>
    <w:rsid w:val="009E26A6"/>
    <w:rsid w:val="009E2B4D"/>
    <w:rsid w:val="009E2FC3"/>
    <w:rsid w:val="009E4205"/>
    <w:rsid w:val="009E44DB"/>
    <w:rsid w:val="009E7570"/>
    <w:rsid w:val="009E77CF"/>
    <w:rsid w:val="009F0D4C"/>
    <w:rsid w:val="009F0DDB"/>
    <w:rsid w:val="009F228F"/>
    <w:rsid w:val="009F2638"/>
    <w:rsid w:val="009F4DC5"/>
    <w:rsid w:val="009F57F4"/>
    <w:rsid w:val="00A008FA"/>
    <w:rsid w:val="00A034B0"/>
    <w:rsid w:val="00A035E1"/>
    <w:rsid w:val="00A04687"/>
    <w:rsid w:val="00A04835"/>
    <w:rsid w:val="00A04B70"/>
    <w:rsid w:val="00A05CE4"/>
    <w:rsid w:val="00A120B5"/>
    <w:rsid w:val="00A12E8E"/>
    <w:rsid w:val="00A1418D"/>
    <w:rsid w:val="00A157D6"/>
    <w:rsid w:val="00A16F65"/>
    <w:rsid w:val="00A170DD"/>
    <w:rsid w:val="00A1797E"/>
    <w:rsid w:val="00A179ED"/>
    <w:rsid w:val="00A209E9"/>
    <w:rsid w:val="00A21A9A"/>
    <w:rsid w:val="00A222E5"/>
    <w:rsid w:val="00A24353"/>
    <w:rsid w:val="00A24A8F"/>
    <w:rsid w:val="00A25A0F"/>
    <w:rsid w:val="00A2689E"/>
    <w:rsid w:val="00A27096"/>
    <w:rsid w:val="00A27F66"/>
    <w:rsid w:val="00A31695"/>
    <w:rsid w:val="00A31BAE"/>
    <w:rsid w:val="00A320FD"/>
    <w:rsid w:val="00A33097"/>
    <w:rsid w:val="00A34A8B"/>
    <w:rsid w:val="00A373B7"/>
    <w:rsid w:val="00A37DEA"/>
    <w:rsid w:val="00A40C53"/>
    <w:rsid w:val="00A42EC3"/>
    <w:rsid w:val="00A43016"/>
    <w:rsid w:val="00A43252"/>
    <w:rsid w:val="00A43A06"/>
    <w:rsid w:val="00A43FFC"/>
    <w:rsid w:val="00A47F41"/>
    <w:rsid w:val="00A501AE"/>
    <w:rsid w:val="00A5147E"/>
    <w:rsid w:val="00A52312"/>
    <w:rsid w:val="00A528B6"/>
    <w:rsid w:val="00A54D6A"/>
    <w:rsid w:val="00A560C3"/>
    <w:rsid w:val="00A56615"/>
    <w:rsid w:val="00A60594"/>
    <w:rsid w:val="00A65EBB"/>
    <w:rsid w:val="00A67311"/>
    <w:rsid w:val="00A7019B"/>
    <w:rsid w:val="00A71EBA"/>
    <w:rsid w:val="00A72175"/>
    <w:rsid w:val="00A72DDC"/>
    <w:rsid w:val="00A73464"/>
    <w:rsid w:val="00A74BD9"/>
    <w:rsid w:val="00A75CCC"/>
    <w:rsid w:val="00A762AD"/>
    <w:rsid w:val="00A76394"/>
    <w:rsid w:val="00A76FFF"/>
    <w:rsid w:val="00A80C32"/>
    <w:rsid w:val="00A80FD6"/>
    <w:rsid w:val="00A81C11"/>
    <w:rsid w:val="00A83A6C"/>
    <w:rsid w:val="00A83C75"/>
    <w:rsid w:val="00A83E23"/>
    <w:rsid w:val="00A866BC"/>
    <w:rsid w:val="00A86A06"/>
    <w:rsid w:val="00A9296D"/>
    <w:rsid w:val="00A93AB0"/>
    <w:rsid w:val="00A93E9D"/>
    <w:rsid w:val="00A977CE"/>
    <w:rsid w:val="00A97D8A"/>
    <w:rsid w:val="00AA244B"/>
    <w:rsid w:val="00AA2599"/>
    <w:rsid w:val="00AA5CF4"/>
    <w:rsid w:val="00AB1B77"/>
    <w:rsid w:val="00AB39C2"/>
    <w:rsid w:val="00AB3BEE"/>
    <w:rsid w:val="00AB43EE"/>
    <w:rsid w:val="00AB6D26"/>
    <w:rsid w:val="00AC0C1F"/>
    <w:rsid w:val="00AC2C16"/>
    <w:rsid w:val="00AC2C84"/>
    <w:rsid w:val="00AC2D3C"/>
    <w:rsid w:val="00AC2E53"/>
    <w:rsid w:val="00AC2EDD"/>
    <w:rsid w:val="00AC3175"/>
    <w:rsid w:val="00AC3E73"/>
    <w:rsid w:val="00AC3EF8"/>
    <w:rsid w:val="00AC67D7"/>
    <w:rsid w:val="00AC71EA"/>
    <w:rsid w:val="00AD187C"/>
    <w:rsid w:val="00AD29FF"/>
    <w:rsid w:val="00AD3347"/>
    <w:rsid w:val="00AD68F5"/>
    <w:rsid w:val="00AD7FDA"/>
    <w:rsid w:val="00AE1D9D"/>
    <w:rsid w:val="00AE383A"/>
    <w:rsid w:val="00AE5070"/>
    <w:rsid w:val="00AE5DE1"/>
    <w:rsid w:val="00AE7612"/>
    <w:rsid w:val="00AF2179"/>
    <w:rsid w:val="00AF2260"/>
    <w:rsid w:val="00AF3228"/>
    <w:rsid w:val="00AF3352"/>
    <w:rsid w:val="00AF468B"/>
    <w:rsid w:val="00AF6355"/>
    <w:rsid w:val="00AF7D24"/>
    <w:rsid w:val="00B00000"/>
    <w:rsid w:val="00B01463"/>
    <w:rsid w:val="00B01FF3"/>
    <w:rsid w:val="00B06759"/>
    <w:rsid w:val="00B10E4D"/>
    <w:rsid w:val="00B110C1"/>
    <w:rsid w:val="00B110DA"/>
    <w:rsid w:val="00B123F7"/>
    <w:rsid w:val="00B129AE"/>
    <w:rsid w:val="00B130FC"/>
    <w:rsid w:val="00B162D0"/>
    <w:rsid w:val="00B16D09"/>
    <w:rsid w:val="00B1768F"/>
    <w:rsid w:val="00B200B8"/>
    <w:rsid w:val="00B211B3"/>
    <w:rsid w:val="00B220B8"/>
    <w:rsid w:val="00B222D9"/>
    <w:rsid w:val="00B26693"/>
    <w:rsid w:val="00B311BF"/>
    <w:rsid w:val="00B31387"/>
    <w:rsid w:val="00B3373E"/>
    <w:rsid w:val="00B33F04"/>
    <w:rsid w:val="00B356F7"/>
    <w:rsid w:val="00B3632F"/>
    <w:rsid w:val="00B41C8E"/>
    <w:rsid w:val="00B44B56"/>
    <w:rsid w:val="00B47B68"/>
    <w:rsid w:val="00B5312C"/>
    <w:rsid w:val="00B53670"/>
    <w:rsid w:val="00B54030"/>
    <w:rsid w:val="00B54134"/>
    <w:rsid w:val="00B5451C"/>
    <w:rsid w:val="00B549C8"/>
    <w:rsid w:val="00B54AC2"/>
    <w:rsid w:val="00B57F0A"/>
    <w:rsid w:val="00B6175E"/>
    <w:rsid w:val="00B6190C"/>
    <w:rsid w:val="00B650BA"/>
    <w:rsid w:val="00B65262"/>
    <w:rsid w:val="00B65C00"/>
    <w:rsid w:val="00B67884"/>
    <w:rsid w:val="00B70333"/>
    <w:rsid w:val="00B714BE"/>
    <w:rsid w:val="00B72251"/>
    <w:rsid w:val="00B723E3"/>
    <w:rsid w:val="00B72B17"/>
    <w:rsid w:val="00B73011"/>
    <w:rsid w:val="00B73434"/>
    <w:rsid w:val="00B74701"/>
    <w:rsid w:val="00B7475B"/>
    <w:rsid w:val="00B74B44"/>
    <w:rsid w:val="00B80422"/>
    <w:rsid w:val="00B808B2"/>
    <w:rsid w:val="00B81F0A"/>
    <w:rsid w:val="00B827B1"/>
    <w:rsid w:val="00B82C14"/>
    <w:rsid w:val="00B8687F"/>
    <w:rsid w:val="00B8689F"/>
    <w:rsid w:val="00B86AFA"/>
    <w:rsid w:val="00B86C9A"/>
    <w:rsid w:val="00B92FB0"/>
    <w:rsid w:val="00B94325"/>
    <w:rsid w:val="00B94E06"/>
    <w:rsid w:val="00B95E96"/>
    <w:rsid w:val="00BA19F3"/>
    <w:rsid w:val="00BA2D66"/>
    <w:rsid w:val="00BA3CEC"/>
    <w:rsid w:val="00BA65D8"/>
    <w:rsid w:val="00BA69BE"/>
    <w:rsid w:val="00BA6A95"/>
    <w:rsid w:val="00BB063D"/>
    <w:rsid w:val="00BB1A00"/>
    <w:rsid w:val="00BB24B8"/>
    <w:rsid w:val="00BB55BB"/>
    <w:rsid w:val="00BB5A7F"/>
    <w:rsid w:val="00BB66AD"/>
    <w:rsid w:val="00BB6AB1"/>
    <w:rsid w:val="00BB745A"/>
    <w:rsid w:val="00BC3D6D"/>
    <w:rsid w:val="00BC3E8B"/>
    <w:rsid w:val="00BC4162"/>
    <w:rsid w:val="00BC4503"/>
    <w:rsid w:val="00BC4999"/>
    <w:rsid w:val="00BC50BD"/>
    <w:rsid w:val="00BC531C"/>
    <w:rsid w:val="00BC54B0"/>
    <w:rsid w:val="00BC59EB"/>
    <w:rsid w:val="00BC75D8"/>
    <w:rsid w:val="00BD1D65"/>
    <w:rsid w:val="00BD4AE0"/>
    <w:rsid w:val="00BD5E18"/>
    <w:rsid w:val="00BE007D"/>
    <w:rsid w:val="00BE1173"/>
    <w:rsid w:val="00BE12EB"/>
    <w:rsid w:val="00BE365D"/>
    <w:rsid w:val="00BE3C73"/>
    <w:rsid w:val="00BE528A"/>
    <w:rsid w:val="00BE6B9E"/>
    <w:rsid w:val="00BF0334"/>
    <w:rsid w:val="00BF2B93"/>
    <w:rsid w:val="00BF31F2"/>
    <w:rsid w:val="00BF46F7"/>
    <w:rsid w:val="00BF6C65"/>
    <w:rsid w:val="00C00356"/>
    <w:rsid w:val="00C00594"/>
    <w:rsid w:val="00C014CE"/>
    <w:rsid w:val="00C01EE8"/>
    <w:rsid w:val="00C02649"/>
    <w:rsid w:val="00C02C0F"/>
    <w:rsid w:val="00C04900"/>
    <w:rsid w:val="00C05CFA"/>
    <w:rsid w:val="00C071F0"/>
    <w:rsid w:val="00C0722F"/>
    <w:rsid w:val="00C076D8"/>
    <w:rsid w:val="00C07BA7"/>
    <w:rsid w:val="00C11994"/>
    <w:rsid w:val="00C11C23"/>
    <w:rsid w:val="00C14B92"/>
    <w:rsid w:val="00C1532A"/>
    <w:rsid w:val="00C167CC"/>
    <w:rsid w:val="00C20B70"/>
    <w:rsid w:val="00C24CB4"/>
    <w:rsid w:val="00C250A2"/>
    <w:rsid w:val="00C27B22"/>
    <w:rsid w:val="00C27B6F"/>
    <w:rsid w:val="00C3248B"/>
    <w:rsid w:val="00C326F4"/>
    <w:rsid w:val="00C345F4"/>
    <w:rsid w:val="00C371CB"/>
    <w:rsid w:val="00C41594"/>
    <w:rsid w:val="00C44F98"/>
    <w:rsid w:val="00C4668E"/>
    <w:rsid w:val="00C472A6"/>
    <w:rsid w:val="00C5030F"/>
    <w:rsid w:val="00C513E4"/>
    <w:rsid w:val="00C5203E"/>
    <w:rsid w:val="00C5421E"/>
    <w:rsid w:val="00C54428"/>
    <w:rsid w:val="00C55198"/>
    <w:rsid w:val="00C55920"/>
    <w:rsid w:val="00C55D56"/>
    <w:rsid w:val="00C571F0"/>
    <w:rsid w:val="00C57CC2"/>
    <w:rsid w:val="00C60779"/>
    <w:rsid w:val="00C6196C"/>
    <w:rsid w:val="00C6260F"/>
    <w:rsid w:val="00C62647"/>
    <w:rsid w:val="00C65E08"/>
    <w:rsid w:val="00C7259D"/>
    <w:rsid w:val="00C73F48"/>
    <w:rsid w:val="00C7453F"/>
    <w:rsid w:val="00C75B63"/>
    <w:rsid w:val="00C8119D"/>
    <w:rsid w:val="00C83CAA"/>
    <w:rsid w:val="00C84CC4"/>
    <w:rsid w:val="00C853A9"/>
    <w:rsid w:val="00C87A53"/>
    <w:rsid w:val="00C900AD"/>
    <w:rsid w:val="00C90937"/>
    <w:rsid w:val="00C93555"/>
    <w:rsid w:val="00C95268"/>
    <w:rsid w:val="00C95474"/>
    <w:rsid w:val="00C96025"/>
    <w:rsid w:val="00C97214"/>
    <w:rsid w:val="00C97A31"/>
    <w:rsid w:val="00CA09CB"/>
    <w:rsid w:val="00CA0C00"/>
    <w:rsid w:val="00CA22B5"/>
    <w:rsid w:val="00CA3F41"/>
    <w:rsid w:val="00CB0EC7"/>
    <w:rsid w:val="00CB15E0"/>
    <w:rsid w:val="00CB16AA"/>
    <w:rsid w:val="00CB199B"/>
    <w:rsid w:val="00CB2636"/>
    <w:rsid w:val="00CB2818"/>
    <w:rsid w:val="00CB296B"/>
    <w:rsid w:val="00CB2B33"/>
    <w:rsid w:val="00CB2E45"/>
    <w:rsid w:val="00CB4D7C"/>
    <w:rsid w:val="00CB5963"/>
    <w:rsid w:val="00CB6841"/>
    <w:rsid w:val="00CB6848"/>
    <w:rsid w:val="00CC0686"/>
    <w:rsid w:val="00CC17C2"/>
    <w:rsid w:val="00CC1DE1"/>
    <w:rsid w:val="00CC3FED"/>
    <w:rsid w:val="00CC6755"/>
    <w:rsid w:val="00CD00C4"/>
    <w:rsid w:val="00CD0425"/>
    <w:rsid w:val="00CD0FD3"/>
    <w:rsid w:val="00CD10B8"/>
    <w:rsid w:val="00CD1F21"/>
    <w:rsid w:val="00CD2BC7"/>
    <w:rsid w:val="00CD5E39"/>
    <w:rsid w:val="00CD687A"/>
    <w:rsid w:val="00CD707E"/>
    <w:rsid w:val="00CD75CE"/>
    <w:rsid w:val="00CE01BF"/>
    <w:rsid w:val="00CE21DF"/>
    <w:rsid w:val="00CE432D"/>
    <w:rsid w:val="00CE43D6"/>
    <w:rsid w:val="00CE72DA"/>
    <w:rsid w:val="00CF0004"/>
    <w:rsid w:val="00CF2C6C"/>
    <w:rsid w:val="00CF3395"/>
    <w:rsid w:val="00CF3600"/>
    <w:rsid w:val="00CF4462"/>
    <w:rsid w:val="00CF536B"/>
    <w:rsid w:val="00D02E8A"/>
    <w:rsid w:val="00D06AA8"/>
    <w:rsid w:val="00D111AE"/>
    <w:rsid w:val="00D1454C"/>
    <w:rsid w:val="00D14FF9"/>
    <w:rsid w:val="00D158C5"/>
    <w:rsid w:val="00D1669C"/>
    <w:rsid w:val="00D16760"/>
    <w:rsid w:val="00D2030A"/>
    <w:rsid w:val="00D21062"/>
    <w:rsid w:val="00D213EE"/>
    <w:rsid w:val="00D2178D"/>
    <w:rsid w:val="00D22240"/>
    <w:rsid w:val="00D24C2A"/>
    <w:rsid w:val="00D3141F"/>
    <w:rsid w:val="00D33624"/>
    <w:rsid w:val="00D33E28"/>
    <w:rsid w:val="00D36022"/>
    <w:rsid w:val="00D36BDE"/>
    <w:rsid w:val="00D36C88"/>
    <w:rsid w:val="00D41385"/>
    <w:rsid w:val="00D4198A"/>
    <w:rsid w:val="00D41BD2"/>
    <w:rsid w:val="00D432D9"/>
    <w:rsid w:val="00D44BD6"/>
    <w:rsid w:val="00D46859"/>
    <w:rsid w:val="00D4736A"/>
    <w:rsid w:val="00D5032C"/>
    <w:rsid w:val="00D50CF7"/>
    <w:rsid w:val="00D5276C"/>
    <w:rsid w:val="00D535AC"/>
    <w:rsid w:val="00D54B5A"/>
    <w:rsid w:val="00D5640D"/>
    <w:rsid w:val="00D60289"/>
    <w:rsid w:val="00D60FC3"/>
    <w:rsid w:val="00D6311E"/>
    <w:rsid w:val="00D64746"/>
    <w:rsid w:val="00D649D9"/>
    <w:rsid w:val="00D6735F"/>
    <w:rsid w:val="00D730E1"/>
    <w:rsid w:val="00D75003"/>
    <w:rsid w:val="00D766DB"/>
    <w:rsid w:val="00D76EC1"/>
    <w:rsid w:val="00D804EE"/>
    <w:rsid w:val="00D810A1"/>
    <w:rsid w:val="00D82D00"/>
    <w:rsid w:val="00D8303B"/>
    <w:rsid w:val="00D86876"/>
    <w:rsid w:val="00D86DD4"/>
    <w:rsid w:val="00D917B5"/>
    <w:rsid w:val="00D92517"/>
    <w:rsid w:val="00D933AE"/>
    <w:rsid w:val="00D94DC1"/>
    <w:rsid w:val="00D96166"/>
    <w:rsid w:val="00D96C03"/>
    <w:rsid w:val="00DA0E77"/>
    <w:rsid w:val="00DA2DA6"/>
    <w:rsid w:val="00DA49F8"/>
    <w:rsid w:val="00DA5799"/>
    <w:rsid w:val="00DA68F2"/>
    <w:rsid w:val="00DB09BE"/>
    <w:rsid w:val="00DB2CD5"/>
    <w:rsid w:val="00DB4130"/>
    <w:rsid w:val="00DB5A9B"/>
    <w:rsid w:val="00DC1476"/>
    <w:rsid w:val="00DC37B6"/>
    <w:rsid w:val="00DC7896"/>
    <w:rsid w:val="00DD13E9"/>
    <w:rsid w:val="00DD1A24"/>
    <w:rsid w:val="00DD3601"/>
    <w:rsid w:val="00DD4238"/>
    <w:rsid w:val="00DD4BC1"/>
    <w:rsid w:val="00DD7862"/>
    <w:rsid w:val="00DE089B"/>
    <w:rsid w:val="00DE135B"/>
    <w:rsid w:val="00DE1BE9"/>
    <w:rsid w:val="00DE1F99"/>
    <w:rsid w:val="00DE4E48"/>
    <w:rsid w:val="00DE4E53"/>
    <w:rsid w:val="00DE5629"/>
    <w:rsid w:val="00DE6CA3"/>
    <w:rsid w:val="00DF0FBE"/>
    <w:rsid w:val="00DF2AE4"/>
    <w:rsid w:val="00DF3419"/>
    <w:rsid w:val="00DF6257"/>
    <w:rsid w:val="00E01FF1"/>
    <w:rsid w:val="00E032EA"/>
    <w:rsid w:val="00E03AB1"/>
    <w:rsid w:val="00E05B08"/>
    <w:rsid w:val="00E1002A"/>
    <w:rsid w:val="00E1064D"/>
    <w:rsid w:val="00E12256"/>
    <w:rsid w:val="00E12CD3"/>
    <w:rsid w:val="00E14070"/>
    <w:rsid w:val="00E16A71"/>
    <w:rsid w:val="00E229DC"/>
    <w:rsid w:val="00E272A9"/>
    <w:rsid w:val="00E33ADD"/>
    <w:rsid w:val="00E33DA4"/>
    <w:rsid w:val="00E345E8"/>
    <w:rsid w:val="00E34D55"/>
    <w:rsid w:val="00E35714"/>
    <w:rsid w:val="00E377C7"/>
    <w:rsid w:val="00E405A0"/>
    <w:rsid w:val="00E4142E"/>
    <w:rsid w:val="00E42EE7"/>
    <w:rsid w:val="00E464F5"/>
    <w:rsid w:val="00E466A6"/>
    <w:rsid w:val="00E46BFC"/>
    <w:rsid w:val="00E47C90"/>
    <w:rsid w:val="00E54AF7"/>
    <w:rsid w:val="00E55B00"/>
    <w:rsid w:val="00E55BA4"/>
    <w:rsid w:val="00E56705"/>
    <w:rsid w:val="00E56C64"/>
    <w:rsid w:val="00E57A98"/>
    <w:rsid w:val="00E62AA7"/>
    <w:rsid w:val="00E65F5C"/>
    <w:rsid w:val="00E65F66"/>
    <w:rsid w:val="00E6717D"/>
    <w:rsid w:val="00E67419"/>
    <w:rsid w:val="00E700B7"/>
    <w:rsid w:val="00E70C34"/>
    <w:rsid w:val="00E711D1"/>
    <w:rsid w:val="00E71EF6"/>
    <w:rsid w:val="00E72F7F"/>
    <w:rsid w:val="00E73838"/>
    <w:rsid w:val="00E800FC"/>
    <w:rsid w:val="00E80EC9"/>
    <w:rsid w:val="00E82672"/>
    <w:rsid w:val="00E828E0"/>
    <w:rsid w:val="00E83CD9"/>
    <w:rsid w:val="00E8404F"/>
    <w:rsid w:val="00E8474A"/>
    <w:rsid w:val="00E8696B"/>
    <w:rsid w:val="00E86E00"/>
    <w:rsid w:val="00E90486"/>
    <w:rsid w:val="00E93C32"/>
    <w:rsid w:val="00E9495B"/>
    <w:rsid w:val="00E95439"/>
    <w:rsid w:val="00E95CA7"/>
    <w:rsid w:val="00E96B9D"/>
    <w:rsid w:val="00E9793C"/>
    <w:rsid w:val="00EA3458"/>
    <w:rsid w:val="00EA445C"/>
    <w:rsid w:val="00EA7577"/>
    <w:rsid w:val="00EA7873"/>
    <w:rsid w:val="00EB0FBD"/>
    <w:rsid w:val="00EB1B87"/>
    <w:rsid w:val="00EB4882"/>
    <w:rsid w:val="00EB652A"/>
    <w:rsid w:val="00EB6B63"/>
    <w:rsid w:val="00EB6D50"/>
    <w:rsid w:val="00EB7AC0"/>
    <w:rsid w:val="00EC14DA"/>
    <w:rsid w:val="00EC3465"/>
    <w:rsid w:val="00EC641A"/>
    <w:rsid w:val="00EC7794"/>
    <w:rsid w:val="00ED2A6F"/>
    <w:rsid w:val="00ED4CBB"/>
    <w:rsid w:val="00ED4E3E"/>
    <w:rsid w:val="00ED5C34"/>
    <w:rsid w:val="00EE1F27"/>
    <w:rsid w:val="00EE412B"/>
    <w:rsid w:val="00EE544E"/>
    <w:rsid w:val="00EE58AF"/>
    <w:rsid w:val="00EE674A"/>
    <w:rsid w:val="00EE6A16"/>
    <w:rsid w:val="00EE7417"/>
    <w:rsid w:val="00EE76B0"/>
    <w:rsid w:val="00EF0E96"/>
    <w:rsid w:val="00EF3794"/>
    <w:rsid w:val="00EF6238"/>
    <w:rsid w:val="00EF68D7"/>
    <w:rsid w:val="00EF783A"/>
    <w:rsid w:val="00F00E1E"/>
    <w:rsid w:val="00F01D1F"/>
    <w:rsid w:val="00F05451"/>
    <w:rsid w:val="00F05BCC"/>
    <w:rsid w:val="00F103FD"/>
    <w:rsid w:val="00F1268F"/>
    <w:rsid w:val="00F13CF8"/>
    <w:rsid w:val="00F14358"/>
    <w:rsid w:val="00F14D6C"/>
    <w:rsid w:val="00F174C0"/>
    <w:rsid w:val="00F20D93"/>
    <w:rsid w:val="00F212B5"/>
    <w:rsid w:val="00F22F00"/>
    <w:rsid w:val="00F2398F"/>
    <w:rsid w:val="00F25263"/>
    <w:rsid w:val="00F25275"/>
    <w:rsid w:val="00F25AED"/>
    <w:rsid w:val="00F3151C"/>
    <w:rsid w:val="00F31EAB"/>
    <w:rsid w:val="00F34680"/>
    <w:rsid w:val="00F349AA"/>
    <w:rsid w:val="00F349E8"/>
    <w:rsid w:val="00F362F1"/>
    <w:rsid w:val="00F364B3"/>
    <w:rsid w:val="00F41C56"/>
    <w:rsid w:val="00F41DF1"/>
    <w:rsid w:val="00F42360"/>
    <w:rsid w:val="00F4345D"/>
    <w:rsid w:val="00F4507C"/>
    <w:rsid w:val="00F45C25"/>
    <w:rsid w:val="00F46253"/>
    <w:rsid w:val="00F47289"/>
    <w:rsid w:val="00F47CAC"/>
    <w:rsid w:val="00F50BA1"/>
    <w:rsid w:val="00F50EAC"/>
    <w:rsid w:val="00F5135F"/>
    <w:rsid w:val="00F531AB"/>
    <w:rsid w:val="00F532CE"/>
    <w:rsid w:val="00F53F17"/>
    <w:rsid w:val="00F546F1"/>
    <w:rsid w:val="00F55782"/>
    <w:rsid w:val="00F578D5"/>
    <w:rsid w:val="00F57913"/>
    <w:rsid w:val="00F57EEC"/>
    <w:rsid w:val="00F6163A"/>
    <w:rsid w:val="00F62E29"/>
    <w:rsid w:val="00F63EFE"/>
    <w:rsid w:val="00F7105E"/>
    <w:rsid w:val="00F712C9"/>
    <w:rsid w:val="00F7154B"/>
    <w:rsid w:val="00F73BE3"/>
    <w:rsid w:val="00F741F9"/>
    <w:rsid w:val="00F75426"/>
    <w:rsid w:val="00F757D4"/>
    <w:rsid w:val="00F76590"/>
    <w:rsid w:val="00F76BD6"/>
    <w:rsid w:val="00F83211"/>
    <w:rsid w:val="00F83F63"/>
    <w:rsid w:val="00F857E3"/>
    <w:rsid w:val="00F86886"/>
    <w:rsid w:val="00F9204C"/>
    <w:rsid w:val="00F9271B"/>
    <w:rsid w:val="00F93DFC"/>
    <w:rsid w:val="00F94187"/>
    <w:rsid w:val="00F94BB0"/>
    <w:rsid w:val="00F965AB"/>
    <w:rsid w:val="00F965DF"/>
    <w:rsid w:val="00FA0B8D"/>
    <w:rsid w:val="00FA1198"/>
    <w:rsid w:val="00FA15E5"/>
    <w:rsid w:val="00FA193F"/>
    <w:rsid w:val="00FA4E9E"/>
    <w:rsid w:val="00FA5167"/>
    <w:rsid w:val="00FA69A6"/>
    <w:rsid w:val="00FA6D9C"/>
    <w:rsid w:val="00FB01B8"/>
    <w:rsid w:val="00FB18F1"/>
    <w:rsid w:val="00FB20A5"/>
    <w:rsid w:val="00FB2946"/>
    <w:rsid w:val="00FB3DC8"/>
    <w:rsid w:val="00FB429F"/>
    <w:rsid w:val="00FB4EB6"/>
    <w:rsid w:val="00FC1739"/>
    <w:rsid w:val="00FC1E74"/>
    <w:rsid w:val="00FC283D"/>
    <w:rsid w:val="00FC29BF"/>
    <w:rsid w:val="00FC2DFB"/>
    <w:rsid w:val="00FC39A2"/>
    <w:rsid w:val="00FC682D"/>
    <w:rsid w:val="00FD1B3B"/>
    <w:rsid w:val="00FD1E15"/>
    <w:rsid w:val="00FD36BB"/>
    <w:rsid w:val="00FD519E"/>
    <w:rsid w:val="00FE0EC2"/>
    <w:rsid w:val="00FE25C0"/>
    <w:rsid w:val="00FE25E9"/>
    <w:rsid w:val="00FE263C"/>
    <w:rsid w:val="00FE2AAD"/>
    <w:rsid w:val="00FE3958"/>
    <w:rsid w:val="00FE3AAE"/>
    <w:rsid w:val="00FE461A"/>
    <w:rsid w:val="00FE4CFD"/>
    <w:rsid w:val="00FE523A"/>
    <w:rsid w:val="00FE6448"/>
    <w:rsid w:val="00FE647E"/>
    <w:rsid w:val="00FE72D3"/>
    <w:rsid w:val="00FE78B6"/>
    <w:rsid w:val="00FF0D5A"/>
    <w:rsid w:val="00FF18D5"/>
    <w:rsid w:val="00FF19DD"/>
    <w:rsid w:val="00FF19FE"/>
    <w:rsid w:val="00FF27FF"/>
    <w:rsid w:val="00FF2A5C"/>
    <w:rsid w:val="00FF31B2"/>
    <w:rsid w:val="00FF494D"/>
    <w:rsid w:val="00FF5116"/>
    <w:rsid w:val="00FF617F"/>
    <w:rsid w:val="00FF7578"/>
    <w:rsid w:val="00FF7D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772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E77"/>
    <w:pPr>
      <w:spacing w:after="120" w:line="257" w:lineRule="auto"/>
      <w:jc w:val="both"/>
    </w:pPr>
  </w:style>
  <w:style w:type="paragraph" w:styleId="Heading1">
    <w:name w:val="heading 1"/>
    <w:aliases w:val="PMR Report title"/>
    <w:basedOn w:val="Normal"/>
    <w:next w:val="Normal"/>
    <w:link w:val="Heading1Char"/>
    <w:qFormat/>
    <w:rsid w:val="006F56F1"/>
    <w:pPr>
      <w:keepNext/>
      <w:keepLines/>
      <w:spacing w:before="240" w:after="0"/>
      <w:jc w:val="center"/>
      <w:outlineLvl w:val="0"/>
    </w:pPr>
    <w:rPr>
      <w:rFonts w:eastAsiaTheme="majorEastAsia" w:cstheme="majorBidi"/>
      <w:b/>
      <w:color w:val="2F5496" w:themeColor="accent1" w:themeShade="BF"/>
      <w:sz w:val="32"/>
      <w:szCs w:val="32"/>
    </w:rPr>
  </w:style>
  <w:style w:type="paragraph" w:styleId="Heading2">
    <w:name w:val="heading 2"/>
    <w:aliases w:val="PMR Part heading"/>
    <w:basedOn w:val="Normal"/>
    <w:next w:val="Normal"/>
    <w:link w:val="Heading2Char"/>
    <w:unhideWhenUsed/>
    <w:qFormat/>
    <w:rsid w:val="00ED2A6F"/>
    <w:pPr>
      <w:keepNext/>
      <w:keepLines/>
      <w:spacing w:before="40" w:after="80"/>
      <w:outlineLvl w:val="1"/>
    </w:pPr>
    <w:rPr>
      <w:rFonts w:asciiTheme="minorHAnsi" w:eastAsiaTheme="majorEastAsia" w:hAnsiTheme="minorHAnsi" w:cstheme="majorBidi"/>
      <w:color w:val="2F5496" w:themeColor="accent1" w:themeShade="BF"/>
      <w:sz w:val="26"/>
      <w:szCs w:val="26"/>
    </w:rPr>
  </w:style>
  <w:style w:type="paragraph" w:styleId="Heading3">
    <w:name w:val="heading 3"/>
    <w:aliases w:val="PMR Section heading"/>
    <w:basedOn w:val="Normal"/>
    <w:next w:val="Normal"/>
    <w:link w:val="Heading3Char"/>
    <w:unhideWhenUsed/>
    <w:qFormat/>
    <w:rsid w:val="007F609B"/>
    <w:pPr>
      <w:keepNext/>
      <w:keepLines/>
      <w:numPr>
        <w:ilvl w:val="1"/>
        <w:numId w:val="42"/>
      </w:numPr>
      <w:spacing w:before="40" w:after="80"/>
      <w:outlineLvl w:val="2"/>
    </w:pPr>
    <w:rPr>
      <w:rFonts w:asciiTheme="minorHAnsi" w:eastAsiaTheme="majorEastAsia" w:hAnsiTheme="minorHAnsi" w:cstheme="majorBidi"/>
      <w:color w:val="1F3763" w:themeColor="accent1" w:themeShade="7F"/>
    </w:rPr>
  </w:style>
  <w:style w:type="paragraph" w:styleId="Heading4">
    <w:name w:val="heading 4"/>
    <w:aliases w:val="PMR Subsection heading (numbered)"/>
    <w:basedOn w:val="Normal"/>
    <w:next w:val="Normal"/>
    <w:link w:val="Heading4Char"/>
    <w:unhideWhenUsed/>
    <w:qFormat/>
    <w:rsid w:val="00473761"/>
    <w:pPr>
      <w:keepNext/>
      <w:keepLines/>
      <w:numPr>
        <w:ilvl w:val="2"/>
        <w:numId w:val="42"/>
      </w:numPr>
      <w:spacing w:before="40" w:after="40"/>
      <w:outlineLvl w:val="3"/>
    </w:pPr>
    <w:rPr>
      <w:rFonts w:asciiTheme="majorHAnsi" w:eastAsiaTheme="majorEastAsia" w:hAnsiTheme="majorHAnsi" w:cstheme="majorBidi"/>
      <w:i/>
      <w:iCs/>
      <w:color w:val="2F5496" w:themeColor="accent1" w:themeShade="BF"/>
    </w:rPr>
  </w:style>
  <w:style w:type="paragraph" w:styleId="Heading5">
    <w:name w:val="heading 5"/>
    <w:aliases w:val="Sub Sub heading"/>
    <w:basedOn w:val="Normal"/>
    <w:next w:val="Normal"/>
    <w:link w:val="Heading5Char"/>
    <w:unhideWhenUsed/>
    <w:qFormat/>
    <w:rsid w:val="007F609B"/>
    <w:pPr>
      <w:keepNext/>
      <w:keepLines/>
      <w:spacing w:before="40" w:after="40"/>
      <w:outlineLvl w:val="4"/>
    </w:pPr>
    <w:rPr>
      <w:rFonts w:asciiTheme="majorHAnsi" w:eastAsiaTheme="majorEastAsia" w:hAnsiTheme="majorHAnsi" w:cstheme="majorBidi"/>
      <w:color w:val="2F5496" w:themeColor="accent1" w:themeShade="BF"/>
    </w:rPr>
  </w:style>
  <w:style w:type="paragraph" w:styleId="Heading6">
    <w:name w:val="heading 6"/>
    <w:aliases w:val="Minor heading"/>
    <w:basedOn w:val="Normal"/>
    <w:next w:val="Normal"/>
    <w:link w:val="Heading6Char"/>
    <w:uiPriority w:val="9"/>
    <w:unhideWhenUsed/>
    <w:qFormat/>
    <w:rsid w:val="000D0836"/>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PMR Part heading Char"/>
    <w:basedOn w:val="DefaultParagraphFont"/>
    <w:link w:val="Heading2"/>
    <w:uiPriority w:val="9"/>
    <w:rsid w:val="00ED2A6F"/>
    <w:rPr>
      <w:rFonts w:asciiTheme="minorHAnsi" w:eastAsiaTheme="majorEastAsia" w:hAnsiTheme="minorHAnsi" w:cstheme="majorBidi"/>
      <w:color w:val="2F5496" w:themeColor="accent1" w:themeShade="BF"/>
      <w:sz w:val="26"/>
      <w:szCs w:val="26"/>
    </w:rPr>
  </w:style>
  <w:style w:type="character" w:customStyle="1" w:styleId="Heading3Char">
    <w:name w:val="Heading 3 Char"/>
    <w:aliases w:val="PMR Section heading Char"/>
    <w:basedOn w:val="DefaultParagraphFont"/>
    <w:link w:val="Heading3"/>
    <w:rsid w:val="007F609B"/>
    <w:rPr>
      <w:rFonts w:asciiTheme="minorHAnsi" w:eastAsiaTheme="majorEastAsia" w:hAnsiTheme="minorHAnsi" w:cstheme="majorBidi"/>
      <w:color w:val="1F3763" w:themeColor="accent1" w:themeShade="7F"/>
    </w:rPr>
  </w:style>
  <w:style w:type="character" w:customStyle="1" w:styleId="ListParagraphChar">
    <w:name w:val="List Paragraph Char"/>
    <w:aliases w:val="Bullet point Char,Recommendation Char,List Paragraph1 Char,List Paragraph11 Char,L Char,CV text Char,Table text Char,F5 List Paragraph Char,Dot pt Char,Colorful List - Accent 11 Char,No Spacing1 Char,Indicator Text Char,Bullet 1 Char"/>
    <w:link w:val="ListParagraph"/>
    <w:uiPriority w:val="34"/>
    <w:qFormat/>
    <w:locked/>
    <w:rsid w:val="00A65EBB"/>
  </w:style>
  <w:style w:type="paragraph" w:styleId="ListParagraph">
    <w:name w:val="List Paragraph"/>
    <w:aliases w:val="Bullet point,Recommendation,List Paragraph1,List Paragraph11,L,CV text,Table text,F5 List Paragraph,Dot pt,Colorful List - Accent 11,No Spacing1,List Paragraph Char Char Char,Indicator Text,Numbered Para 1,Bullet 1,Bullet Points,1 heading"/>
    <w:basedOn w:val="Normal"/>
    <w:link w:val="ListParagraphChar"/>
    <w:uiPriority w:val="34"/>
    <w:qFormat/>
    <w:rsid w:val="00A65EBB"/>
    <w:pPr>
      <w:ind w:left="720"/>
      <w:contextualSpacing/>
    </w:pPr>
  </w:style>
  <w:style w:type="character" w:styleId="CommentReference">
    <w:name w:val="annotation reference"/>
    <w:basedOn w:val="DefaultParagraphFont"/>
    <w:uiPriority w:val="99"/>
    <w:semiHidden/>
    <w:unhideWhenUsed/>
    <w:rsid w:val="000C2D70"/>
    <w:rPr>
      <w:sz w:val="16"/>
      <w:szCs w:val="16"/>
    </w:rPr>
  </w:style>
  <w:style w:type="paragraph" w:styleId="CommentText">
    <w:name w:val="annotation text"/>
    <w:basedOn w:val="Normal"/>
    <w:link w:val="CommentTextChar"/>
    <w:uiPriority w:val="99"/>
    <w:unhideWhenUsed/>
    <w:rsid w:val="009331D6"/>
    <w:pPr>
      <w:spacing w:line="240" w:lineRule="auto"/>
    </w:pPr>
    <w:rPr>
      <w:sz w:val="20"/>
      <w:szCs w:val="20"/>
    </w:rPr>
  </w:style>
  <w:style w:type="character" w:customStyle="1" w:styleId="CommentTextChar">
    <w:name w:val="Comment Text Char"/>
    <w:basedOn w:val="DefaultParagraphFont"/>
    <w:link w:val="CommentText"/>
    <w:uiPriority w:val="99"/>
    <w:rsid w:val="009331D6"/>
    <w:rPr>
      <w:sz w:val="20"/>
      <w:szCs w:val="20"/>
    </w:rPr>
  </w:style>
  <w:style w:type="paragraph" w:styleId="CommentSubject">
    <w:name w:val="annotation subject"/>
    <w:basedOn w:val="CommentText"/>
    <w:next w:val="CommentText"/>
    <w:link w:val="CommentSubjectChar"/>
    <w:uiPriority w:val="99"/>
    <w:semiHidden/>
    <w:unhideWhenUsed/>
    <w:rsid w:val="009331D6"/>
    <w:rPr>
      <w:b/>
      <w:bCs/>
    </w:rPr>
  </w:style>
  <w:style w:type="character" w:customStyle="1" w:styleId="CommentSubjectChar">
    <w:name w:val="Comment Subject Char"/>
    <w:basedOn w:val="CommentTextChar"/>
    <w:link w:val="CommentSubject"/>
    <w:uiPriority w:val="99"/>
    <w:semiHidden/>
    <w:rsid w:val="009331D6"/>
    <w:rPr>
      <w:b/>
      <w:bCs/>
      <w:sz w:val="20"/>
      <w:szCs w:val="20"/>
    </w:rPr>
  </w:style>
  <w:style w:type="character" w:styleId="Hyperlink">
    <w:name w:val="Hyperlink"/>
    <w:basedOn w:val="DefaultParagraphFont"/>
    <w:uiPriority w:val="99"/>
    <w:unhideWhenUsed/>
    <w:rsid w:val="00A9296D"/>
    <w:rPr>
      <w:color w:val="0563C1" w:themeColor="hyperlink"/>
      <w:u w:val="single"/>
    </w:rPr>
  </w:style>
  <w:style w:type="character" w:styleId="UnresolvedMention">
    <w:name w:val="Unresolved Mention"/>
    <w:basedOn w:val="DefaultParagraphFont"/>
    <w:uiPriority w:val="99"/>
    <w:unhideWhenUsed/>
    <w:rsid w:val="00A9296D"/>
    <w:rPr>
      <w:color w:val="605E5C"/>
      <w:shd w:val="clear" w:color="auto" w:fill="E1DFDD"/>
    </w:rPr>
  </w:style>
  <w:style w:type="character" w:customStyle="1" w:styleId="Heading4Char">
    <w:name w:val="Heading 4 Char"/>
    <w:aliases w:val="PMR Subsection heading (numbered) Char"/>
    <w:basedOn w:val="DefaultParagraphFont"/>
    <w:link w:val="Heading4"/>
    <w:rsid w:val="00473761"/>
    <w:rPr>
      <w:rFonts w:asciiTheme="majorHAnsi" w:eastAsiaTheme="majorEastAsia" w:hAnsiTheme="majorHAnsi" w:cstheme="majorBidi"/>
      <w:i/>
      <w:iCs/>
      <w:color w:val="2F5496" w:themeColor="accent1" w:themeShade="BF"/>
    </w:rPr>
  </w:style>
  <w:style w:type="character" w:customStyle="1" w:styleId="Heading5Char">
    <w:name w:val="Heading 5 Char"/>
    <w:aliases w:val="Sub Sub heading Char"/>
    <w:basedOn w:val="DefaultParagraphFont"/>
    <w:link w:val="Heading5"/>
    <w:uiPriority w:val="9"/>
    <w:rsid w:val="007F609B"/>
    <w:rPr>
      <w:rFonts w:asciiTheme="majorHAnsi" w:eastAsiaTheme="majorEastAsia" w:hAnsiTheme="majorHAnsi" w:cstheme="majorBidi"/>
      <w:color w:val="2F5496" w:themeColor="accent1" w:themeShade="BF"/>
    </w:rPr>
  </w:style>
  <w:style w:type="character" w:customStyle="1" w:styleId="TablesChar">
    <w:name w:val="Tables Char"/>
    <w:basedOn w:val="DefaultParagraphFont"/>
    <w:link w:val="Tables"/>
    <w:locked/>
    <w:rsid w:val="00226937"/>
    <w:rPr>
      <w:rFonts w:eastAsiaTheme="majorEastAsia" w:cstheme="majorBidi"/>
      <w:b/>
      <w:iCs/>
    </w:rPr>
  </w:style>
  <w:style w:type="paragraph" w:customStyle="1" w:styleId="Tables">
    <w:name w:val="Tables"/>
    <w:basedOn w:val="Normal"/>
    <w:link w:val="TablesChar"/>
    <w:qFormat/>
    <w:rsid w:val="00226937"/>
    <w:pPr>
      <w:keepNext/>
      <w:keepLines/>
      <w:spacing w:before="40" w:after="0" w:line="240" w:lineRule="auto"/>
      <w:outlineLvl w:val="3"/>
    </w:pPr>
    <w:rPr>
      <w:rFonts w:eastAsiaTheme="majorEastAsia" w:cstheme="majorBidi"/>
      <w:b/>
      <w:iCs/>
    </w:rPr>
  </w:style>
  <w:style w:type="character" w:customStyle="1" w:styleId="cf01">
    <w:name w:val="cf01"/>
    <w:basedOn w:val="DefaultParagraphFont"/>
    <w:rsid w:val="00055AA6"/>
    <w:rPr>
      <w:rFonts w:ascii="Segoe UI" w:hAnsi="Segoe UI" w:cs="Segoe UI" w:hint="default"/>
      <w:sz w:val="18"/>
      <w:szCs w:val="18"/>
    </w:rPr>
  </w:style>
  <w:style w:type="table" w:styleId="TableGrid">
    <w:name w:val="Table Grid"/>
    <w:basedOn w:val="TableNormal"/>
    <w:uiPriority w:val="59"/>
    <w:rsid w:val="00055AA6"/>
    <w:pPr>
      <w:spacing w:after="0" w:line="240" w:lineRule="auto"/>
    </w:pPr>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PMR Report title Char"/>
    <w:basedOn w:val="DefaultParagraphFont"/>
    <w:link w:val="Heading1"/>
    <w:uiPriority w:val="9"/>
    <w:rsid w:val="006F56F1"/>
    <w:rPr>
      <w:rFonts w:eastAsiaTheme="majorEastAsia" w:cstheme="majorBidi"/>
      <w:b/>
      <w:color w:val="2F5496" w:themeColor="accent1" w:themeShade="BF"/>
      <w:sz w:val="32"/>
      <w:szCs w:val="32"/>
    </w:rPr>
  </w:style>
  <w:style w:type="paragraph" w:styleId="TOCHeading">
    <w:name w:val="TOC Heading"/>
    <w:basedOn w:val="Heading1"/>
    <w:next w:val="Normal"/>
    <w:uiPriority w:val="39"/>
    <w:unhideWhenUsed/>
    <w:qFormat/>
    <w:rsid w:val="000E0125"/>
    <w:pPr>
      <w:spacing w:line="259" w:lineRule="auto"/>
      <w:outlineLvl w:val="9"/>
    </w:pPr>
    <w:rPr>
      <w:lang w:val="en-US"/>
    </w:rPr>
  </w:style>
  <w:style w:type="paragraph" w:styleId="TOC2">
    <w:name w:val="toc 2"/>
    <w:basedOn w:val="Normal"/>
    <w:next w:val="Normal"/>
    <w:autoRedefine/>
    <w:uiPriority w:val="39"/>
    <w:unhideWhenUsed/>
    <w:rsid w:val="000E0125"/>
    <w:pPr>
      <w:spacing w:after="100"/>
      <w:ind w:left="240"/>
    </w:pPr>
  </w:style>
  <w:style w:type="paragraph" w:styleId="TOC3">
    <w:name w:val="toc 3"/>
    <w:basedOn w:val="Normal"/>
    <w:next w:val="Normal"/>
    <w:autoRedefine/>
    <w:uiPriority w:val="39"/>
    <w:unhideWhenUsed/>
    <w:rsid w:val="000E0125"/>
    <w:pPr>
      <w:spacing w:after="100"/>
      <w:ind w:left="480"/>
    </w:pPr>
  </w:style>
  <w:style w:type="table" w:styleId="PlainTable2">
    <w:name w:val="Plain Table 2"/>
    <w:basedOn w:val="TableNormal"/>
    <w:uiPriority w:val="42"/>
    <w:rsid w:val="000D0836"/>
    <w:pPr>
      <w:spacing w:after="0" w:line="240" w:lineRule="auto"/>
    </w:pPr>
    <w:rPr>
      <w:rFonts w:asciiTheme="minorHAnsi" w:hAnsiTheme="minorHAnsi" w:cstheme="minorBidi"/>
      <w:sz w:val="22"/>
      <w:szCs w:val="22"/>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6Char">
    <w:name w:val="Heading 6 Char"/>
    <w:aliases w:val="Minor heading Char"/>
    <w:basedOn w:val="DefaultParagraphFont"/>
    <w:link w:val="Heading6"/>
    <w:uiPriority w:val="9"/>
    <w:rsid w:val="000D0836"/>
    <w:rPr>
      <w:rFonts w:asciiTheme="majorHAnsi" w:eastAsiaTheme="majorEastAsia" w:hAnsiTheme="majorHAnsi" w:cstheme="majorBidi"/>
      <w:color w:val="1F3763" w:themeColor="accent1" w:themeShade="7F"/>
    </w:rPr>
  </w:style>
  <w:style w:type="paragraph" w:styleId="Revision">
    <w:name w:val="Revision"/>
    <w:hidden/>
    <w:uiPriority w:val="99"/>
    <w:semiHidden/>
    <w:rsid w:val="001A3DFD"/>
    <w:pPr>
      <w:spacing w:after="0" w:line="240" w:lineRule="auto"/>
    </w:pPr>
  </w:style>
  <w:style w:type="paragraph" w:customStyle="1" w:styleId="EndNoteBibliographyTitle">
    <w:name w:val="EndNote Bibliography Title"/>
    <w:basedOn w:val="Normal"/>
    <w:link w:val="EndNoteBibliographyTitleChar"/>
    <w:rsid w:val="002E6C67"/>
    <w:pPr>
      <w:spacing w:after="0"/>
      <w:jc w:val="center"/>
    </w:pPr>
    <w:rPr>
      <w:rFonts w:cs="Calibri"/>
      <w:noProof/>
      <w:lang w:val="en-US"/>
    </w:rPr>
  </w:style>
  <w:style w:type="character" w:customStyle="1" w:styleId="EndNoteBibliographyTitleChar">
    <w:name w:val="EndNote Bibliography Title Char"/>
    <w:basedOn w:val="DefaultParagraphFont"/>
    <w:link w:val="EndNoteBibliographyTitle"/>
    <w:rsid w:val="002E6C67"/>
    <w:rPr>
      <w:rFonts w:cs="Calibri"/>
      <w:noProof/>
      <w:lang w:val="en-US"/>
    </w:rPr>
  </w:style>
  <w:style w:type="paragraph" w:customStyle="1" w:styleId="EndNoteBibliography">
    <w:name w:val="EndNote Bibliography"/>
    <w:basedOn w:val="Normal"/>
    <w:link w:val="EndNoteBibliographyChar"/>
    <w:rsid w:val="002E6C67"/>
    <w:pPr>
      <w:spacing w:line="240" w:lineRule="auto"/>
    </w:pPr>
    <w:rPr>
      <w:rFonts w:cs="Calibri"/>
      <w:noProof/>
      <w:lang w:val="en-US"/>
    </w:rPr>
  </w:style>
  <w:style w:type="character" w:customStyle="1" w:styleId="EndNoteBibliographyChar">
    <w:name w:val="EndNote Bibliography Char"/>
    <w:basedOn w:val="DefaultParagraphFont"/>
    <w:link w:val="EndNoteBibliography"/>
    <w:rsid w:val="002E6C67"/>
    <w:rPr>
      <w:rFonts w:cs="Calibri"/>
      <w:noProof/>
      <w:lang w:val="en-US"/>
    </w:rPr>
  </w:style>
  <w:style w:type="character" w:customStyle="1" w:styleId="eop">
    <w:name w:val="eop"/>
    <w:basedOn w:val="DefaultParagraphFont"/>
    <w:rsid w:val="009527E3"/>
  </w:style>
  <w:style w:type="character" w:customStyle="1" w:styleId="normaltextrun">
    <w:name w:val="normaltextrun"/>
    <w:basedOn w:val="DefaultParagraphFont"/>
    <w:rsid w:val="009527E3"/>
  </w:style>
  <w:style w:type="paragraph" w:styleId="FootnoteText">
    <w:name w:val="footnote text"/>
    <w:basedOn w:val="Normal"/>
    <w:link w:val="FootnoteTextChar"/>
    <w:unhideWhenUsed/>
    <w:rsid w:val="00EB1B87"/>
    <w:pPr>
      <w:spacing w:after="0" w:line="240" w:lineRule="auto"/>
    </w:pPr>
    <w:rPr>
      <w:rFonts w:ascii="Times New Roman" w:hAnsi="Times New Roman" w:cstheme="minorBidi"/>
      <w:sz w:val="20"/>
      <w:szCs w:val="20"/>
    </w:rPr>
  </w:style>
  <w:style w:type="character" w:customStyle="1" w:styleId="FootnoteTextChar">
    <w:name w:val="Footnote Text Char"/>
    <w:basedOn w:val="DefaultParagraphFont"/>
    <w:link w:val="FootnoteText"/>
    <w:uiPriority w:val="99"/>
    <w:rsid w:val="00EB1B87"/>
    <w:rPr>
      <w:rFonts w:ascii="Times New Roman" w:hAnsi="Times New Roman" w:cstheme="minorBidi"/>
      <w:sz w:val="20"/>
      <w:szCs w:val="20"/>
    </w:rPr>
  </w:style>
  <w:style w:type="character" w:styleId="FootnoteReference">
    <w:name w:val="footnote reference"/>
    <w:basedOn w:val="DefaultParagraphFont"/>
    <w:semiHidden/>
    <w:unhideWhenUsed/>
    <w:rsid w:val="00EB1B87"/>
    <w:rPr>
      <w:vertAlign w:val="superscript"/>
    </w:rPr>
  </w:style>
  <w:style w:type="paragraph" w:styleId="IntenseQuote">
    <w:name w:val="Intense Quote"/>
    <w:basedOn w:val="Normal"/>
    <w:next w:val="Normal"/>
    <w:link w:val="IntenseQuoteChar"/>
    <w:uiPriority w:val="30"/>
    <w:qFormat/>
    <w:rsid w:val="00353A61"/>
    <w:pPr>
      <w:spacing w:line="240" w:lineRule="auto"/>
    </w:pPr>
    <w:rPr>
      <w:rFonts w:asciiTheme="minorHAnsi" w:hAnsiTheme="minorHAnsi" w:cs="Arial"/>
      <w:bCs/>
      <w:iCs/>
      <w:szCs w:val="22"/>
    </w:rPr>
  </w:style>
  <w:style w:type="character" w:customStyle="1" w:styleId="IntenseQuoteChar">
    <w:name w:val="Intense Quote Char"/>
    <w:basedOn w:val="DefaultParagraphFont"/>
    <w:link w:val="IntenseQuote"/>
    <w:uiPriority w:val="30"/>
    <w:rsid w:val="00353A61"/>
    <w:rPr>
      <w:rFonts w:asciiTheme="minorHAnsi" w:hAnsiTheme="minorHAnsi" w:cs="Arial"/>
      <w:bCs/>
      <w:iCs/>
      <w:szCs w:val="22"/>
    </w:rPr>
  </w:style>
  <w:style w:type="paragraph" w:customStyle="1" w:styleId="indent-1">
    <w:name w:val="indent-1"/>
    <w:basedOn w:val="Normal"/>
    <w:rsid w:val="007852D5"/>
    <w:pPr>
      <w:spacing w:before="100" w:beforeAutospacing="1" w:after="100" w:afterAutospacing="1" w:line="240" w:lineRule="auto"/>
    </w:pPr>
    <w:rPr>
      <w:rFonts w:ascii="Times New Roman" w:eastAsia="Times New Roman" w:hAnsi="Times New Roman"/>
      <w:lang w:eastAsia="en-AU"/>
    </w:rPr>
  </w:style>
  <w:style w:type="paragraph" w:customStyle="1" w:styleId="BoxText">
    <w:name w:val="BoxText"/>
    <w:basedOn w:val="Normal"/>
    <w:qFormat/>
    <w:rsid w:val="00D213EE"/>
    <w:pPr>
      <w:pBdr>
        <w:top w:val="single" w:sz="4" w:space="4" w:color="000000"/>
        <w:left w:val="single" w:sz="4" w:space="4" w:color="000000"/>
        <w:bottom w:val="single" w:sz="4" w:space="4" w:color="000000"/>
        <w:right w:val="single" w:sz="4" w:space="4" w:color="000000"/>
      </w:pBdr>
      <w:spacing w:line="240" w:lineRule="auto"/>
    </w:pPr>
    <w:rPr>
      <w:rFonts w:eastAsia="Times New Roman"/>
      <w:color w:val="000000"/>
      <w:sz w:val="22"/>
      <w:szCs w:val="20"/>
      <w:lang w:eastAsia="en-AU"/>
    </w:rPr>
  </w:style>
  <w:style w:type="paragraph" w:customStyle="1" w:styleId="BoxName">
    <w:name w:val="BoxName"/>
    <w:basedOn w:val="BoxText"/>
    <w:rsid w:val="00D213EE"/>
    <w:pPr>
      <w:keepNext/>
      <w:spacing w:before="180"/>
      <w:ind w:left="1080" w:hanging="1080"/>
    </w:pPr>
    <w:rPr>
      <w:b/>
      <w:bCs/>
      <w:sz w:val="24"/>
    </w:rPr>
  </w:style>
  <w:style w:type="paragraph" w:customStyle="1" w:styleId="BoxBullet">
    <w:name w:val="BoxBullet"/>
    <w:basedOn w:val="BoxText"/>
    <w:rsid w:val="00D213EE"/>
    <w:pPr>
      <w:numPr>
        <w:numId w:val="11"/>
      </w:numPr>
    </w:pPr>
  </w:style>
  <w:style w:type="paragraph" w:styleId="Header">
    <w:name w:val="header"/>
    <w:basedOn w:val="Normal"/>
    <w:link w:val="HeaderChar"/>
    <w:unhideWhenUsed/>
    <w:rsid w:val="00EE6A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6A16"/>
  </w:style>
  <w:style w:type="paragraph" w:styleId="Footer">
    <w:name w:val="footer"/>
    <w:basedOn w:val="Normal"/>
    <w:link w:val="FooterChar"/>
    <w:uiPriority w:val="99"/>
    <w:unhideWhenUsed/>
    <w:rsid w:val="00EE6A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6A16"/>
  </w:style>
  <w:style w:type="paragraph" w:styleId="TOC1">
    <w:name w:val="toc 1"/>
    <w:basedOn w:val="Normal"/>
    <w:next w:val="Normal"/>
    <w:autoRedefine/>
    <w:uiPriority w:val="39"/>
    <w:unhideWhenUsed/>
    <w:rsid w:val="00995D0A"/>
    <w:pPr>
      <w:tabs>
        <w:tab w:val="right" w:leader="dot" w:pos="9016"/>
      </w:tabs>
      <w:spacing w:after="100" w:line="259" w:lineRule="auto"/>
    </w:pPr>
    <w:rPr>
      <w:rFonts w:asciiTheme="minorHAnsi" w:eastAsiaTheme="minorEastAsia" w:hAnsiTheme="minorHAnsi"/>
      <w:noProof/>
      <w:lang w:val="en-US"/>
    </w:rPr>
  </w:style>
  <w:style w:type="paragraph" w:customStyle="1" w:styleId="FIgures">
    <w:name w:val="FIgures"/>
    <w:basedOn w:val="Heading4"/>
    <w:link w:val="FIguresChar"/>
    <w:qFormat/>
    <w:rsid w:val="00434810"/>
    <w:pPr>
      <w:numPr>
        <w:ilvl w:val="0"/>
        <w:numId w:val="0"/>
      </w:numPr>
      <w:spacing w:after="0" w:line="240" w:lineRule="auto"/>
    </w:pPr>
    <w:rPr>
      <w:rFonts w:asciiTheme="minorHAnsi" w:hAnsiTheme="minorHAnsi"/>
      <w:b/>
      <w:i w:val="0"/>
      <w:szCs w:val="22"/>
    </w:rPr>
  </w:style>
  <w:style w:type="character" w:customStyle="1" w:styleId="FIguresChar">
    <w:name w:val="FIgures Char"/>
    <w:basedOn w:val="Heading4Char"/>
    <w:link w:val="FIgures"/>
    <w:rsid w:val="00434810"/>
    <w:rPr>
      <w:rFonts w:asciiTheme="minorHAnsi" w:eastAsiaTheme="majorEastAsia" w:hAnsiTheme="minorHAnsi" w:cstheme="majorBidi"/>
      <w:b/>
      <w:i w:val="0"/>
      <w:iCs/>
      <w:color w:val="2F5496" w:themeColor="accent1" w:themeShade="BF"/>
      <w:szCs w:val="22"/>
    </w:rPr>
  </w:style>
  <w:style w:type="character" w:styleId="FollowedHyperlink">
    <w:name w:val="FollowedHyperlink"/>
    <w:basedOn w:val="DefaultParagraphFont"/>
    <w:uiPriority w:val="99"/>
    <w:semiHidden/>
    <w:unhideWhenUsed/>
    <w:rsid w:val="00434810"/>
    <w:rPr>
      <w:color w:val="954F72" w:themeColor="followedHyperlink"/>
      <w:u w:val="single"/>
    </w:rPr>
  </w:style>
  <w:style w:type="character" w:styleId="Emphasis">
    <w:name w:val="Emphasis"/>
    <w:basedOn w:val="DefaultParagraphFont"/>
    <w:uiPriority w:val="20"/>
    <w:qFormat/>
    <w:rsid w:val="006F0DAE"/>
    <w:rPr>
      <w:rFonts w:asciiTheme="minorHAnsi" w:hAnsiTheme="minorHAnsi"/>
      <w:i/>
      <w:iCs/>
    </w:rPr>
  </w:style>
  <w:style w:type="paragraph" w:styleId="NoSpacing">
    <w:name w:val="No Spacing"/>
    <w:uiPriority w:val="1"/>
    <w:qFormat/>
    <w:rsid w:val="006F0DAE"/>
    <w:pPr>
      <w:spacing w:after="0" w:line="240" w:lineRule="auto"/>
    </w:pPr>
    <w:rPr>
      <w:rFonts w:asciiTheme="minorHAnsi" w:eastAsia="Times New Roman" w:hAnsiTheme="minorHAnsi"/>
      <w:szCs w:val="20"/>
      <w:lang w:eastAsia="en-AU"/>
    </w:rPr>
  </w:style>
  <w:style w:type="paragraph" w:customStyle="1" w:styleId="paragraph">
    <w:name w:val="paragraph"/>
    <w:basedOn w:val="Normal"/>
    <w:rsid w:val="004275E8"/>
    <w:pPr>
      <w:spacing w:before="100" w:beforeAutospacing="1" w:after="100" w:afterAutospacing="1" w:line="240" w:lineRule="auto"/>
    </w:pPr>
    <w:rPr>
      <w:rFonts w:cs="Calibri"/>
      <w:sz w:val="22"/>
      <w:szCs w:val="22"/>
      <w:lang w:eastAsia="en-AU"/>
    </w:rPr>
  </w:style>
  <w:style w:type="paragraph" w:styleId="TOC4">
    <w:name w:val="toc 4"/>
    <w:basedOn w:val="Normal"/>
    <w:next w:val="Normal"/>
    <w:autoRedefine/>
    <w:unhideWhenUsed/>
    <w:rsid w:val="00E828E0"/>
    <w:pPr>
      <w:spacing w:after="100"/>
      <w:ind w:left="720"/>
    </w:pPr>
  </w:style>
  <w:style w:type="paragraph" w:styleId="TOC5">
    <w:name w:val="toc 5"/>
    <w:basedOn w:val="Normal"/>
    <w:next w:val="Normal"/>
    <w:autoRedefine/>
    <w:uiPriority w:val="39"/>
    <w:unhideWhenUsed/>
    <w:rsid w:val="00E828E0"/>
    <w:pPr>
      <w:spacing w:after="100" w:line="259" w:lineRule="auto"/>
      <w:ind w:left="880"/>
    </w:pPr>
    <w:rPr>
      <w:rFonts w:asciiTheme="minorHAnsi" w:eastAsiaTheme="minorEastAsia" w:hAnsiTheme="minorHAnsi" w:cstheme="minorBidi"/>
      <w:sz w:val="22"/>
      <w:szCs w:val="22"/>
      <w:lang w:eastAsia="en-AU"/>
    </w:rPr>
  </w:style>
  <w:style w:type="paragraph" w:styleId="TOC6">
    <w:name w:val="toc 6"/>
    <w:basedOn w:val="Normal"/>
    <w:next w:val="Normal"/>
    <w:autoRedefine/>
    <w:uiPriority w:val="39"/>
    <w:unhideWhenUsed/>
    <w:rsid w:val="00E828E0"/>
    <w:pPr>
      <w:spacing w:after="100" w:line="259" w:lineRule="auto"/>
      <w:ind w:left="1100"/>
    </w:pPr>
    <w:rPr>
      <w:rFonts w:asciiTheme="minorHAnsi" w:eastAsiaTheme="minorEastAsia" w:hAnsiTheme="minorHAnsi" w:cstheme="minorBidi"/>
      <w:sz w:val="22"/>
      <w:szCs w:val="22"/>
      <w:lang w:eastAsia="en-AU"/>
    </w:rPr>
  </w:style>
  <w:style w:type="paragraph" w:styleId="TOC7">
    <w:name w:val="toc 7"/>
    <w:basedOn w:val="Normal"/>
    <w:next w:val="Normal"/>
    <w:autoRedefine/>
    <w:uiPriority w:val="39"/>
    <w:unhideWhenUsed/>
    <w:rsid w:val="00E828E0"/>
    <w:pPr>
      <w:spacing w:after="100" w:line="259" w:lineRule="auto"/>
      <w:ind w:left="1320"/>
    </w:pPr>
    <w:rPr>
      <w:rFonts w:asciiTheme="minorHAnsi" w:eastAsiaTheme="minorEastAsia" w:hAnsiTheme="minorHAnsi" w:cstheme="minorBidi"/>
      <w:sz w:val="22"/>
      <w:szCs w:val="22"/>
      <w:lang w:eastAsia="en-AU"/>
    </w:rPr>
  </w:style>
  <w:style w:type="paragraph" w:styleId="TOC8">
    <w:name w:val="toc 8"/>
    <w:basedOn w:val="Normal"/>
    <w:next w:val="Normal"/>
    <w:autoRedefine/>
    <w:uiPriority w:val="39"/>
    <w:unhideWhenUsed/>
    <w:rsid w:val="00E828E0"/>
    <w:pPr>
      <w:spacing w:after="100" w:line="259" w:lineRule="auto"/>
      <w:ind w:left="1540"/>
    </w:pPr>
    <w:rPr>
      <w:rFonts w:asciiTheme="minorHAnsi" w:eastAsiaTheme="minorEastAsia" w:hAnsiTheme="minorHAnsi" w:cstheme="minorBidi"/>
      <w:sz w:val="22"/>
      <w:szCs w:val="22"/>
      <w:lang w:eastAsia="en-AU"/>
    </w:rPr>
  </w:style>
  <w:style w:type="paragraph" w:styleId="TOC9">
    <w:name w:val="toc 9"/>
    <w:basedOn w:val="Normal"/>
    <w:next w:val="Normal"/>
    <w:autoRedefine/>
    <w:uiPriority w:val="39"/>
    <w:unhideWhenUsed/>
    <w:rsid w:val="00E828E0"/>
    <w:pPr>
      <w:spacing w:after="100" w:line="259" w:lineRule="auto"/>
      <w:ind w:left="1760"/>
    </w:pPr>
    <w:rPr>
      <w:rFonts w:asciiTheme="minorHAnsi" w:eastAsiaTheme="minorEastAsia" w:hAnsiTheme="minorHAnsi" w:cstheme="minorBidi"/>
      <w:sz w:val="22"/>
      <w:szCs w:val="22"/>
      <w:lang w:eastAsia="en-AU"/>
    </w:rPr>
  </w:style>
  <w:style w:type="paragraph" w:customStyle="1" w:styleId="Default">
    <w:name w:val="Default"/>
    <w:rsid w:val="00A93E9D"/>
    <w:pPr>
      <w:autoSpaceDE w:val="0"/>
      <w:autoSpaceDN w:val="0"/>
      <w:adjustRightInd w:val="0"/>
      <w:spacing w:after="0" w:line="240" w:lineRule="auto"/>
    </w:pPr>
    <w:rPr>
      <w:rFonts w:ascii="Times New Roman" w:hAnsi="Times New Roman"/>
      <w:color w:val="000000"/>
    </w:rPr>
  </w:style>
  <w:style w:type="paragraph" w:styleId="NormalWeb">
    <w:name w:val="Normal (Web)"/>
    <w:basedOn w:val="Normal"/>
    <w:uiPriority w:val="99"/>
    <w:unhideWhenUsed/>
    <w:rsid w:val="004139FC"/>
    <w:pPr>
      <w:spacing w:before="100" w:beforeAutospacing="1" w:after="100" w:afterAutospacing="1" w:line="240" w:lineRule="auto"/>
      <w:jc w:val="left"/>
    </w:pPr>
    <w:rPr>
      <w:rFonts w:ascii="Times New Roman" w:eastAsia="Times New Roman" w:hAnsi="Times New Roman"/>
      <w:lang w:eastAsia="en-AU"/>
    </w:rPr>
  </w:style>
  <w:style w:type="character" w:customStyle="1" w:styleId="null1">
    <w:name w:val="null1"/>
    <w:basedOn w:val="DefaultParagraphFont"/>
    <w:rsid w:val="00DD4BC1"/>
  </w:style>
  <w:style w:type="paragraph" w:customStyle="1" w:styleId="null">
    <w:name w:val="null"/>
    <w:basedOn w:val="Normal"/>
    <w:rsid w:val="00DD4BC1"/>
    <w:pPr>
      <w:spacing w:before="100" w:beforeAutospacing="1" w:after="100" w:afterAutospacing="1" w:line="240" w:lineRule="auto"/>
      <w:jc w:val="left"/>
    </w:pPr>
    <w:rPr>
      <w:rFonts w:ascii="Times New Roman" w:hAnsi="Times New Roman"/>
      <w:lang w:eastAsia="en-AU"/>
    </w:rPr>
  </w:style>
  <w:style w:type="paragraph" w:customStyle="1" w:styleId="u-lead-text">
    <w:name w:val="u-lead-text"/>
    <w:basedOn w:val="Normal"/>
    <w:rsid w:val="00DD4BC1"/>
    <w:pPr>
      <w:spacing w:before="100" w:beforeAutospacing="1" w:after="100" w:afterAutospacing="1" w:line="240" w:lineRule="auto"/>
      <w:jc w:val="left"/>
    </w:pPr>
    <w:rPr>
      <w:rFonts w:ascii="Times New Roman" w:eastAsia="Times New Roman" w:hAnsi="Times New Roman"/>
      <w:lang w:eastAsia="en-AU"/>
    </w:rPr>
  </w:style>
  <w:style w:type="paragraph" w:styleId="TableofFigures">
    <w:name w:val="table of figures"/>
    <w:basedOn w:val="Normal"/>
    <w:next w:val="Normal"/>
    <w:uiPriority w:val="99"/>
    <w:unhideWhenUsed/>
    <w:rsid w:val="00421D86"/>
    <w:pPr>
      <w:spacing w:after="0"/>
    </w:pPr>
  </w:style>
  <w:style w:type="paragraph" w:styleId="Index1">
    <w:name w:val="index 1"/>
    <w:basedOn w:val="Normal"/>
    <w:next w:val="Normal"/>
    <w:autoRedefine/>
    <w:unhideWhenUsed/>
    <w:rsid w:val="00227EAB"/>
    <w:pPr>
      <w:spacing w:after="0" w:line="240" w:lineRule="auto"/>
      <w:ind w:left="240" w:hanging="240"/>
    </w:pPr>
  </w:style>
  <w:style w:type="paragraph" w:customStyle="1" w:styleId="2Sections">
    <w:name w:val="2. Sections"/>
    <w:qFormat/>
    <w:rsid w:val="00CF3600"/>
    <w:pPr>
      <w:numPr>
        <w:numId w:val="25"/>
      </w:numPr>
      <w:spacing w:before="240" w:after="120" w:line="240" w:lineRule="auto"/>
      <w:outlineLvl w:val="0"/>
    </w:pPr>
    <w:rPr>
      <w:rFonts w:asciiTheme="minorHAnsi" w:eastAsia="Times New Roman" w:hAnsiTheme="minorHAnsi" w:cs="Arial"/>
      <w:b/>
      <w:snapToGrid w:val="0"/>
      <w:sz w:val="32"/>
      <w:szCs w:val="32"/>
    </w:rPr>
  </w:style>
  <w:style w:type="paragraph" w:customStyle="1" w:styleId="4Bodytextnumbered">
    <w:name w:val="4. Body text numbered"/>
    <w:basedOn w:val="ListParagraph"/>
    <w:qFormat/>
    <w:rsid w:val="00CF3600"/>
    <w:pPr>
      <w:numPr>
        <w:ilvl w:val="1"/>
        <w:numId w:val="25"/>
      </w:numPr>
      <w:spacing w:line="240" w:lineRule="auto"/>
      <w:contextualSpacing w:val="0"/>
    </w:pPr>
    <w:rPr>
      <w:rFonts w:asciiTheme="minorHAnsi" w:hAnsiTheme="minorHAnsi" w:cstheme="minorBidi"/>
      <w:szCs w:val="22"/>
    </w:rPr>
  </w:style>
  <w:style w:type="numbering" w:customStyle="1" w:styleId="NoList1">
    <w:name w:val="No List1"/>
    <w:next w:val="NoList"/>
    <w:uiPriority w:val="99"/>
    <w:semiHidden/>
    <w:unhideWhenUsed/>
    <w:rsid w:val="001E69D0"/>
  </w:style>
  <w:style w:type="paragraph" w:customStyle="1" w:styleId="Subtitle1">
    <w:name w:val="Subtitle1"/>
    <w:basedOn w:val="Normal"/>
    <w:next w:val="Normal"/>
    <w:uiPriority w:val="11"/>
    <w:rsid w:val="001E69D0"/>
    <w:pPr>
      <w:numPr>
        <w:ilvl w:val="1"/>
      </w:numPr>
      <w:spacing w:after="240" w:line="240" w:lineRule="auto"/>
      <w:jc w:val="center"/>
    </w:pPr>
    <w:rPr>
      <w:rFonts w:eastAsia="MS Gothic"/>
      <w:b/>
      <w:iCs/>
      <w:sz w:val="40"/>
    </w:rPr>
  </w:style>
  <w:style w:type="paragraph" w:customStyle="1" w:styleId="PullQuote">
    <w:name w:val="PullQuote"/>
    <w:basedOn w:val="Normal"/>
    <w:next w:val="Normal"/>
    <w:rsid w:val="001E69D0"/>
    <w:pPr>
      <w:spacing w:after="240" w:line="240" w:lineRule="auto"/>
      <w:jc w:val="left"/>
    </w:pPr>
    <w:rPr>
      <w:rFonts w:eastAsia="Times New Roman"/>
      <w:b/>
      <w:color w:val="76923C"/>
      <w:sz w:val="22"/>
      <w:szCs w:val="20"/>
    </w:rPr>
  </w:style>
  <w:style w:type="paragraph" w:customStyle="1" w:styleId="ReportDate">
    <w:name w:val="ReportDate"/>
    <w:basedOn w:val="Normal"/>
    <w:rsid w:val="001E69D0"/>
    <w:pPr>
      <w:spacing w:after="240" w:line="240" w:lineRule="auto"/>
      <w:jc w:val="center"/>
    </w:pPr>
    <w:rPr>
      <w:rFonts w:eastAsia="Times New Roman"/>
      <w:color w:val="000000"/>
      <w:sz w:val="40"/>
      <w:szCs w:val="20"/>
    </w:rPr>
  </w:style>
  <w:style w:type="paragraph" w:customStyle="1" w:styleId="Heading1a">
    <w:name w:val="Heading 1a"/>
    <w:basedOn w:val="Heading1"/>
    <w:next w:val="Normal"/>
    <w:rsid w:val="001E69D0"/>
    <w:pPr>
      <w:keepLines w:val="0"/>
      <w:pageBreakBefore/>
      <w:spacing w:before="0" w:after="480" w:line="240" w:lineRule="auto"/>
      <w:ind w:left="720" w:hanging="720"/>
      <w:jc w:val="left"/>
      <w:outlineLvl w:val="9"/>
    </w:pPr>
    <w:rPr>
      <w:rFonts w:ascii="Open Sans" w:eastAsia="Times New Roman" w:hAnsi="Open Sans" w:cs="Open Sans"/>
      <w:bCs/>
      <w:color w:val="008CA6"/>
      <w:kern w:val="32"/>
      <w:sz w:val="40"/>
      <w:szCs w:val="40"/>
    </w:rPr>
  </w:style>
  <w:style w:type="paragraph" w:customStyle="1" w:styleId="Heading2a">
    <w:name w:val="Heading 2a"/>
    <w:basedOn w:val="Heading2"/>
    <w:next w:val="Normal"/>
    <w:rsid w:val="001E69D0"/>
    <w:pPr>
      <w:keepLines w:val="0"/>
      <w:spacing w:before="240" w:after="240" w:line="240" w:lineRule="auto"/>
      <w:jc w:val="left"/>
      <w:outlineLvl w:val="9"/>
    </w:pPr>
    <w:rPr>
      <w:rFonts w:ascii="Open Sans" w:eastAsia="Times New Roman" w:hAnsi="Open Sans" w:cs="Open Sans"/>
      <w:iCs/>
      <w:color w:val="008CA6"/>
      <w:sz w:val="28"/>
      <w:szCs w:val="28"/>
    </w:rPr>
  </w:style>
  <w:style w:type="paragraph" w:customStyle="1" w:styleId="Heading3a">
    <w:name w:val="Heading 3a"/>
    <w:basedOn w:val="Heading3"/>
    <w:next w:val="Normal"/>
    <w:rsid w:val="001E69D0"/>
    <w:pPr>
      <w:keepLines w:val="0"/>
      <w:numPr>
        <w:ilvl w:val="0"/>
        <w:numId w:val="0"/>
      </w:numPr>
      <w:spacing w:before="240" w:after="240" w:line="240" w:lineRule="auto"/>
      <w:jc w:val="left"/>
      <w:outlineLvl w:val="9"/>
    </w:pPr>
    <w:rPr>
      <w:rFonts w:ascii="Open Sans" w:eastAsia="Times New Roman" w:hAnsi="Open Sans" w:cs="Open Sans"/>
      <w:color w:val="008CA6"/>
    </w:rPr>
  </w:style>
  <w:style w:type="character" w:styleId="PageNumber">
    <w:name w:val="page number"/>
    <w:basedOn w:val="DefaultParagraphFont"/>
    <w:semiHidden/>
    <w:rsid w:val="001E69D0"/>
    <w:rPr>
      <w:rFonts w:ascii="Times New Roman" w:hAnsi="Times New Roman"/>
      <w:b/>
      <w:sz w:val="20"/>
    </w:rPr>
  </w:style>
  <w:style w:type="paragraph" w:customStyle="1" w:styleId="TableText">
    <w:name w:val="TableText"/>
    <w:basedOn w:val="Normal"/>
    <w:rsid w:val="001E69D0"/>
    <w:pPr>
      <w:keepNext/>
      <w:spacing w:before="60" w:after="60" w:line="240" w:lineRule="auto"/>
      <w:jc w:val="left"/>
    </w:pPr>
    <w:rPr>
      <w:rFonts w:eastAsia="Times New Roman"/>
      <w:color w:val="000000"/>
      <w:sz w:val="21"/>
      <w:szCs w:val="21"/>
    </w:rPr>
  </w:style>
  <w:style w:type="paragraph" w:customStyle="1" w:styleId="TFListNotesSpace">
    <w:name w:val="TFListNotes+Space"/>
    <w:basedOn w:val="TableText"/>
    <w:next w:val="Normal"/>
    <w:rsid w:val="001E69D0"/>
    <w:pPr>
      <w:keepNext w:val="0"/>
      <w:keepLines/>
      <w:spacing w:before="0" w:after="360"/>
      <w:ind w:left="170" w:hanging="170"/>
    </w:pPr>
    <w:rPr>
      <w:sz w:val="18"/>
      <w:szCs w:val="18"/>
    </w:rPr>
  </w:style>
  <w:style w:type="paragraph" w:customStyle="1" w:styleId="TFListNotes">
    <w:name w:val="TFListNotes"/>
    <w:basedOn w:val="TFListNotesSpace"/>
    <w:rsid w:val="001E69D0"/>
    <w:pPr>
      <w:keepNext/>
      <w:spacing w:after="0"/>
    </w:pPr>
  </w:style>
  <w:style w:type="paragraph" w:customStyle="1" w:styleId="TableTitle">
    <w:name w:val="TableTitle"/>
    <w:basedOn w:val="TableText"/>
    <w:rsid w:val="001E69D0"/>
    <w:pPr>
      <w:tabs>
        <w:tab w:val="left" w:pos="1080"/>
      </w:tabs>
      <w:spacing w:before="120" w:after="120"/>
      <w:ind w:left="1080" w:hanging="1080"/>
    </w:pPr>
    <w:rPr>
      <w:b/>
      <w:bCs/>
      <w:sz w:val="22"/>
    </w:rPr>
  </w:style>
  <w:style w:type="paragraph" w:customStyle="1" w:styleId="TableHeading">
    <w:name w:val="TableHeading"/>
    <w:basedOn w:val="TableText"/>
    <w:rsid w:val="001E69D0"/>
    <w:rPr>
      <w:b/>
      <w:bCs/>
    </w:rPr>
  </w:style>
  <w:style w:type="paragraph" w:customStyle="1" w:styleId="TableBullet">
    <w:name w:val="TableBullet"/>
    <w:basedOn w:val="TableText"/>
    <w:rsid w:val="001E69D0"/>
    <w:pPr>
      <w:numPr>
        <w:numId w:val="26"/>
      </w:numPr>
      <w:tabs>
        <w:tab w:val="clear" w:pos="360"/>
        <w:tab w:val="left" w:pos="216"/>
      </w:tabs>
      <w:ind w:left="216" w:hanging="216"/>
    </w:pPr>
  </w:style>
  <w:style w:type="paragraph" w:customStyle="1" w:styleId="TableDash">
    <w:name w:val="TableDash"/>
    <w:basedOn w:val="TableText"/>
    <w:rsid w:val="001E69D0"/>
    <w:pPr>
      <w:numPr>
        <w:numId w:val="27"/>
      </w:numPr>
      <w:tabs>
        <w:tab w:val="clear" w:pos="216"/>
        <w:tab w:val="num" w:pos="432"/>
      </w:tabs>
    </w:pPr>
  </w:style>
  <w:style w:type="paragraph" w:styleId="Quote">
    <w:name w:val="Quote"/>
    <w:basedOn w:val="Normal"/>
    <w:link w:val="QuoteChar"/>
    <w:rsid w:val="001E69D0"/>
    <w:pPr>
      <w:spacing w:after="240" w:line="240" w:lineRule="auto"/>
      <w:ind w:left="720" w:right="720"/>
      <w:jc w:val="left"/>
    </w:pPr>
    <w:rPr>
      <w:rFonts w:eastAsia="Times New Roman"/>
      <w:color w:val="000000"/>
      <w:sz w:val="20"/>
      <w:szCs w:val="20"/>
    </w:rPr>
  </w:style>
  <w:style w:type="character" w:customStyle="1" w:styleId="QuoteChar">
    <w:name w:val="Quote Char"/>
    <w:basedOn w:val="DefaultParagraphFont"/>
    <w:link w:val="Quote"/>
    <w:rsid w:val="001E69D0"/>
    <w:rPr>
      <w:rFonts w:eastAsia="Times New Roman"/>
      <w:color w:val="000000"/>
      <w:sz w:val="20"/>
      <w:szCs w:val="20"/>
    </w:rPr>
  </w:style>
  <w:style w:type="paragraph" w:customStyle="1" w:styleId="References">
    <w:name w:val="References"/>
    <w:basedOn w:val="Normal"/>
    <w:rsid w:val="001E69D0"/>
    <w:pPr>
      <w:keepLines/>
      <w:spacing w:after="240" w:line="240" w:lineRule="auto"/>
      <w:ind w:left="720" w:hanging="720"/>
      <w:jc w:val="left"/>
    </w:pPr>
    <w:rPr>
      <w:rFonts w:eastAsia="Times New Roman"/>
      <w:color w:val="000000"/>
      <w:sz w:val="22"/>
      <w:szCs w:val="20"/>
    </w:rPr>
  </w:style>
  <w:style w:type="paragraph" w:customStyle="1" w:styleId="FigTabPara">
    <w:name w:val="FigTabPara"/>
    <w:basedOn w:val="Normal"/>
    <w:next w:val="TFIHolder"/>
    <w:rsid w:val="001E69D0"/>
    <w:pPr>
      <w:keepNext/>
      <w:spacing w:line="240" w:lineRule="auto"/>
      <w:ind w:left="1077"/>
      <w:jc w:val="left"/>
    </w:pPr>
    <w:rPr>
      <w:rFonts w:eastAsia="Times New Roman"/>
      <w:color w:val="000000"/>
      <w:sz w:val="22"/>
      <w:szCs w:val="20"/>
    </w:rPr>
  </w:style>
  <w:style w:type="paragraph" w:customStyle="1" w:styleId="TFIHolder">
    <w:name w:val="TFIHolder"/>
    <w:basedOn w:val="TFAbbrevs"/>
    <w:qFormat/>
    <w:rsid w:val="001E69D0"/>
    <w:rPr>
      <w:sz w:val="12"/>
    </w:rPr>
  </w:style>
  <w:style w:type="paragraph" w:customStyle="1" w:styleId="TFAbbrevs">
    <w:name w:val="TFAbbrevs"/>
    <w:basedOn w:val="TFListNotes"/>
    <w:rsid w:val="001E69D0"/>
  </w:style>
  <w:style w:type="paragraph" w:customStyle="1" w:styleId="FigureNameSpace">
    <w:name w:val="FigureName+Space"/>
    <w:basedOn w:val="Normal"/>
    <w:next w:val="Normal"/>
    <w:rsid w:val="001E69D0"/>
    <w:pPr>
      <w:keepLines/>
      <w:tabs>
        <w:tab w:val="left" w:pos="1080"/>
      </w:tabs>
      <w:spacing w:before="120" w:after="360" w:line="240" w:lineRule="auto"/>
      <w:ind w:left="1080" w:hanging="1080"/>
      <w:jc w:val="left"/>
    </w:pPr>
    <w:rPr>
      <w:rFonts w:eastAsia="Times New Roman"/>
      <w:b/>
      <w:bCs/>
      <w:color w:val="000000"/>
      <w:sz w:val="22"/>
      <w:szCs w:val="20"/>
    </w:rPr>
  </w:style>
  <w:style w:type="paragraph" w:customStyle="1" w:styleId="BulletBeforeDash">
    <w:name w:val="BulletBeforeDash"/>
    <w:basedOn w:val="Normal"/>
    <w:rsid w:val="001E69D0"/>
    <w:pPr>
      <w:spacing w:after="0" w:line="240" w:lineRule="auto"/>
      <w:jc w:val="left"/>
    </w:pPr>
    <w:rPr>
      <w:rFonts w:eastAsia="Times New Roman"/>
      <w:color w:val="000000"/>
      <w:sz w:val="22"/>
      <w:szCs w:val="20"/>
    </w:rPr>
  </w:style>
  <w:style w:type="paragraph" w:customStyle="1" w:styleId="Bullet">
    <w:name w:val="Bullet"/>
    <w:basedOn w:val="BulletBeforeDash"/>
    <w:qFormat/>
    <w:rsid w:val="001E69D0"/>
    <w:pPr>
      <w:spacing w:after="120"/>
    </w:pPr>
  </w:style>
  <w:style w:type="paragraph" w:customStyle="1" w:styleId="BulletLast">
    <w:name w:val="BulletLast"/>
    <w:basedOn w:val="Bullet"/>
    <w:qFormat/>
    <w:rsid w:val="001E69D0"/>
    <w:pPr>
      <w:spacing w:after="240"/>
    </w:pPr>
  </w:style>
  <w:style w:type="paragraph" w:customStyle="1" w:styleId="Dash">
    <w:name w:val="Dash"/>
    <w:basedOn w:val="Normal"/>
    <w:rsid w:val="001E69D0"/>
    <w:pPr>
      <w:tabs>
        <w:tab w:val="left" w:pos="720"/>
      </w:tabs>
      <w:spacing w:after="0" w:line="240" w:lineRule="auto"/>
      <w:jc w:val="left"/>
    </w:pPr>
    <w:rPr>
      <w:rFonts w:eastAsia="Times New Roman"/>
      <w:color w:val="000000"/>
      <w:sz w:val="22"/>
      <w:szCs w:val="20"/>
    </w:rPr>
  </w:style>
  <w:style w:type="paragraph" w:customStyle="1" w:styleId="DashLast">
    <w:name w:val="DashLast"/>
    <w:basedOn w:val="Dash"/>
    <w:rsid w:val="001E69D0"/>
    <w:pPr>
      <w:spacing w:after="120"/>
    </w:pPr>
  </w:style>
  <w:style w:type="paragraph" w:customStyle="1" w:styleId="DashLastSpace">
    <w:name w:val="DashLast+Space"/>
    <w:basedOn w:val="DashLast"/>
    <w:rsid w:val="001E69D0"/>
    <w:pPr>
      <w:spacing w:after="240"/>
    </w:pPr>
  </w:style>
  <w:style w:type="paragraph" w:customStyle="1" w:styleId="NormalBeforeBullet">
    <w:name w:val="NormalBeforeBullet"/>
    <w:basedOn w:val="Normal"/>
    <w:qFormat/>
    <w:rsid w:val="001E69D0"/>
    <w:pPr>
      <w:keepNext/>
      <w:spacing w:line="240" w:lineRule="auto"/>
      <w:jc w:val="left"/>
    </w:pPr>
    <w:rPr>
      <w:rFonts w:eastAsia="Times New Roman"/>
      <w:color w:val="000000"/>
      <w:sz w:val="22"/>
      <w:szCs w:val="20"/>
    </w:rPr>
  </w:style>
  <w:style w:type="paragraph" w:customStyle="1" w:styleId="BoxNotes">
    <w:name w:val="BoxNotes"/>
    <w:basedOn w:val="BoxText"/>
    <w:rsid w:val="001E69D0"/>
    <w:pPr>
      <w:spacing w:before="120" w:after="60"/>
      <w:jc w:val="left"/>
    </w:pPr>
    <w:rPr>
      <w:sz w:val="18"/>
      <w:lang w:eastAsia="en-US"/>
    </w:rPr>
  </w:style>
  <w:style w:type="paragraph" w:customStyle="1" w:styleId="BoxTitle">
    <w:name w:val="BoxTitle"/>
    <w:basedOn w:val="BoxText"/>
    <w:rsid w:val="001E69D0"/>
    <w:pPr>
      <w:keepNext/>
      <w:spacing w:before="180"/>
      <w:ind w:left="1080" w:hanging="1080"/>
      <w:jc w:val="left"/>
    </w:pPr>
    <w:rPr>
      <w:b/>
      <w:bCs/>
      <w:sz w:val="24"/>
      <w:lang w:eastAsia="en-US"/>
    </w:rPr>
  </w:style>
  <w:style w:type="paragraph" w:customStyle="1" w:styleId="BoxHeading">
    <w:name w:val="BoxHeading"/>
    <w:basedOn w:val="BoxText"/>
    <w:rsid w:val="001E69D0"/>
    <w:pPr>
      <w:keepNext/>
      <w:spacing w:before="120" w:after="60"/>
      <w:jc w:val="left"/>
    </w:pPr>
    <w:rPr>
      <w:b/>
      <w:bCs/>
      <w:lang w:eastAsia="en-US"/>
    </w:rPr>
  </w:style>
  <w:style w:type="paragraph" w:customStyle="1" w:styleId="BoxDashManual">
    <w:name w:val="BoxDashManual"/>
    <w:basedOn w:val="BoxText"/>
    <w:rsid w:val="001E69D0"/>
    <w:pPr>
      <w:tabs>
        <w:tab w:val="left" w:pos="360"/>
        <w:tab w:val="left" w:pos="720"/>
      </w:tabs>
      <w:ind w:left="720" w:hanging="720"/>
      <w:jc w:val="left"/>
    </w:pPr>
    <w:rPr>
      <w:lang w:eastAsia="en-US"/>
    </w:rPr>
  </w:style>
  <w:style w:type="paragraph" w:customStyle="1" w:styleId="FigureTitle">
    <w:name w:val="FigureTitle"/>
    <w:basedOn w:val="FigureNameSpace"/>
    <w:next w:val="Normal"/>
    <w:rsid w:val="001E69D0"/>
    <w:pPr>
      <w:keepNext/>
      <w:spacing w:after="120"/>
      <w:ind w:left="1077" w:hanging="1077"/>
    </w:pPr>
  </w:style>
  <w:style w:type="paragraph" w:styleId="Index2">
    <w:name w:val="index 2"/>
    <w:basedOn w:val="Index1"/>
    <w:next w:val="Normal"/>
    <w:rsid w:val="001E69D0"/>
    <w:pPr>
      <w:ind w:left="816" w:hanging="476"/>
      <w:jc w:val="left"/>
    </w:pPr>
    <w:rPr>
      <w:rFonts w:eastAsia="Times New Roman"/>
      <w:noProof/>
      <w:color w:val="000000"/>
      <w:sz w:val="22"/>
      <w:szCs w:val="20"/>
    </w:rPr>
  </w:style>
  <w:style w:type="paragraph" w:customStyle="1" w:styleId="NumberList">
    <w:name w:val="NumberList"/>
    <w:basedOn w:val="Normal"/>
    <w:rsid w:val="001E69D0"/>
    <w:pPr>
      <w:tabs>
        <w:tab w:val="left" w:pos="360"/>
      </w:tabs>
      <w:spacing w:after="240" w:line="240" w:lineRule="auto"/>
      <w:ind w:left="357" w:hanging="357"/>
      <w:jc w:val="left"/>
    </w:pPr>
    <w:rPr>
      <w:rFonts w:eastAsia="Times New Roman"/>
      <w:color w:val="000000"/>
      <w:sz w:val="22"/>
      <w:szCs w:val="20"/>
    </w:rPr>
  </w:style>
  <w:style w:type="paragraph" w:customStyle="1" w:styleId="TFNoteSourceSpace">
    <w:name w:val="TFNoteSource+Space"/>
    <w:basedOn w:val="TFListNotesSpace"/>
    <w:next w:val="Normal"/>
    <w:rsid w:val="001E69D0"/>
  </w:style>
  <w:style w:type="paragraph" w:customStyle="1" w:styleId="TFNoteSource">
    <w:name w:val="TFNoteSource"/>
    <w:basedOn w:val="TFNoteSourceSpace"/>
    <w:rsid w:val="001E69D0"/>
    <w:pPr>
      <w:spacing w:after="0"/>
    </w:pPr>
  </w:style>
  <w:style w:type="character" w:customStyle="1" w:styleId="DesignerNotesChar">
    <w:name w:val="DesignerNotesChar"/>
    <w:basedOn w:val="DefaultParagraphFont"/>
    <w:rsid w:val="001E69D0"/>
    <w:rPr>
      <w:rFonts w:ascii="Arial" w:hAnsi="Arial"/>
      <w:b/>
      <w:color w:val="3366FF"/>
      <w:sz w:val="20"/>
    </w:rPr>
  </w:style>
  <w:style w:type="paragraph" w:customStyle="1" w:styleId="TFAbbrevsSpace">
    <w:name w:val="TFAbbrevs+Space"/>
    <w:basedOn w:val="TFAbbrevs"/>
    <w:next w:val="Normal"/>
    <w:rsid w:val="001E69D0"/>
    <w:pPr>
      <w:spacing w:after="360"/>
    </w:pPr>
  </w:style>
  <w:style w:type="character" w:styleId="Strong">
    <w:name w:val="Strong"/>
    <w:basedOn w:val="DefaultParagraphFont"/>
    <w:uiPriority w:val="22"/>
    <w:qFormat/>
    <w:rsid w:val="001E69D0"/>
    <w:rPr>
      <w:b/>
      <w:bCs/>
    </w:rPr>
  </w:style>
  <w:style w:type="character" w:customStyle="1" w:styleId="Roman">
    <w:name w:val="Roman"/>
    <w:uiPriority w:val="1"/>
    <w:rsid w:val="001E69D0"/>
    <w:rPr>
      <w:b w:val="0"/>
      <w:i/>
    </w:rPr>
  </w:style>
  <w:style w:type="character" w:customStyle="1" w:styleId="PullQuoteOrigin">
    <w:name w:val="PullQuoteOrigin"/>
    <w:basedOn w:val="DefaultParagraphFont"/>
    <w:uiPriority w:val="1"/>
    <w:rsid w:val="001E69D0"/>
    <w:rPr>
      <w:b/>
      <w:noProof/>
      <w:color w:val="76923C"/>
    </w:rPr>
  </w:style>
  <w:style w:type="table" w:customStyle="1" w:styleId="TableGrid1">
    <w:name w:val="Table Grid1"/>
    <w:basedOn w:val="TableNormal"/>
    <w:next w:val="TableGrid"/>
    <w:uiPriority w:val="59"/>
    <w:rsid w:val="001E69D0"/>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FIHolderSpace">
    <w:name w:val="TFIHolder+Space"/>
    <w:basedOn w:val="TFIHolder"/>
    <w:qFormat/>
    <w:rsid w:val="001E69D0"/>
    <w:pPr>
      <w:spacing w:after="240"/>
    </w:pPr>
  </w:style>
  <w:style w:type="paragraph" w:customStyle="1" w:styleId="DesignerNotes">
    <w:name w:val="DesignerNotes"/>
    <w:basedOn w:val="Normal"/>
    <w:rsid w:val="001E69D0"/>
    <w:pPr>
      <w:spacing w:after="240" w:line="240" w:lineRule="auto"/>
      <w:jc w:val="left"/>
    </w:pPr>
    <w:rPr>
      <w:rFonts w:ascii="Arial" w:eastAsia="Times New Roman" w:hAnsi="Arial"/>
      <w:b/>
      <w:color w:val="3366FF"/>
      <w:sz w:val="20"/>
      <w:szCs w:val="20"/>
    </w:rPr>
  </w:style>
  <w:style w:type="character" w:customStyle="1" w:styleId="Subscript">
    <w:name w:val="Subscript"/>
    <w:basedOn w:val="DefaultParagraphFont"/>
    <w:uiPriority w:val="1"/>
    <w:rsid w:val="001E69D0"/>
    <w:rPr>
      <w:noProof/>
      <w:vertAlign w:val="subscript"/>
    </w:rPr>
  </w:style>
  <w:style w:type="character" w:customStyle="1" w:styleId="Superscript">
    <w:name w:val="Superscript"/>
    <w:basedOn w:val="DefaultParagraphFont"/>
    <w:uiPriority w:val="1"/>
    <w:rsid w:val="001E69D0"/>
    <w:rPr>
      <w:noProof/>
      <w:vertAlign w:val="superscript"/>
    </w:rPr>
  </w:style>
  <w:style w:type="character" w:customStyle="1" w:styleId="Symbol">
    <w:name w:val="Symbol"/>
    <w:basedOn w:val="DefaultParagraphFont"/>
    <w:uiPriority w:val="1"/>
    <w:rsid w:val="001E69D0"/>
    <w:rPr>
      <w:noProof/>
    </w:rPr>
  </w:style>
  <w:style w:type="character" w:customStyle="1" w:styleId="NoBreak">
    <w:name w:val="NoBreak"/>
    <w:basedOn w:val="DefaultParagraphFont"/>
    <w:uiPriority w:val="1"/>
    <w:rsid w:val="001E69D0"/>
    <w:rPr>
      <w:noProof/>
    </w:rPr>
  </w:style>
  <w:style w:type="paragraph" w:customStyle="1" w:styleId="MathEquation">
    <w:name w:val="MathEquation"/>
    <w:basedOn w:val="Normal"/>
    <w:rsid w:val="001E69D0"/>
    <w:pPr>
      <w:spacing w:after="240" w:line="240" w:lineRule="auto"/>
      <w:jc w:val="left"/>
    </w:pPr>
    <w:rPr>
      <w:rFonts w:ascii="Cambria Math" w:eastAsia="Times New Roman" w:hAnsi="Cambria Math"/>
      <w:i/>
      <w:noProof/>
      <w:color w:val="000000"/>
      <w:sz w:val="22"/>
      <w:szCs w:val="20"/>
    </w:rPr>
  </w:style>
  <w:style w:type="paragraph" w:customStyle="1" w:styleId="ComputerCode">
    <w:name w:val="ComputerCode"/>
    <w:basedOn w:val="Normal"/>
    <w:rsid w:val="001E69D0"/>
    <w:pPr>
      <w:spacing w:after="240" w:line="240" w:lineRule="auto"/>
      <w:ind w:left="567"/>
      <w:contextualSpacing/>
      <w:jc w:val="left"/>
    </w:pPr>
    <w:rPr>
      <w:rFonts w:ascii="Courier New" w:eastAsia="Times New Roman" w:hAnsi="Courier New"/>
      <w:sz w:val="20"/>
    </w:rPr>
  </w:style>
  <w:style w:type="paragraph" w:customStyle="1" w:styleId="BulletChecklist">
    <w:name w:val="BulletChecklist"/>
    <w:basedOn w:val="Bullet"/>
    <w:rsid w:val="001E69D0"/>
    <w:pPr>
      <w:numPr>
        <w:numId w:val="30"/>
      </w:numPr>
    </w:pPr>
    <w:rPr>
      <w:noProof/>
    </w:rPr>
  </w:style>
  <w:style w:type="paragraph" w:customStyle="1" w:styleId="ImprintText">
    <w:name w:val="ImprintText"/>
    <w:basedOn w:val="Normal"/>
    <w:rsid w:val="001E69D0"/>
    <w:pPr>
      <w:spacing w:line="240" w:lineRule="auto"/>
      <w:jc w:val="left"/>
    </w:pPr>
    <w:rPr>
      <w:rFonts w:eastAsia="Times New Roman"/>
      <w:color w:val="000000"/>
      <w:sz w:val="20"/>
      <w:szCs w:val="20"/>
    </w:rPr>
  </w:style>
  <w:style w:type="paragraph" w:customStyle="1" w:styleId="AltText">
    <w:name w:val="AltText"/>
    <w:basedOn w:val="Normal"/>
    <w:rsid w:val="001E69D0"/>
    <w:pPr>
      <w:spacing w:after="240" w:line="240" w:lineRule="auto"/>
      <w:jc w:val="left"/>
    </w:pPr>
    <w:rPr>
      <w:rFonts w:ascii="Arial" w:eastAsia="Times New Roman" w:hAnsi="Arial"/>
      <w:color w:val="E36C0A"/>
      <w:sz w:val="20"/>
      <w:szCs w:val="20"/>
    </w:rPr>
  </w:style>
  <w:style w:type="paragraph" w:styleId="Caption">
    <w:name w:val="caption"/>
    <w:basedOn w:val="Normal"/>
    <w:next w:val="Credit"/>
    <w:uiPriority w:val="35"/>
    <w:unhideWhenUsed/>
    <w:rsid w:val="001E69D0"/>
    <w:pPr>
      <w:spacing w:after="0" w:line="240" w:lineRule="auto"/>
      <w:jc w:val="left"/>
    </w:pPr>
    <w:rPr>
      <w:rFonts w:eastAsia="Times New Roman"/>
      <w:b/>
      <w:bCs/>
      <w:sz w:val="18"/>
      <w:szCs w:val="18"/>
    </w:rPr>
  </w:style>
  <w:style w:type="paragraph" w:customStyle="1" w:styleId="Credit">
    <w:name w:val="Credit"/>
    <w:basedOn w:val="Caption"/>
    <w:next w:val="Normal"/>
    <w:rsid w:val="001E69D0"/>
    <w:pPr>
      <w:spacing w:after="240"/>
    </w:pPr>
    <w:rPr>
      <w:b w:val="0"/>
      <w:noProof/>
    </w:rPr>
  </w:style>
  <w:style w:type="paragraph" w:customStyle="1" w:styleId="NormalFirstPara">
    <w:name w:val="NormalFirstPara"/>
    <w:basedOn w:val="Normal"/>
    <w:rsid w:val="001E69D0"/>
    <w:pPr>
      <w:spacing w:after="240" w:line="240" w:lineRule="auto"/>
      <w:jc w:val="left"/>
    </w:pPr>
    <w:rPr>
      <w:rFonts w:eastAsia="Times New Roman"/>
      <w:noProof/>
      <w:color w:val="9BBB59"/>
      <w:sz w:val="22"/>
      <w:szCs w:val="20"/>
    </w:rPr>
  </w:style>
  <w:style w:type="paragraph" w:customStyle="1" w:styleId="TableHeadingCA">
    <w:name w:val="TableHeadingCA"/>
    <w:basedOn w:val="TableHeading"/>
    <w:rsid w:val="001E69D0"/>
    <w:pPr>
      <w:jc w:val="center"/>
    </w:pPr>
  </w:style>
  <w:style w:type="paragraph" w:customStyle="1" w:styleId="TableTextCA">
    <w:name w:val="TableTextCA"/>
    <w:basedOn w:val="TableText"/>
    <w:rsid w:val="001E69D0"/>
    <w:pPr>
      <w:jc w:val="center"/>
    </w:pPr>
  </w:style>
  <w:style w:type="paragraph" w:customStyle="1" w:styleId="TableTextDecimalAlign">
    <w:name w:val="TableTextDecimalAlign"/>
    <w:basedOn w:val="TableText"/>
    <w:rsid w:val="001E69D0"/>
    <w:pPr>
      <w:tabs>
        <w:tab w:val="decimal" w:pos="1119"/>
      </w:tabs>
    </w:pPr>
  </w:style>
  <w:style w:type="paragraph" w:customStyle="1" w:styleId="NormalIndent">
    <w:name w:val="NormalIndent"/>
    <w:basedOn w:val="Normal"/>
    <w:rsid w:val="001E69D0"/>
    <w:pPr>
      <w:spacing w:after="240" w:line="240" w:lineRule="auto"/>
      <w:ind w:left="357"/>
      <w:jc w:val="left"/>
    </w:pPr>
    <w:rPr>
      <w:rFonts w:eastAsia="Times New Roman"/>
      <w:color w:val="000000"/>
      <w:sz w:val="22"/>
      <w:szCs w:val="20"/>
    </w:rPr>
  </w:style>
  <w:style w:type="paragraph" w:styleId="BalloonText">
    <w:name w:val="Balloon Text"/>
    <w:basedOn w:val="Normal"/>
    <w:link w:val="BalloonTextChar"/>
    <w:uiPriority w:val="99"/>
    <w:semiHidden/>
    <w:unhideWhenUsed/>
    <w:rsid w:val="001E69D0"/>
    <w:pPr>
      <w:spacing w:after="0" w:line="240" w:lineRule="auto"/>
      <w:jc w:val="left"/>
    </w:pPr>
    <w:rPr>
      <w:rFonts w:ascii="Tahoma" w:eastAsia="Times New Roman" w:hAnsi="Tahoma" w:cs="Tahoma"/>
      <w:color w:val="000000"/>
      <w:sz w:val="16"/>
      <w:szCs w:val="16"/>
    </w:rPr>
  </w:style>
  <w:style w:type="character" w:customStyle="1" w:styleId="BalloonTextChar">
    <w:name w:val="Balloon Text Char"/>
    <w:basedOn w:val="DefaultParagraphFont"/>
    <w:link w:val="BalloonText"/>
    <w:uiPriority w:val="99"/>
    <w:semiHidden/>
    <w:rsid w:val="001E69D0"/>
    <w:rPr>
      <w:rFonts w:ascii="Tahoma" w:eastAsia="Times New Roman" w:hAnsi="Tahoma" w:cs="Tahoma"/>
      <w:color w:val="000000"/>
      <w:sz w:val="16"/>
      <w:szCs w:val="16"/>
    </w:rPr>
  </w:style>
  <w:style w:type="paragraph" w:customStyle="1" w:styleId="Title1">
    <w:name w:val="Title1"/>
    <w:basedOn w:val="Normal"/>
    <w:next w:val="Normal"/>
    <w:uiPriority w:val="10"/>
    <w:rsid w:val="001E69D0"/>
    <w:pPr>
      <w:spacing w:after="300" w:line="240" w:lineRule="auto"/>
      <w:contextualSpacing/>
      <w:jc w:val="center"/>
    </w:pPr>
    <w:rPr>
      <w:rFonts w:eastAsia="MS Gothic"/>
      <w:b/>
      <w:spacing w:val="5"/>
      <w:kern w:val="28"/>
      <w:sz w:val="48"/>
      <w:szCs w:val="52"/>
    </w:rPr>
  </w:style>
  <w:style w:type="character" w:customStyle="1" w:styleId="TitleChar">
    <w:name w:val="Title Char"/>
    <w:basedOn w:val="DefaultParagraphFont"/>
    <w:link w:val="Title"/>
    <w:uiPriority w:val="10"/>
    <w:rsid w:val="001E69D0"/>
    <w:rPr>
      <w:rFonts w:ascii="Calibri" w:eastAsia="MS Gothic" w:hAnsi="Calibri" w:cs="Times New Roman"/>
      <w:b/>
      <w:spacing w:val="5"/>
      <w:kern w:val="28"/>
      <w:sz w:val="48"/>
      <w:szCs w:val="52"/>
    </w:rPr>
  </w:style>
  <w:style w:type="character" w:customStyle="1" w:styleId="SubtitleChar">
    <w:name w:val="Subtitle Char"/>
    <w:basedOn w:val="DefaultParagraphFont"/>
    <w:link w:val="Subtitle"/>
    <w:uiPriority w:val="11"/>
    <w:rsid w:val="001E69D0"/>
    <w:rPr>
      <w:rFonts w:ascii="Calibri" w:eastAsia="MS Gothic" w:hAnsi="Calibri" w:cs="Times New Roman"/>
      <w:b/>
      <w:iCs/>
      <w:sz w:val="40"/>
      <w:szCs w:val="24"/>
    </w:rPr>
  </w:style>
  <w:style w:type="paragraph" w:customStyle="1" w:styleId="SectionTitle">
    <w:name w:val="SectionTitle"/>
    <w:basedOn w:val="Normal"/>
    <w:next w:val="Normal"/>
    <w:rsid w:val="001E69D0"/>
    <w:pPr>
      <w:spacing w:after="240" w:line="240" w:lineRule="auto"/>
      <w:jc w:val="center"/>
    </w:pPr>
    <w:rPr>
      <w:rFonts w:eastAsia="Times New Roman"/>
      <w:b/>
      <w:color w:val="000000"/>
      <w:sz w:val="40"/>
      <w:szCs w:val="20"/>
    </w:rPr>
  </w:style>
  <w:style w:type="paragraph" w:customStyle="1" w:styleId="SectionSubtitle">
    <w:name w:val="SectionSubtitle"/>
    <w:basedOn w:val="Normal"/>
    <w:rsid w:val="001E69D0"/>
    <w:pPr>
      <w:spacing w:after="0" w:line="240" w:lineRule="auto"/>
      <w:jc w:val="center"/>
    </w:pPr>
    <w:rPr>
      <w:rFonts w:eastAsia="Times New Roman"/>
      <w:color w:val="000000"/>
      <w:sz w:val="32"/>
      <w:szCs w:val="20"/>
    </w:rPr>
  </w:style>
  <w:style w:type="paragraph" w:customStyle="1" w:styleId="QuoteNumberList">
    <w:name w:val="QuoteNumberList"/>
    <w:basedOn w:val="Quote"/>
    <w:rsid w:val="001E69D0"/>
    <w:pPr>
      <w:ind w:left="1117" w:hanging="397"/>
    </w:pPr>
    <w:rPr>
      <w:noProof/>
    </w:rPr>
  </w:style>
  <w:style w:type="paragraph" w:customStyle="1" w:styleId="QuoteBullet">
    <w:name w:val="QuoteBullet"/>
    <w:basedOn w:val="Quote"/>
    <w:rsid w:val="001E69D0"/>
    <w:pPr>
      <w:numPr>
        <w:numId w:val="31"/>
      </w:numPr>
      <w:ind w:left="1117" w:hanging="397"/>
    </w:pPr>
    <w:rPr>
      <w:noProof/>
    </w:rPr>
  </w:style>
  <w:style w:type="paragraph" w:customStyle="1" w:styleId="BoxDash">
    <w:name w:val="BoxDash"/>
    <w:basedOn w:val="BoxBullet"/>
    <w:rsid w:val="001E69D0"/>
    <w:pPr>
      <w:numPr>
        <w:numId w:val="29"/>
      </w:numPr>
      <w:tabs>
        <w:tab w:val="num" w:pos="643"/>
      </w:tabs>
      <w:ind w:left="643"/>
    </w:pPr>
  </w:style>
  <w:style w:type="character" w:customStyle="1" w:styleId="CrossRef">
    <w:name w:val="CrossRef"/>
    <w:basedOn w:val="DefaultParagraphFont"/>
    <w:uiPriority w:val="1"/>
    <w:rsid w:val="001E69D0"/>
    <w:rPr>
      <w:rFonts w:ascii="Calibri" w:hAnsi="Calibri"/>
      <w:b/>
      <w:noProof/>
      <w:color w:val="C0504D"/>
      <w:sz w:val="24"/>
    </w:rPr>
  </w:style>
  <w:style w:type="character" w:customStyle="1" w:styleId="StrongEmphasis">
    <w:name w:val="StrongEmphasis"/>
    <w:basedOn w:val="DefaultParagraphFont"/>
    <w:rsid w:val="001E69D0"/>
    <w:rPr>
      <w:b/>
      <w:bCs/>
      <w:i/>
      <w:iCs/>
    </w:rPr>
  </w:style>
  <w:style w:type="character" w:customStyle="1" w:styleId="MathEquationChar">
    <w:name w:val="MathEquationChar"/>
    <w:basedOn w:val="DefaultParagraphFont"/>
    <w:uiPriority w:val="1"/>
    <w:rsid w:val="001E69D0"/>
    <w:rPr>
      <w:rFonts w:ascii="Cambria Math" w:hAnsi="Cambria Math"/>
      <w:noProof/>
    </w:rPr>
  </w:style>
  <w:style w:type="character" w:customStyle="1" w:styleId="SubscriptEmphasis">
    <w:name w:val="SubscriptEmphasis"/>
    <w:basedOn w:val="DefaultParagraphFont"/>
    <w:uiPriority w:val="1"/>
    <w:rsid w:val="001E69D0"/>
    <w:rPr>
      <w:i/>
      <w:noProof/>
      <w:vertAlign w:val="subscript"/>
    </w:rPr>
  </w:style>
  <w:style w:type="paragraph" w:customStyle="1" w:styleId="pf0">
    <w:name w:val="pf0"/>
    <w:basedOn w:val="Normal"/>
    <w:rsid w:val="001E69D0"/>
    <w:pPr>
      <w:spacing w:before="100" w:beforeAutospacing="1" w:after="100" w:afterAutospacing="1" w:line="240" w:lineRule="auto"/>
      <w:jc w:val="left"/>
    </w:pPr>
    <w:rPr>
      <w:rFonts w:ascii="Times New Roman" w:eastAsia="Times New Roman" w:hAnsi="Times New Roman"/>
      <w:lang w:eastAsia="en-AU"/>
    </w:rPr>
  </w:style>
  <w:style w:type="paragraph" w:styleId="Title">
    <w:name w:val="Title"/>
    <w:basedOn w:val="Normal"/>
    <w:next w:val="Normal"/>
    <w:link w:val="TitleChar"/>
    <w:uiPriority w:val="10"/>
    <w:qFormat/>
    <w:rsid w:val="001E69D0"/>
    <w:pPr>
      <w:spacing w:after="0" w:line="240" w:lineRule="auto"/>
      <w:contextualSpacing/>
    </w:pPr>
    <w:rPr>
      <w:rFonts w:eastAsia="MS Gothic"/>
      <w:b/>
      <w:spacing w:val="5"/>
      <w:kern w:val="28"/>
      <w:sz w:val="48"/>
      <w:szCs w:val="52"/>
    </w:rPr>
  </w:style>
  <w:style w:type="character" w:customStyle="1" w:styleId="TitleChar1">
    <w:name w:val="Title Char1"/>
    <w:basedOn w:val="DefaultParagraphFont"/>
    <w:uiPriority w:val="10"/>
    <w:rsid w:val="001E69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69D0"/>
    <w:pPr>
      <w:numPr>
        <w:ilvl w:val="1"/>
      </w:numPr>
      <w:spacing w:after="160"/>
    </w:pPr>
    <w:rPr>
      <w:rFonts w:eastAsia="MS Gothic"/>
      <w:b/>
      <w:iCs/>
      <w:sz w:val="40"/>
    </w:rPr>
  </w:style>
  <w:style w:type="character" w:customStyle="1" w:styleId="SubtitleChar1">
    <w:name w:val="Subtitle Char1"/>
    <w:basedOn w:val="DefaultParagraphFont"/>
    <w:uiPriority w:val="11"/>
    <w:rsid w:val="001E69D0"/>
    <w:rPr>
      <w:rFonts w:asciiTheme="minorHAnsi" w:eastAsiaTheme="minorEastAsia" w:hAnsiTheme="minorHAnsi" w:cstheme="minorBidi"/>
      <w:color w:val="5A5A5A" w:themeColor="text1" w:themeTint="A5"/>
      <w:spacing w:val="15"/>
      <w:sz w:val="22"/>
      <w:szCs w:val="22"/>
    </w:rPr>
  </w:style>
  <w:style w:type="paragraph" w:customStyle="1" w:styleId="Consumerreportsubheading1">
    <w:name w:val="Consumer report subheading 1"/>
    <w:basedOn w:val="Normal"/>
    <w:qFormat/>
    <w:rsid w:val="001E69D0"/>
    <w:pPr>
      <w:keepNext/>
      <w:spacing w:before="120" w:line="240" w:lineRule="auto"/>
      <w:jc w:val="left"/>
      <w:outlineLvl w:val="3"/>
    </w:pPr>
    <w:rPr>
      <w:rFonts w:ascii="MiloOT" w:eastAsia="Times New Roman" w:hAnsi="MiloOT" w:cs="Arial"/>
      <w:bCs/>
      <w:color w:val="808080"/>
      <w:szCs w:val="28"/>
      <w:lang w:eastAsia="en-AU"/>
      <w14:numForm w14:val="lining"/>
      <w14:numSpacing w14:val="tabular"/>
    </w:rPr>
  </w:style>
  <w:style w:type="paragraph" w:customStyle="1" w:styleId="Consumerreportbullets">
    <w:name w:val="Consumer report bullets"/>
    <w:basedOn w:val="Bullet"/>
    <w:qFormat/>
    <w:rsid w:val="0031367D"/>
    <w:pPr>
      <w:numPr>
        <w:numId w:val="38"/>
      </w:numPr>
      <w:tabs>
        <w:tab w:val="num" w:pos="360"/>
      </w:tabs>
      <w:ind w:left="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73778">
      <w:bodyDiv w:val="1"/>
      <w:marLeft w:val="0"/>
      <w:marRight w:val="0"/>
      <w:marTop w:val="0"/>
      <w:marBottom w:val="0"/>
      <w:divBdr>
        <w:top w:val="none" w:sz="0" w:space="0" w:color="auto"/>
        <w:left w:val="none" w:sz="0" w:space="0" w:color="auto"/>
        <w:bottom w:val="none" w:sz="0" w:space="0" w:color="auto"/>
        <w:right w:val="none" w:sz="0" w:space="0" w:color="auto"/>
      </w:divBdr>
    </w:div>
    <w:div w:id="51344464">
      <w:bodyDiv w:val="1"/>
      <w:marLeft w:val="0"/>
      <w:marRight w:val="0"/>
      <w:marTop w:val="0"/>
      <w:marBottom w:val="0"/>
      <w:divBdr>
        <w:top w:val="none" w:sz="0" w:space="0" w:color="auto"/>
        <w:left w:val="none" w:sz="0" w:space="0" w:color="auto"/>
        <w:bottom w:val="none" w:sz="0" w:space="0" w:color="auto"/>
        <w:right w:val="none" w:sz="0" w:space="0" w:color="auto"/>
      </w:divBdr>
    </w:div>
    <w:div w:id="74254192">
      <w:bodyDiv w:val="1"/>
      <w:marLeft w:val="0"/>
      <w:marRight w:val="0"/>
      <w:marTop w:val="0"/>
      <w:marBottom w:val="0"/>
      <w:divBdr>
        <w:top w:val="none" w:sz="0" w:space="0" w:color="auto"/>
        <w:left w:val="none" w:sz="0" w:space="0" w:color="auto"/>
        <w:bottom w:val="none" w:sz="0" w:space="0" w:color="auto"/>
        <w:right w:val="none" w:sz="0" w:space="0" w:color="auto"/>
      </w:divBdr>
    </w:div>
    <w:div w:id="154344154">
      <w:bodyDiv w:val="1"/>
      <w:marLeft w:val="0"/>
      <w:marRight w:val="0"/>
      <w:marTop w:val="0"/>
      <w:marBottom w:val="0"/>
      <w:divBdr>
        <w:top w:val="none" w:sz="0" w:space="0" w:color="auto"/>
        <w:left w:val="none" w:sz="0" w:space="0" w:color="auto"/>
        <w:bottom w:val="none" w:sz="0" w:space="0" w:color="auto"/>
        <w:right w:val="none" w:sz="0" w:space="0" w:color="auto"/>
      </w:divBdr>
    </w:div>
    <w:div w:id="187330715">
      <w:bodyDiv w:val="1"/>
      <w:marLeft w:val="0"/>
      <w:marRight w:val="0"/>
      <w:marTop w:val="0"/>
      <w:marBottom w:val="0"/>
      <w:divBdr>
        <w:top w:val="none" w:sz="0" w:space="0" w:color="auto"/>
        <w:left w:val="none" w:sz="0" w:space="0" w:color="auto"/>
        <w:bottom w:val="none" w:sz="0" w:space="0" w:color="auto"/>
        <w:right w:val="none" w:sz="0" w:space="0" w:color="auto"/>
      </w:divBdr>
    </w:div>
    <w:div w:id="195779105">
      <w:bodyDiv w:val="1"/>
      <w:marLeft w:val="0"/>
      <w:marRight w:val="0"/>
      <w:marTop w:val="0"/>
      <w:marBottom w:val="0"/>
      <w:divBdr>
        <w:top w:val="none" w:sz="0" w:space="0" w:color="auto"/>
        <w:left w:val="none" w:sz="0" w:space="0" w:color="auto"/>
        <w:bottom w:val="none" w:sz="0" w:space="0" w:color="auto"/>
        <w:right w:val="none" w:sz="0" w:space="0" w:color="auto"/>
      </w:divBdr>
    </w:div>
    <w:div w:id="216471971">
      <w:bodyDiv w:val="1"/>
      <w:marLeft w:val="0"/>
      <w:marRight w:val="0"/>
      <w:marTop w:val="0"/>
      <w:marBottom w:val="0"/>
      <w:divBdr>
        <w:top w:val="none" w:sz="0" w:space="0" w:color="auto"/>
        <w:left w:val="none" w:sz="0" w:space="0" w:color="auto"/>
        <w:bottom w:val="none" w:sz="0" w:space="0" w:color="auto"/>
        <w:right w:val="none" w:sz="0" w:space="0" w:color="auto"/>
      </w:divBdr>
    </w:div>
    <w:div w:id="247009628">
      <w:bodyDiv w:val="1"/>
      <w:marLeft w:val="0"/>
      <w:marRight w:val="0"/>
      <w:marTop w:val="0"/>
      <w:marBottom w:val="0"/>
      <w:divBdr>
        <w:top w:val="none" w:sz="0" w:space="0" w:color="auto"/>
        <w:left w:val="none" w:sz="0" w:space="0" w:color="auto"/>
        <w:bottom w:val="none" w:sz="0" w:space="0" w:color="auto"/>
        <w:right w:val="none" w:sz="0" w:space="0" w:color="auto"/>
      </w:divBdr>
    </w:div>
    <w:div w:id="283580087">
      <w:bodyDiv w:val="1"/>
      <w:marLeft w:val="0"/>
      <w:marRight w:val="0"/>
      <w:marTop w:val="0"/>
      <w:marBottom w:val="0"/>
      <w:divBdr>
        <w:top w:val="none" w:sz="0" w:space="0" w:color="auto"/>
        <w:left w:val="none" w:sz="0" w:space="0" w:color="auto"/>
        <w:bottom w:val="none" w:sz="0" w:space="0" w:color="auto"/>
        <w:right w:val="none" w:sz="0" w:space="0" w:color="auto"/>
      </w:divBdr>
    </w:div>
    <w:div w:id="302463388">
      <w:bodyDiv w:val="1"/>
      <w:marLeft w:val="0"/>
      <w:marRight w:val="0"/>
      <w:marTop w:val="0"/>
      <w:marBottom w:val="0"/>
      <w:divBdr>
        <w:top w:val="none" w:sz="0" w:space="0" w:color="auto"/>
        <w:left w:val="none" w:sz="0" w:space="0" w:color="auto"/>
        <w:bottom w:val="none" w:sz="0" w:space="0" w:color="auto"/>
        <w:right w:val="none" w:sz="0" w:space="0" w:color="auto"/>
      </w:divBdr>
    </w:div>
    <w:div w:id="314460161">
      <w:bodyDiv w:val="1"/>
      <w:marLeft w:val="0"/>
      <w:marRight w:val="0"/>
      <w:marTop w:val="0"/>
      <w:marBottom w:val="0"/>
      <w:divBdr>
        <w:top w:val="none" w:sz="0" w:space="0" w:color="auto"/>
        <w:left w:val="none" w:sz="0" w:space="0" w:color="auto"/>
        <w:bottom w:val="none" w:sz="0" w:space="0" w:color="auto"/>
        <w:right w:val="none" w:sz="0" w:space="0" w:color="auto"/>
      </w:divBdr>
    </w:div>
    <w:div w:id="436877618">
      <w:bodyDiv w:val="1"/>
      <w:marLeft w:val="0"/>
      <w:marRight w:val="0"/>
      <w:marTop w:val="0"/>
      <w:marBottom w:val="0"/>
      <w:divBdr>
        <w:top w:val="none" w:sz="0" w:space="0" w:color="auto"/>
        <w:left w:val="none" w:sz="0" w:space="0" w:color="auto"/>
        <w:bottom w:val="none" w:sz="0" w:space="0" w:color="auto"/>
        <w:right w:val="none" w:sz="0" w:space="0" w:color="auto"/>
      </w:divBdr>
    </w:div>
    <w:div w:id="440102526">
      <w:bodyDiv w:val="1"/>
      <w:marLeft w:val="0"/>
      <w:marRight w:val="0"/>
      <w:marTop w:val="0"/>
      <w:marBottom w:val="0"/>
      <w:divBdr>
        <w:top w:val="none" w:sz="0" w:space="0" w:color="auto"/>
        <w:left w:val="none" w:sz="0" w:space="0" w:color="auto"/>
        <w:bottom w:val="none" w:sz="0" w:space="0" w:color="auto"/>
        <w:right w:val="none" w:sz="0" w:space="0" w:color="auto"/>
      </w:divBdr>
    </w:div>
    <w:div w:id="479544187">
      <w:bodyDiv w:val="1"/>
      <w:marLeft w:val="0"/>
      <w:marRight w:val="0"/>
      <w:marTop w:val="0"/>
      <w:marBottom w:val="0"/>
      <w:divBdr>
        <w:top w:val="none" w:sz="0" w:space="0" w:color="auto"/>
        <w:left w:val="none" w:sz="0" w:space="0" w:color="auto"/>
        <w:bottom w:val="none" w:sz="0" w:space="0" w:color="auto"/>
        <w:right w:val="none" w:sz="0" w:space="0" w:color="auto"/>
      </w:divBdr>
    </w:div>
    <w:div w:id="569998716">
      <w:bodyDiv w:val="1"/>
      <w:marLeft w:val="0"/>
      <w:marRight w:val="0"/>
      <w:marTop w:val="0"/>
      <w:marBottom w:val="0"/>
      <w:divBdr>
        <w:top w:val="none" w:sz="0" w:space="0" w:color="auto"/>
        <w:left w:val="none" w:sz="0" w:space="0" w:color="auto"/>
        <w:bottom w:val="none" w:sz="0" w:space="0" w:color="auto"/>
        <w:right w:val="none" w:sz="0" w:space="0" w:color="auto"/>
      </w:divBdr>
    </w:div>
    <w:div w:id="570892338">
      <w:bodyDiv w:val="1"/>
      <w:marLeft w:val="0"/>
      <w:marRight w:val="0"/>
      <w:marTop w:val="0"/>
      <w:marBottom w:val="0"/>
      <w:divBdr>
        <w:top w:val="none" w:sz="0" w:space="0" w:color="auto"/>
        <w:left w:val="none" w:sz="0" w:space="0" w:color="auto"/>
        <w:bottom w:val="none" w:sz="0" w:space="0" w:color="auto"/>
        <w:right w:val="none" w:sz="0" w:space="0" w:color="auto"/>
      </w:divBdr>
    </w:div>
    <w:div w:id="599610480">
      <w:bodyDiv w:val="1"/>
      <w:marLeft w:val="0"/>
      <w:marRight w:val="0"/>
      <w:marTop w:val="0"/>
      <w:marBottom w:val="0"/>
      <w:divBdr>
        <w:top w:val="none" w:sz="0" w:space="0" w:color="auto"/>
        <w:left w:val="none" w:sz="0" w:space="0" w:color="auto"/>
        <w:bottom w:val="none" w:sz="0" w:space="0" w:color="auto"/>
        <w:right w:val="none" w:sz="0" w:space="0" w:color="auto"/>
      </w:divBdr>
    </w:div>
    <w:div w:id="679818693">
      <w:bodyDiv w:val="1"/>
      <w:marLeft w:val="0"/>
      <w:marRight w:val="0"/>
      <w:marTop w:val="0"/>
      <w:marBottom w:val="0"/>
      <w:divBdr>
        <w:top w:val="none" w:sz="0" w:space="0" w:color="auto"/>
        <w:left w:val="none" w:sz="0" w:space="0" w:color="auto"/>
        <w:bottom w:val="none" w:sz="0" w:space="0" w:color="auto"/>
        <w:right w:val="none" w:sz="0" w:space="0" w:color="auto"/>
      </w:divBdr>
    </w:div>
    <w:div w:id="753208316">
      <w:bodyDiv w:val="1"/>
      <w:marLeft w:val="0"/>
      <w:marRight w:val="0"/>
      <w:marTop w:val="0"/>
      <w:marBottom w:val="0"/>
      <w:divBdr>
        <w:top w:val="none" w:sz="0" w:space="0" w:color="auto"/>
        <w:left w:val="none" w:sz="0" w:space="0" w:color="auto"/>
        <w:bottom w:val="none" w:sz="0" w:space="0" w:color="auto"/>
        <w:right w:val="none" w:sz="0" w:space="0" w:color="auto"/>
      </w:divBdr>
    </w:div>
    <w:div w:id="783815479">
      <w:bodyDiv w:val="1"/>
      <w:marLeft w:val="0"/>
      <w:marRight w:val="0"/>
      <w:marTop w:val="0"/>
      <w:marBottom w:val="0"/>
      <w:divBdr>
        <w:top w:val="none" w:sz="0" w:space="0" w:color="auto"/>
        <w:left w:val="none" w:sz="0" w:space="0" w:color="auto"/>
        <w:bottom w:val="none" w:sz="0" w:space="0" w:color="auto"/>
        <w:right w:val="none" w:sz="0" w:space="0" w:color="auto"/>
      </w:divBdr>
    </w:div>
    <w:div w:id="839082292">
      <w:bodyDiv w:val="1"/>
      <w:marLeft w:val="0"/>
      <w:marRight w:val="0"/>
      <w:marTop w:val="0"/>
      <w:marBottom w:val="0"/>
      <w:divBdr>
        <w:top w:val="none" w:sz="0" w:space="0" w:color="auto"/>
        <w:left w:val="none" w:sz="0" w:space="0" w:color="auto"/>
        <w:bottom w:val="none" w:sz="0" w:space="0" w:color="auto"/>
        <w:right w:val="none" w:sz="0" w:space="0" w:color="auto"/>
      </w:divBdr>
    </w:div>
    <w:div w:id="851577632">
      <w:bodyDiv w:val="1"/>
      <w:marLeft w:val="0"/>
      <w:marRight w:val="0"/>
      <w:marTop w:val="0"/>
      <w:marBottom w:val="0"/>
      <w:divBdr>
        <w:top w:val="none" w:sz="0" w:space="0" w:color="auto"/>
        <w:left w:val="none" w:sz="0" w:space="0" w:color="auto"/>
        <w:bottom w:val="none" w:sz="0" w:space="0" w:color="auto"/>
        <w:right w:val="none" w:sz="0" w:space="0" w:color="auto"/>
      </w:divBdr>
    </w:div>
    <w:div w:id="863398459">
      <w:bodyDiv w:val="1"/>
      <w:marLeft w:val="0"/>
      <w:marRight w:val="0"/>
      <w:marTop w:val="0"/>
      <w:marBottom w:val="0"/>
      <w:divBdr>
        <w:top w:val="none" w:sz="0" w:space="0" w:color="auto"/>
        <w:left w:val="none" w:sz="0" w:space="0" w:color="auto"/>
        <w:bottom w:val="none" w:sz="0" w:space="0" w:color="auto"/>
        <w:right w:val="none" w:sz="0" w:space="0" w:color="auto"/>
      </w:divBdr>
    </w:div>
    <w:div w:id="871767626">
      <w:bodyDiv w:val="1"/>
      <w:marLeft w:val="0"/>
      <w:marRight w:val="0"/>
      <w:marTop w:val="0"/>
      <w:marBottom w:val="0"/>
      <w:divBdr>
        <w:top w:val="none" w:sz="0" w:space="0" w:color="auto"/>
        <w:left w:val="none" w:sz="0" w:space="0" w:color="auto"/>
        <w:bottom w:val="none" w:sz="0" w:space="0" w:color="auto"/>
        <w:right w:val="none" w:sz="0" w:space="0" w:color="auto"/>
      </w:divBdr>
    </w:div>
    <w:div w:id="894439092">
      <w:bodyDiv w:val="1"/>
      <w:marLeft w:val="0"/>
      <w:marRight w:val="0"/>
      <w:marTop w:val="0"/>
      <w:marBottom w:val="0"/>
      <w:divBdr>
        <w:top w:val="none" w:sz="0" w:space="0" w:color="auto"/>
        <w:left w:val="none" w:sz="0" w:space="0" w:color="auto"/>
        <w:bottom w:val="none" w:sz="0" w:space="0" w:color="auto"/>
        <w:right w:val="none" w:sz="0" w:space="0" w:color="auto"/>
      </w:divBdr>
    </w:div>
    <w:div w:id="902258308">
      <w:bodyDiv w:val="1"/>
      <w:marLeft w:val="0"/>
      <w:marRight w:val="0"/>
      <w:marTop w:val="0"/>
      <w:marBottom w:val="0"/>
      <w:divBdr>
        <w:top w:val="none" w:sz="0" w:space="0" w:color="auto"/>
        <w:left w:val="none" w:sz="0" w:space="0" w:color="auto"/>
        <w:bottom w:val="none" w:sz="0" w:space="0" w:color="auto"/>
        <w:right w:val="none" w:sz="0" w:space="0" w:color="auto"/>
      </w:divBdr>
    </w:div>
    <w:div w:id="918487947">
      <w:bodyDiv w:val="1"/>
      <w:marLeft w:val="0"/>
      <w:marRight w:val="0"/>
      <w:marTop w:val="0"/>
      <w:marBottom w:val="0"/>
      <w:divBdr>
        <w:top w:val="none" w:sz="0" w:space="0" w:color="auto"/>
        <w:left w:val="none" w:sz="0" w:space="0" w:color="auto"/>
        <w:bottom w:val="none" w:sz="0" w:space="0" w:color="auto"/>
        <w:right w:val="none" w:sz="0" w:space="0" w:color="auto"/>
      </w:divBdr>
    </w:div>
    <w:div w:id="1075015000">
      <w:bodyDiv w:val="1"/>
      <w:marLeft w:val="0"/>
      <w:marRight w:val="0"/>
      <w:marTop w:val="0"/>
      <w:marBottom w:val="0"/>
      <w:divBdr>
        <w:top w:val="none" w:sz="0" w:space="0" w:color="auto"/>
        <w:left w:val="none" w:sz="0" w:space="0" w:color="auto"/>
        <w:bottom w:val="none" w:sz="0" w:space="0" w:color="auto"/>
        <w:right w:val="none" w:sz="0" w:space="0" w:color="auto"/>
      </w:divBdr>
    </w:div>
    <w:div w:id="1181775206">
      <w:bodyDiv w:val="1"/>
      <w:marLeft w:val="0"/>
      <w:marRight w:val="0"/>
      <w:marTop w:val="0"/>
      <w:marBottom w:val="0"/>
      <w:divBdr>
        <w:top w:val="none" w:sz="0" w:space="0" w:color="auto"/>
        <w:left w:val="none" w:sz="0" w:space="0" w:color="auto"/>
        <w:bottom w:val="none" w:sz="0" w:space="0" w:color="auto"/>
        <w:right w:val="none" w:sz="0" w:space="0" w:color="auto"/>
      </w:divBdr>
    </w:div>
    <w:div w:id="1199663542">
      <w:bodyDiv w:val="1"/>
      <w:marLeft w:val="0"/>
      <w:marRight w:val="0"/>
      <w:marTop w:val="0"/>
      <w:marBottom w:val="0"/>
      <w:divBdr>
        <w:top w:val="none" w:sz="0" w:space="0" w:color="auto"/>
        <w:left w:val="none" w:sz="0" w:space="0" w:color="auto"/>
        <w:bottom w:val="none" w:sz="0" w:space="0" w:color="auto"/>
        <w:right w:val="none" w:sz="0" w:space="0" w:color="auto"/>
      </w:divBdr>
    </w:div>
    <w:div w:id="1205479944">
      <w:bodyDiv w:val="1"/>
      <w:marLeft w:val="0"/>
      <w:marRight w:val="0"/>
      <w:marTop w:val="0"/>
      <w:marBottom w:val="0"/>
      <w:divBdr>
        <w:top w:val="none" w:sz="0" w:space="0" w:color="auto"/>
        <w:left w:val="none" w:sz="0" w:space="0" w:color="auto"/>
        <w:bottom w:val="none" w:sz="0" w:space="0" w:color="auto"/>
        <w:right w:val="none" w:sz="0" w:space="0" w:color="auto"/>
      </w:divBdr>
    </w:div>
    <w:div w:id="1236208865">
      <w:bodyDiv w:val="1"/>
      <w:marLeft w:val="0"/>
      <w:marRight w:val="0"/>
      <w:marTop w:val="0"/>
      <w:marBottom w:val="0"/>
      <w:divBdr>
        <w:top w:val="none" w:sz="0" w:space="0" w:color="auto"/>
        <w:left w:val="none" w:sz="0" w:space="0" w:color="auto"/>
        <w:bottom w:val="none" w:sz="0" w:space="0" w:color="auto"/>
        <w:right w:val="none" w:sz="0" w:space="0" w:color="auto"/>
      </w:divBdr>
    </w:div>
    <w:div w:id="1265654815">
      <w:bodyDiv w:val="1"/>
      <w:marLeft w:val="0"/>
      <w:marRight w:val="0"/>
      <w:marTop w:val="0"/>
      <w:marBottom w:val="0"/>
      <w:divBdr>
        <w:top w:val="none" w:sz="0" w:space="0" w:color="auto"/>
        <w:left w:val="none" w:sz="0" w:space="0" w:color="auto"/>
        <w:bottom w:val="none" w:sz="0" w:space="0" w:color="auto"/>
        <w:right w:val="none" w:sz="0" w:space="0" w:color="auto"/>
      </w:divBdr>
    </w:div>
    <w:div w:id="1328511888">
      <w:bodyDiv w:val="1"/>
      <w:marLeft w:val="0"/>
      <w:marRight w:val="0"/>
      <w:marTop w:val="0"/>
      <w:marBottom w:val="0"/>
      <w:divBdr>
        <w:top w:val="none" w:sz="0" w:space="0" w:color="auto"/>
        <w:left w:val="none" w:sz="0" w:space="0" w:color="auto"/>
        <w:bottom w:val="none" w:sz="0" w:space="0" w:color="auto"/>
        <w:right w:val="none" w:sz="0" w:space="0" w:color="auto"/>
      </w:divBdr>
    </w:div>
    <w:div w:id="1368217053">
      <w:bodyDiv w:val="1"/>
      <w:marLeft w:val="0"/>
      <w:marRight w:val="0"/>
      <w:marTop w:val="0"/>
      <w:marBottom w:val="0"/>
      <w:divBdr>
        <w:top w:val="none" w:sz="0" w:space="0" w:color="auto"/>
        <w:left w:val="none" w:sz="0" w:space="0" w:color="auto"/>
        <w:bottom w:val="none" w:sz="0" w:space="0" w:color="auto"/>
        <w:right w:val="none" w:sz="0" w:space="0" w:color="auto"/>
      </w:divBdr>
    </w:div>
    <w:div w:id="1438333776">
      <w:bodyDiv w:val="1"/>
      <w:marLeft w:val="0"/>
      <w:marRight w:val="0"/>
      <w:marTop w:val="0"/>
      <w:marBottom w:val="0"/>
      <w:divBdr>
        <w:top w:val="none" w:sz="0" w:space="0" w:color="auto"/>
        <w:left w:val="none" w:sz="0" w:space="0" w:color="auto"/>
        <w:bottom w:val="none" w:sz="0" w:space="0" w:color="auto"/>
        <w:right w:val="none" w:sz="0" w:space="0" w:color="auto"/>
      </w:divBdr>
    </w:div>
    <w:div w:id="1480880368">
      <w:bodyDiv w:val="1"/>
      <w:marLeft w:val="0"/>
      <w:marRight w:val="0"/>
      <w:marTop w:val="0"/>
      <w:marBottom w:val="0"/>
      <w:divBdr>
        <w:top w:val="none" w:sz="0" w:space="0" w:color="auto"/>
        <w:left w:val="none" w:sz="0" w:space="0" w:color="auto"/>
        <w:bottom w:val="none" w:sz="0" w:space="0" w:color="auto"/>
        <w:right w:val="none" w:sz="0" w:space="0" w:color="auto"/>
      </w:divBdr>
    </w:div>
    <w:div w:id="1481926804">
      <w:bodyDiv w:val="1"/>
      <w:marLeft w:val="0"/>
      <w:marRight w:val="0"/>
      <w:marTop w:val="0"/>
      <w:marBottom w:val="0"/>
      <w:divBdr>
        <w:top w:val="none" w:sz="0" w:space="0" w:color="auto"/>
        <w:left w:val="none" w:sz="0" w:space="0" w:color="auto"/>
        <w:bottom w:val="none" w:sz="0" w:space="0" w:color="auto"/>
        <w:right w:val="none" w:sz="0" w:space="0" w:color="auto"/>
      </w:divBdr>
    </w:div>
    <w:div w:id="1503543561">
      <w:bodyDiv w:val="1"/>
      <w:marLeft w:val="0"/>
      <w:marRight w:val="0"/>
      <w:marTop w:val="0"/>
      <w:marBottom w:val="0"/>
      <w:divBdr>
        <w:top w:val="none" w:sz="0" w:space="0" w:color="auto"/>
        <w:left w:val="none" w:sz="0" w:space="0" w:color="auto"/>
        <w:bottom w:val="none" w:sz="0" w:space="0" w:color="auto"/>
        <w:right w:val="none" w:sz="0" w:space="0" w:color="auto"/>
      </w:divBdr>
    </w:div>
    <w:div w:id="1521511065">
      <w:bodyDiv w:val="1"/>
      <w:marLeft w:val="0"/>
      <w:marRight w:val="0"/>
      <w:marTop w:val="0"/>
      <w:marBottom w:val="0"/>
      <w:divBdr>
        <w:top w:val="none" w:sz="0" w:space="0" w:color="auto"/>
        <w:left w:val="none" w:sz="0" w:space="0" w:color="auto"/>
        <w:bottom w:val="none" w:sz="0" w:space="0" w:color="auto"/>
        <w:right w:val="none" w:sz="0" w:space="0" w:color="auto"/>
      </w:divBdr>
    </w:div>
    <w:div w:id="1570186352">
      <w:bodyDiv w:val="1"/>
      <w:marLeft w:val="0"/>
      <w:marRight w:val="0"/>
      <w:marTop w:val="0"/>
      <w:marBottom w:val="0"/>
      <w:divBdr>
        <w:top w:val="none" w:sz="0" w:space="0" w:color="auto"/>
        <w:left w:val="none" w:sz="0" w:space="0" w:color="auto"/>
        <w:bottom w:val="none" w:sz="0" w:space="0" w:color="auto"/>
        <w:right w:val="none" w:sz="0" w:space="0" w:color="auto"/>
      </w:divBdr>
    </w:div>
    <w:div w:id="1621107688">
      <w:bodyDiv w:val="1"/>
      <w:marLeft w:val="0"/>
      <w:marRight w:val="0"/>
      <w:marTop w:val="0"/>
      <w:marBottom w:val="0"/>
      <w:divBdr>
        <w:top w:val="none" w:sz="0" w:space="0" w:color="auto"/>
        <w:left w:val="none" w:sz="0" w:space="0" w:color="auto"/>
        <w:bottom w:val="none" w:sz="0" w:space="0" w:color="auto"/>
        <w:right w:val="none" w:sz="0" w:space="0" w:color="auto"/>
      </w:divBdr>
    </w:div>
    <w:div w:id="1649094241">
      <w:bodyDiv w:val="1"/>
      <w:marLeft w:val="0"/>
      <w:marRight w:val="0"/>
      <w:marTop w:val="0"/>
      <w:marBottom w:val="0"/>
      <w:divBdr>
        <w:top w:val="none" w:sz="0" w:space="0" w:color="auto"/>
        <w:left w:val="none" w:sz="0" w:space="0" w:color="auto"/>
        <w:bottom w:val="none" w:sz="0" w:space="0" w:color="auto"/>
        <w:right w:val="none" w:sz="0" w:space="0" w:color="auto"/>
      </w:divBdr>
    </w:div>
    <w:div w:id="1652178385">
      <w:bodyDiv w:val="1"/>
      <w:marLeft w:val="0"/>
      <w:marRight w:val="0"/>
      <w:marTop w:val="0"/>
      <w:marBottom w:val="0"/>
      <w:divBdr>
        <w:top w:val="none" w:sz="0" w:space="0" w:color="auto"/>
        <w:left w:val="none" w:sz="0" w:space="0" w:color="auto"/>
        <w:bottom w:val="none" w:sz="0" w:space="0" w:color="auto"/>
        <w:right w:val="none" w:sz="0" w:space="0" w:color="auto"/>
      </w:divBdr>
    </w:div>
    <w:div w:id="1653605008">
      <w:bodyDiv w:val="1"/>
      <w:marLeft w:val="0"/>
      <w:marRight w:val="0"/>
      <w:marTop w:val="0"/>
      <w:marBottom w:val="0"/>
      <w:divBdr>
        <w:top w:val="none" w:sz="0" w:space="0" w:color="auto"/>
        <w:left w:val="none" w:sz="0" w:space="0" w:color="auto"/>
        <w:bottom w:val="none" w:sz="0" w:space="0" w:color="auto"/>
        <w:right w:val="none" w:sz="0" w:space="0" w:color="auto"/>
      </w:divBdr>
    </w:div>
    <w:div w:id="1653606154">
      <w:bodyDiv w:val="1"/>
      <w:marLeft w:val="0"/>
      <w:marRight w:val="0"/>
      <w:marTop w:val="0"/>
      <w:marBottom w:val="0"/>
      <w:divBdr>
        <w:top w:val="none" w:sz="0" w:space="0" w:color="auto"/>
        <w:left w:val="none" w:sz="0" w:space="0" w:color="auto"/>
        <w:bottom w:val="none" w:sz="0" w:space="0" w:color="auto"/>
        <w:right w:val="none" w:sz="0" w:space="0" w:color="auto"/>
      </w:divBdr>
    </w:div>
    <w:div w:id="1658920535">
      <w:bodyDiv w:val="1"/>
      <w:marLeft w:val="0"/>
      <w:marRight w:val="0"/>
      <w:marTop w:val="0"/>
      <w:marBottom w:val="0"/>
      <w:divBdr>
        <w:top w:val="none" w:sz="0" w:space="0" w:color="auto"/>
        <w:left w:val="none" w:sz="0" w:space="0" w:color="auto"/>
        <w:bottom w:val="none" w:sz="0" w:space="0" w:color="auto"/>
        <w:right w:val="none" w:sz="0" w:space="0" w:color="auto"/>
      </w:divBdr>
    </w:div>
    <w:div w:id="1694569149">
      <w:bodyDiv w:val="1"/>
      <w:marLeft w:val="0"/>
      <w:marRight w:val="0"/>
      <w:marTop w:val="0"/>
      <w:marBottom w:val="0"/>
      <w:divBdr>
        <w:top w:val="none" w:sz="0" w:space="0" w:color="auto"/>
        <w:left w:val="none" w:sz="0" w:space="0" w:color="auto"/>
        <w:bottom w:val="none" w:sz="0" w:space="0" w:color="auto"/>
        <w:right w:val="none" w:sz="0" w:space="0" w:color="auto"/>
      </w:divBdr>
    </w:div>
    <w:div w:id="1698576881">
      <w:bodyDiv w:val="1"/>
      <w:marLeft w:val="0"/>
      <w:marRight w:val="0"/>
      <w:marTop w:val="0"/>
      <w:marBottom w:val="0"/>
      <w:divBdr>
        <w:top w:val="none" w:sz="0" w:space="0" w:color="auto"/>
        <w:left w:val="none" w:sz="0" w:space="0" w:color="auto"/>
        <w:bottom w:val="none" w:sz="0" w:space="0" w:color="auto"/>
        <w:right w:val="none" w:sz="0" w:space="0" w:color="auto"/>
      </w:divBdr>
    </w:div>
    <w:div w:id="1721249698">
      <w:bodyDiv w:val="1"/>
      <w:marLeft w:val="0"/>
      <w:marRight w:val="0"/>
      <w:marTop w:val="0"/>
      <w:marBottom w:val="0"/>
      <w:divBdr>
        <w:top w:val="none" w:sz="0" w:space="0" w:color="auto"/>
        <w:left w:val="none" w:sz="0" w:space="0" w:color="auto"/>
        <w:bottom w:val="none" w:sz="0" w:space="0" w:color="auto"/>
        <w:right w:val="none" w:sz="0" w:space="0" w:color="auto"/>
      </w:divBdr>
    </w:div>
    <w:div w:id="1913276810">
      <w:bodyDiv w:val="1"/>
      <w:marLeft w:val="0"/>
      <w:marRight w:val="0"/>
      <w:marTop w:val="0"/>
      <w:marBottom w:val="0"/>
      <w:divBdr>
        <w:top w:val="none" w:sz="0" w:space="0" w:color="auto"/>
        <w:left w:val="none" w:sz="0" w:space="0" w:color="auto"/>
        <w:bottom w:val="none" w:sz="0" w:space="0" w:color="auto"/>
        <w:right w:val="none" w:sz="0" w:space="0" w:color="auto"/>
      </w:divBdr>
    </w:div>
    <w:div w:id="1920821569">
      <w:bodyDiv w:val="1"/>
      <w:marLeft w:val="0"/>
      <w:marRight w:val="0"/>
      <w:marTop w:val="0"/>
      <w:marBottom w:val="0"/>
      <w:divBdr>
        <w:top w:val="none" w:sz="0" w:space="0" w:color="auto"/>
        <w:left w:val="none" w:sz="0" w:space="0" w:color="auto"/>
        <w:bottom w:val="none" w:sz="0" w:space="0" w:color="auto"/>
        <w:right w:val="none" w:sz="0" w:space="0" w:color="auto"/>
      </w:divBdr>
    </w:div>
    <w:div w:id="1973897264">
      <w:bodyDiv w:val="1"/>
      <w:marLeft w:val="0"/>
      <w:marRight w:val="0"/>
      <w:marTop w:val="0"/>
      <w:marBottom w:val="0"/>
      <w:divBdr>
        <w:top w:val="none" w:sz="0" w:space="0" w:color="auto"/>
        <w:left w:val="none" w:sz="0" w:space="0" w:color="auto"/>
        <w:bottom w:val="none" w:sz="0" w:space="0" w:color="auto"/>
        <w:right w:val="none" w:sz="0" w:space="0" w:color="auto"/>
      </w:divBdr>
    </w:div>
    <w:div w:id="2000577147">
      <w:bodyDiv w:val="1"/>
      <w:marLeft w:val="0"/>
      <w:marRight w:val="0"/>
      <w:marTop w:val="0"/>
      <w:marBottom w:val="0"/>
      <w:divBdr>
        <w:top w:val="none" w:sz="0" w:space="0" w:color="auto"/>
        <w:left w:val="none" w:sz="0" w:space="0" w:color="auto"/>
        <w:bottom w:val="none" w:sz="0" w:space="0" w:color="auto"/>
        <w:right w:val="none" w:sz="0" w:space="0" w:color="auto"/>
      </w:divBdr>
    </w:div>
    <w:div w:id="2013140629">
      <w:bodyDiv w:val="1"/>
      <w:marLeft w:val="0"/>
      <w:marRight w:val="0"/>
      <w:marTop w:val="0"/>
      <w:marBottom w:val="0"/>
      <w:divBdr>
        <w:top w:val="none" w:sz="0" w:space="0" w:color="auto"/>
        <w:left w:val="none" w:sz="0" w:space="0" w:color="auto"/>
        <w:bottom w:val="none" w:sz="0" w:space="0" w:color="auto"/>
        <w:right w:val="none" w:sz="0" w:space="0" w:color="auto"/>
      </w:divBdr>
    </w:div>
    <w:div w:id="2051032262">
      <w:bodyDiv w:val="1"/>
      <w:marLeft w:val="0"/>
      <w:marRight w:val="0"/>
      <w:marTop w:val="0"/>
      <w:marBottom w:val="0"/>
      <w:divBdr>
        <w:top w:val="none" w:sz="0" w:space="0" w:color="auto"/>
        <w:left w:val="none" w:sz="0" w:space="0" w:color="auto"/>
        <w:bottom w:val="none" w:sz="0" w:space="0" w:color="auto"/>
        <w:right w:val="none" w:sz="0" w:space="0" w:color="auto"/>
      </w:divBdr>
    </w:div>
    <w:div w:id="2073966452">
      <w:bodyDiv w:val="1"/>
      <w:marLeft w:val="0"/>
      <w:marRight w:val="0"/>
      <w:marTop w:val="0"/>
      <w:marBottom w:val="0"/>
      <w:divBdr>
        <w:top w:val="none" w:sz="0" w:space="0" w:color="auto"/>
        <w:left w:val="none" w:sz="0" w:space="0" w:color="auto"/>
        <w:bottom w:val="none" w:sz="0" w:space="0" w:color="auto"/>
        <w:right w:val="none" w:sz="0" w:space="0" w:color="auto"/>
      </w:divBdr>
    </w:div>
    <w:div w:id="2102874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tomass\AppData\Local\Hewlett-Packard\HP%20TRIM\TEMP\HPTRIM.17820\www.pbs.gov.au" TargetMode="External"/><Relationship Id="rId18" Type="http://schemas.openxmlformats.org/officeDocument/2006/relationships/hyperlink" Target="https://www.psa.org.au/wp-content/uploads/2021/11/5734-Summary-of-Legal-Authority-for-Pharmacist-Administration-of-Medicines-by-Injection-v6.pdf" TargetMode="External"/><Relationship Id="rId26" Type="http://schemas.openxmlformats.org/officeDocument/2006/relationships/image" Target="media/image5.png"/><Relationship Id="rId39"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image" Target="media/image1.png"/><Relationship Id="rId34" Type="http://schemas.openxmlformats.org/officeDocument/2006/relationships/hyperlink" Target="https://psnc.org.uk/dispensing-supply/dispensing-controlled-drugs/instalment-dispensing-fp10-and-fp10mda-including-liquid-oral-methadone/" TargetMode="External"/><Relationship Id="rId42" Type="http://schemas.openxmlformats.org/officeDocument/2006/relationships/footer" Target="footer3.xml"/><Relationship Id="rId47" Type="http://schemas.openxmlformats.org/officeDocument/2006/relationships/hyperlink" Target="https://aivl.org.au/" TargetMode="External"/><Relationship Id="rId7" Type="http://schemas.openxmlformats.org/officeDocument/2006/relationships/footer" Target="footer1.xml"/><Relationship Id="rId12" Type="http://schemas.openxmlformats.org/officeDocument/2006/relationships/hyperlink" Target="https://www.aihw.gov.au/reports/alcohol-other-drug-treatment-services/national-opioid-pharmacotherapy-statistics/contents/about" TargetMode="External"/><Relationship Id="rId17" Type="http://schemas.openxmlformats.org/officeDocument/2006/relationships/header" Target="header3.xml"/><Relationship Id="rId25" Type="http://schemas.openxmlformats.org/officeDocument/2006/relationships/image" Target="media/image4.png"/><Relationship Id="rId33" Type="http://schemas.openxmlformats.org/officeDocument/2006/relationships/hyperlink" Target="https://www.isdscotland.org/Health-Topics/Prescribing-and-Medicines/Community-Dispensing/Dispenser-Remuneration/" TargetMode="External"/><Relationship Id="rId38" Type="http://schemas.openxmlformats.org/officeDocument/2006/relationships/image" Target="media/image7.png"/><Relationship Id="rId46" Type="http://schemas.openxmlformats.org/officeDocument/2006/relationships/hyperlink" Target="https://www.pbs.gov.au/info/reviews/post-market-review-of-opiate-dependence-treatment-program" TargetMode="Externa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hyperlink" Target="https://www.health.gov.au/resources/publications/strengthening-medicare-taskforce-report?language=en" TargetMode="External"/><Relationship Id="rId41"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bs.gov.au/info/browse/reviews" TargetMode="External"/><Relationship Id="rId24" Type="http://schemas.openxmlformats.org/officeDocument/2006/relationships/image" Target="media/image3.png"/><Relationship Id="rId32" Type="http://schemas.openxmlformats.org/officeDocument/2006/relationships/hyperlink" Target="http://cochranelibrary-wiley.com/doi/10.1002/14651858.CD002208/abstract" TargetMode="External"/><Relationship Id="rId37" Type="http://schemas.openxmlformats.org/officeDocument/2006/relationships/hyperlink" Target="https://nam12.safelinks.protection.outlook.com/?url=https%3A%2F%2Folle.aogp.com.au%2Fvisitor_catalog_class%2Fshow%2F230983&amp;data=04%7C01%7Claura.johnston%40Indivior.com%7C12ac3eb228f5481bf4d408d970bfa846%7Cbed52191489442999db948e4fb29646e%7C1%7C0%7C637664790744385956%7CUnknown%7CTWFpbGZsb3d8eyJWIjoiMC4wLjAwMDAiLCJQIjoiV2luMzIiLCJBTiI6Ik1haWwiLCJXVCI6Mn0%3D%7C1000&amp;sdata=vLUMiRd06RRgnbejRLVoOEWt%2BHRMx5VpSaNuojHlOMo%3D&amp;reserved=0" TargetMode="External"/><Relationship Id="rId40" Type="http://schemas.openxmlformats.org/officeDocument/2006/relationships/header" Target="header5.xml"/><Relationship Id="rId45"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http://www.pbs.gov.au/info/browse/reviews" TargetMode="External"/><Relationship Id="rId28" Type="http://schemas.openxmlformats.org/officeDocument/2006/relationships/chart" Target="charts/chart1.xml"/><Relationship Id="rId36" Type="http://schemas.openxmlformats.org/officeDocument/2006/relationships/hyperlink" Target="http://cochranelibrary-wiley.com/doi/10.1002/14651858.CD011983.pub2/abstract" TargetMode="External"/><Relationship Id="rId49" Type="http://schemas.openxmlformats.org/officeDocument/2006/relationships/theme" Target="theme/theme1.xml"/><Relationship Id="rId10" Type="http://schemas.openxmlformats.org/officeDocument/2006/relationships/hyperlink" Target="http://www.pbs.gov.au/info/browse/reviews" TargetMode="External"/><Relationship Id="rId19" Type="http://schemas.openxmlformats.org/officeDocument/2006/relationships/hyperlink" Target="http://www.psa.org.au" TargetMode="External"/><Relationship Id="rId31" Type="http://schemas.openxmlformats.org/officeDocument/2006/relationships/hyperlink" Target="https://www.pbs.gov.au/reviews/post-market-review-of-opiate-dependence-treatment-program/summary-of-state-and-territory-ODT-programs-April-2021.PDF" TargetMode="External"/><Relationship Id="rId44"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yperlink" Target="http://www.pbs.gov.au/info/browse/reviews" TargetMode="External"/><Relationship Id="rId14" Type="http://schemas.openxmlformats.org/officeDocument/2006/relationships/hyperlink" Target="http://www.pbs.gov.au/info/browse/reviews" TargetMode="External"/><Relationship Id="rId22" Type="http://schemas.openxmlformats.org/officeDocument/2006/relationships/image" Target="media/image2.png"/><Relationship Id="rId27" Type="http://schemas.openxmlformats.org/officeDocument/2006/relationships/image" Target="media/image6.png"/><Relationship Id="rId30" Type="http://schemas.openxmlformats.org/officeDocument/2006/relationships/hyperlink" Target="file:///C:\Users\MOONKY\Downloads\www.health.nsw.gov.au\aod\Pages\covid-19-oat-prescriber-info.aspx" TargetMode="External"/><Relationship Id="rId35" Type="http://schemas.openxmlformats.org/officeDocument/2006/relationships/hyperlink" Target="http://cochranelibrary-wiley.com/doi/10.1002/14651858.CD002207.pub4/abstract" TargetMode="External"/><Relationship Id="rId43" Type="http://schemas.openxmlformats.org/officeDocument/2006/relationships/footer" Target="footer4.xml"/><Relationship Id="rId48" Type="http://schemas.openxmlformats.org/officeDocument/2006/relationships/fontTable" Target="fontTable.xml"/><Relationship Id="rId8"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oleObject" Target="file:///\\central.health\dfsuserenv\Users\User_04\TOMASS\Documents\PS1PS\Final%20report%20prep\ToR%203%20section%20planning\plot%20workspace.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3"/>
          <c:order val="0"/>
          <c:tx>
            <c:strRef>
              <c:f>Sheet1!$A$6</c:f>
              <c:strCache>
                <c:ptCount val="1"/>
                <c:pt idx="0">
                  <c:v>Buprenorphine tablet</c:v>
                </c:pt>
              </c:strCache>
            </c:strRef>
          </c:tx>
          <c:spPr>
            <a:solidFill>
              <a:schemeClr val="accent4"/>
            </a:solidFill>
            <a:ln>
              <a:noFill/>
            </a:ln>
            <a:effectLst/>
          </c:spPr>
          <c:invertIfNegative val="0"/>
          <c:cat>
            <c:strRef>
              <c:f>Sheet1!$B$2:$G$2</c:f>
              <c:strCache>
                <c:ptCount val="6"/>
                <c:pt idx="0">
                  <c:v>2016-17</c:v>
                </c:pt>
                <c:pt idx="1">
                  <c:v>2017-18</c:v>
                </c:pt>
                <c:pt idx="2">
                  <c:v>2018-19</c:v>
                </c:pt>
                <c:pt idx="3">
                  <c:v>2019-20</c:v>
                </c:pt>
                <c:pt idx="4">
                  <c:v>2020-21</c:v>
                </c:pt>
                <c:pt idx="5">
                  <c:v>2021-22</c:v>
                </c:pt>
              </c:strCache>
            </c:strRef>
          </c:cat>
          <c:val>
            <c:numRef>
              <c:f>Sheet1!$B$6:$G$6</c:f>
              <c:numCache>
                <c:formatCode>#,##0</c:formatCode>
                <c:ptCount val="6"/>
                <c:pt idx="0">
                  <c:v>526782.36054976692</c:v>
                </c:pt>
                <c:pt idx="1">
                  <c:v>548445.47705951158</c:v>
                </c:pt>
                <c:pt idx="2">
                  <c:v>568401.1994328018</c:v>
                </c:pt>
                <c:pt idx="3">
                  <c:v>572242.46625745541</c:v>
                </c:pt>
                <c:pt idx="4">
                  <c:v>571110.18583725486</c:v>
                </c:pt>
                <c:pt idx="5">
                  <c:v>560680.4333608523</c:v>
                </c:pt>
              </c:numCache>
            </c:numRef>
          </c:val>
          <c:extLst>
            <c:ext xmlns:c16="http://schemas.microsoft.com/office/drawing/2014/chart" uri="{C3380CC4-5D6E-409C-BE32-E72D297353CC}">
              <c16:uniqueId val="{00000000-E89B-415B-BCAB-3BF1B1A31753}"/>
            </c:ext>
          </c:extLst>
        </c:ser>
        <c:ser>
          <c:idx val="1"/>
          <c:order val="1"/>
          <c:tx>
            <c:strRef>
              <c:f>Sheet1!$A$4</c:f>
              <c:strCache>
                <c:ptCount val="1"/>
                <c:pt idx="0">
                  <c:v>Methadone</c:v>
                </c:pt>
              </c:strCache>
            </c:strRef>
          </c:tx>
          <c:spPr>
            <a:solidFill>
              <a:schemeClr val="accent2"/>
            </a:solidFill>
            <a:ln>
              <a:noFill/>
            </a:ln>
            <a:effectLst/>
          </c:spPr>
          <c:invertIfNegative val="0"/>
          <c:dLbls>
            <c:dLbl>
              <c:idx val="0"/>
              <c:tx>
                <c:rich>
                  <a:bodyPr/>
                  <a:lstStyle/>
                  <a:p>
                    <a:fld id="{20DF0DF3-5010-43AB-B3CC-F97233CDBE15}"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E89B-415B-BCAB-3BF1B1A31753}"/>
                </c:ext>
              </c:extLst>
            </c:dLbl>
            <c:dLbl>
              <c:idx val="1"/>
              <c:tx>
                <c:rich>
                  <a:bodyPr/>
                  <a:lstStyle/>
                  <a:p>
                    <a:fld id="{5058FD3C-FB61-47C8-BD0E-F5EF7120ABD5}"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E89B-415B-BCAB-3BF1B1A31753}"/>
                </c:ext>
              </c:extLst>
            </c:dLbl>
            <c:dLbl>
              <c:idx val="2"/>
              <c:tx>
                <c:rich>
                  <a:bodyPr/>
                  <a:lstStyle/>
                  <a:p>
                    <a:fld id="{33D960F0-9380-4423-92FA-CE3526259219}"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E89B-415B-BCAB-3BF1B1A31753}"/>
                </c:ext>
              </c:extLst>
            </c:dLbl>
            <c:dLbl>
              <c:idx val="3"/>
              <c:tx>
                <c:rich>
                  <a:bodyPr/>
                  <a:lstStyle/>
                  <a:p>
                    <a:fld id="{B8034449-0344-4F34-BF2A-DAF30C9E9BD9}"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E89B-415B-BCAB-3BF1B1A31753}"/>
                </c:ext>
              </c:extLst>
            </c:dLbl>
            <c:dLbl>
              <c:idx val="4"/>
              <c:tx>
                <c:rich>
                  <a:bodyPr/>
                  <a:lstStyle/>
                  <a:p>
                    <a:fld id="{0EBF6445-6630-4F42-A94E-2FD96C98C24F}"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E89B-415B-BCAB-3BF1B1A31753}"/>
                </c:ext>
              </c:extLst>
            </c:dLbl>
            <c:dLbl>
              <c:idx val="5"/>
              <c:tx>
                <c:rich>
                  <a:bodyPr/>
                  <a:lstStyle/>
                  <a:p>
                    <a:fld id="{843C43B2-9627-454E-BC64-4597A270CF5D}"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E89B-415B-BCAB-3BF1B1A3175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Sheet1!$B$2:$G$2</c:f>
              <c:strCache>
                <c:ptCount val="6"/>
                <c:pt idx="0">
                  <c:v>2016-17</c:v>
                </c:pt>
                <c:pt idx="1">
                  <c:v>2017-18</c:v>
                </c:pt>
                <c:pt idx="2">
                  <c:v>2018-19</c:v>
                </c:pt>
                <c:pt idx="3">
                  <c:v>2019-20</c:v>
                </c:pt>
                <c:pt idx="4">
                  <c:v>2020-21</c:v>
                </c:pt>
                <c:pt idx="5">
                  <c:v>2021-22</c:v>
                </c:pt>
              </c:strCache>
            </c:strRef>
          </c:cat>
          <c:val>
            <c:numRef>
              <c:f>Sheet1!$B$4:$G$4</c:f>
              <c:numCache>
                <c:formatCode>#,##0</c:formatCode>
                <c:ptCount val="6"/>
                <c:pt idx="0">
                  <c:v>10737820.116570903</c:v>
                </c:pt>
                <c:pt idx="1">
                  <c:v>10747634.751075238</c:v>
                </c:pt>
                <c:pt idx="2">
                  <c:v>10576735.306343285</c:v>
                </c:pt>
                <c:pt idx="3">
                  <c:v>10667727.806522014</c:v>
                </c:pt>
                <c:pt idx="4">
                  <c:v>10506078.703700328</c:v>
                </c:pt>
                <c:pt idx="5">
                  <c:v>9957220.7925294787</c:v>
                </c:pt>
              </c:numCache>
            </c:numRef>
          </c:val>
          <c:extLst>
            <c:ext xmlns:c15="http://schemas.microsoft.com/office/drawing/2012/chart" uri="{02D57815-91ED-43cb-92C2-25804820EDAC}">
              <c15:datalabelsRange>
                <c15:f>Sheet1!$J$4:$O$4</c15:f>
                <c15:dlblRangeCache>
                  <c:ptCount val="6"/>
                  <c:pt idx="0">
                    <c:v>70%</c:v>
                  </c:pt>
                  <c:pt idx="1">
                    <c:v>68%</c:v>
                  </c:pt>
                  <c:pt idx="2">
                    <c:v>66%</c:v>
                  </c:pt>
                  <c:pt idx="3">
                    <c:v>63%</c:v>
                  </c:pt>
                  <c:pt idx="4">
                    <c:v>58%</c:v>
                  </c:pt>
                  <c:pt idx="5">
                    <c:v>52%</c:v>
                  </c:pt>
                </c15:dlblRangeCache>
              </c15:datalabelsRange>
            </c:ext>
            <c:ext xmlns:c16="http://schemas.microsoft.com/office/drawing/2014/chart" uri="{C3380CC4-5D6E-409C-BE32-E72D297353CC}">
              <c16:uniqueId val="{00000007-E89B-415B-BCAB-3BF1B1A31753}"/>
            </c:ext>
          </c:extLst>
        </c:ser>
        <c:ser>
          <c:idx val="0"/>
          <c:order val="2"/>
          <c:tx>
            <c:strRef>
              <c:f>Sheet1!$A$3</c:f>
              <c:strCache>
                <c:ptCount val="1"/>
                <c:pt idx="0">
                  <c:v>Buprenorphine + naloxone </c:v>
                </c:pt>
              </c:strCache>
            </c:strRef>
          </c:tx>
          <c:spPr>
            <a:solidFill>
              <a:schemeClr val="accent1"/>
            </a:solidFill>
            <a:ln>
              <a:noFill/>
            </a:ln>
            <a:effectLst/>
          </c:spPr>
          <c:invertIfNegative val="0"/>
          <c:dLbls>
            <c:dLbl>
              <c:idx val="0"/>
              <c:tx>
                <c:rich>
                  <a:bodyPr/>
                  <a:lstStyle/>
                  <a:p>
                    <a:fld id="{DFAE9091-A7E7-4C0A-9529-B2A846B3A4FB}"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E89B-415B-BCAB-3BF1B1A31753}"/>
                </c:ext>
              </c:extLst>
            </c:dLbl>
            <c:dLbl>
              <c:idx val="1"/>
              <c:tx>
                <c:rich>
                  <a:bodyPr/>
                  <a:lstStyle/>
                  <a:p>
                    <a:fld id="{CE6E35BE-BD1C-4B05-9E09-021C326C1117}"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E89B-415B-BCAB-3BF1B1A31753}"/>
                </c:ext>
              </c:extLst>
            </c:dLbl>
            <c:dLbl>
              <c:idx val="2"/>
              <c:tx>
                <c:rich>
                  <a:bodyPr/>
                  <a:lstStyle/>
                  <a:p>
                    <a:fld id="{215D90E2-E88A-41D4-9DE3-F25FD2E9F03B}"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E89B-415B-BCAB-3BF1B1A31753}"/>
                </c:ext>
              </c:extLst>
            </c:dLbl>
            <c:dLbl>
              <c:idx val="3"/>
              <c:tx>
                <c:rich>
                  <a:bodyPr/>
                  <a:lstStyle/>
                  <a:p>
                    <a:fld id="{87BD3A3E-C07D-4CFC-A003-2C3C98D1A890}"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E89B-415B-BCAB-3BF1B1A31753}"/>
                </c:ext>
              </c:extLst>
            </c:dLbl>
            <c:dLbl>
              <c:idx val="4"/>
              <c:tx>
                <c:rich>
                  <a:bodyPr/>
                  <a:lstStyle/>
                  <a:p>
                    <a:fld id="{5CAD8C51-5849-448E-AA37-26D2DA093A0D}"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E89B-415B-BCAB-3BF1B1A31753}"/>
                </c:ext>
              </c:extLst>
            </c:dLbl>
            <c:dLbl>
              <c:idx val="5"/>
              <c:tx>
                <c:rich>
                  <a:bodyPr/>
                  <a:lstStyle/>
                  <a:p>
                    <a:fld id="{C0E75713-5926-44B5-9C44-CCFBFD674B74}"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E89B-415B-BCAB-3BF1B1A3175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Sheet1!$B$2:$G$2</c:f>
              <c:strCache>
                <c:ptCount val="6"/>
                <c:pt idx="0">
                  <c:v>2016-17</c:v>
                </c:pt>
                <c:pt idx="1">
                  <c:v>2017-18</c:v>
                </c:pt>
                <c:pt idx="2">
                  <c:v>2018-19</c:v>
                </c:pt>
                <c:pt idx="3">
                  <c:v>2019-20</c:v>
                </c:pt>
                <c:pt idx="4">
                  <c:v>2020-21</c:v>
                </c:pt>
                <c:pt idx="5">
                  <c:v>2021-22</c:v>
                </c:pt>
              </c:strCache>
            </c:strRef>
          </c:cat>
          <c:val>
            <c:numRef>
              <c:f>Sheet1!$B$3:$G$3</c:f>
              <c:numCache>
                <c:formatCode>#,##0</c:formatCode>
                <c:ptCount val="6"/>
                <c:pt idx="0">
                  <c:v>4125560.8540418139</c:v>
                </c:pt>
                <c:pt idx="1">
                  <c:v>4551837.8207385968</c:v>
                </c:pt>
                <c:pt idx="2">
                  <c:v>4996941.7115849508</c:v>
                </c:pt>
                <c:pt idx="3">
                  <c:v>5196733.5769484211</c:v>
                </c:pt>
                <c:pt idx="4">
                  <c:v>4739717.3844577689</c:v>
                </c:pt>
                <c:pt idx="5">
                  <c:v>4402721.0222194446</c:v>
                </c:pt>
              </c:numCache>
            </c:numRef>
          </c:val>
          <c:extLst>
            <c:ext xmlns:c15="http://schemas.microsoft.com/office/drawing/2012/chart" uri="{02D57815-91ED-43cb-92C2-25804820EDAC}">
              <c15:datalabelsRange>
                <c15:f>Sheet1!$J$3:$O$3</c15:f>
                <c15:dlblRangeCache>
                  <c:ptCount val="6"/>
                  <c:pt idx="0">
                    <c:v>27%</c:v>
                  </c:pt>
                  <c:pt idx="1">
                    <c:v>29%</c:v>
                  </c:pt>
                  <c:pt idx="2">
                    <c:v>31%</c:v>
                  </c:pt>
                  <c:pt idx="3">
                    <c:v>31%</c:v>
                  </c:pt>
                  <c:pt idx="4">
                    <c:v>26%</c:v>
                  </c:pt>
                  <c:pt idx="5">
                    <c:v>23%</c:v>
                  </c:pt>
                </c15:dlblRangeCache>
              </c15:datalabelsRange>
            </c:ext>
            <c:ext xmlns:c16="http://schemas.microsoft.com/office/drawing/2014/chart" uri="{C3380CC4-5D6E-409C-BE32-E72D297353CC}">
              <c16:uniqueId val="{0000000E-E89B-415B-BCAB-3BF1B1A31753}"/>
            </c:ext>
          </c:extLst>
        </c:ser>
        <c:ser>
          <c:idx val="2"/>
          <c:order val="3"/>
          <c:tx>
            <c:strRef>
              <c:f>Sheet1!$A$5</c:f>
              <c:strCache>
                <c:ptCount val="1"/>
                <c:pt idx="0">
                  <c:v>Buprenorphine LAI</c:v>
                </c:pt>
              </c:strCache>
            </c:strRef>
          </c:tx>
          <c:spPr>
            <a:solidFill>
              <a:schemeClr val="accent3"/>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F-E89B-415B-BCAB-3BF1B1A31753}"/>
                </c:ext>
              </c:extLst>
            </c:dLbl>
            <c:dLbl>
              <c:idx val="1"/>
              <c:delete val="1"/>
              <c:extLst>
                <c:ext xmlns:c15="http://schemas.microsoft.com/office/drawing/2012/chart" uri="{CE6537A1-D6FC-4f65-9D91-7224C49458BB}"/>
                <c:ext xmlns:c16="http://schemas.microsoft.com/office/drawing/2014/chart" uri="{C3380CC4-5D6E-409C-BE32-E72D297353CC}">
                  <c16:uniqueId val="{00000010-E89B-415B-BCAB-3BF1B1A31753}"/>
                </c:ext>
              </c:extLst>
            </c:dLbl>
            <c:dLbl>
              <c:idx val="2"/>
              <c:delete val="1"/>
              <c:extLst>
                <c:ext xmlns:c15="http://schemas.microsoft.com/office/drawing/2012/chart" uri="{CE6537A1-D6FC-4f65-9D91-7224C49458BB}"/>
                <c:ext xmlns:c16="http://schemas.microsoft.com/office/drawing/2014/chart" uri="{C3380CC4-5D6E-409C-BE32-E72D297353CC}">
                  <c16:uniqueId val="{00000011-E89B-415B-BCAB-3BF1B1A31753}"/>
                </c:ext>
              </c:extLst>
            </c:dLbl>
            <c:dLbl>
              <c:idx val="3"/>
              <c:layout>
                <c:manualLayout>
                  <c:x val="6.4547334333699261E-2"/>
                  <c:y val="4.9410275770323267E-2"/>
                </c:manualLayout>
              </c:layout>
              <c:tx>
                <c:rich>
                  <a:bodyPr/>
                  <a:lstStyle/>
                  <a:p>
                    <a:fld id="{93E29EA2-5702-4EF2-AB85-561CB3045CDC}"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2-E89B-415B-BCAB-3BF1B1A31753}"/>
                </c:ext>
              </c:extLst>
            </c:dLbl>
            <c:dLbl>
              <c:idx val="4"/>
              <c:tx>
                <c:rich>
                  <a:bodyPr/>
                  <a:lstStyle/>
                  <a:p>
                    <a:fld id="{309AC822-F493-466A-B7CE-24B305775F70}"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3-E89B-415B-BCAB-3BF1B1A31753}"/>
                </c:ext>
              </c:extLst>
            </c:dLbl>
            <c:dLbl>
              <c:idx val="5"/>
              <c:tx>
                <c:rich>
                  <a:bodyPr/>
                  <a:lstStyle/>
                  <a:p>
                    <a:fld id="{457F2CB7-C613-41F3-9418-9FB9971915A5}"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4-E89B-415B-BCAB-3BF1B1A3175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Sheet1!$B$2:$G$2</c:f>
              <c:strCache>
                <c:ptCount val="6"/>
                <c:pt idx="0">
                  <c:v>2016-17</c:v>
                </c:pt>
                <c:pt idx="1">
                  <c:v>2017-18</c:v>
                </c:pt>
                <c:pt idx="2">
                  <c:v>2018-19</c:v>
                </c:pt>
                <c:pt idx="3">
                  <c:v>2019-20</c:v>
                </c:pt>
                <c:pt idx="4">
                  <c:v>2020-21</c:v>
                </c:pt>
                <c:pt idx="5">
                  <c:v>2021-22</c:v>
                </c:pt>
              </c:strCache>
            </c:strRef>
          </c:cat>
          <c:val>
            <c:numRef>
              <c:f>Sheet1!$B$5:$G$5</c:f>
              <c:numCache>
                <c:formatCode>#,##0</c:formatCode>
                <c:ptCount val="6"/>
                <c:pt idx="0">
                  <c:v>0</c:v>
                </c:pt>
                <c:pt idx="1">
                  <c:v>0</c:v>
                </c:pt>
                <c:pt idx="2">
                  <c:v>0</c:v>
                </c:pt>
                <c:pt idx="3">
                  <c:v>595720.99999999662</c:v>
                </c:pt>
                <c:pt idx="4">
                  <c:v>2449559.000000177</c:v>
                </c:pt>
                <c:pt idx="5">
                  <c:v>4118226.0000004591</c:v>
                </c:pt>
              </c:numCache>
            </c:numRef>
          </c:val>
          <c:extLst>
            <c:ext xmlns:c15="http://schemas.microsoft.com/office/drawing/2012/chart" uri="{02D57815-91ED-43cb-92C2-25804820EDAC}">
              <c15:datalabelsRange>
                <c15:f>Sheet1!$J$5:$O$5</c15:f>
                <c15:dlblRangeCache>
                  <c:ptCount val="6"/>
                  <c:pt idx="0">
                    <c:v>0%</c:v>
                  </c:pt>
                  <c:pt idx="1">
                    <c:v>0%</c:v>
                  </c:pt>
                  <c:pt idx="2">
                    <c:v>0%</c:v>
                  </c:pt>
                  <c:pt idx="3">
                    <c:v>3%</c:v>
                  </c:pt>
                  <c:pt idx="4">
                    <c:v>13%</c:v>
                  </c:pt>
                  <c:pt idx="5">
                    <c:v>22%</c:v>
                  </c:pt>
                </c15:dlblRangeCache>
              </c15:datalabelsRange>
            </c:ext>
            <c:ext xmlns:c16="http://schemas.microsoft.com/office/drawing/2014/chart" uri="{C3380CC4-5D6E-409C-BE32-E72D297353CC}">
              <c16:uniqueId val="{00000015-E89B-415B-BCAB-3BF1B1A31753}"/>
            </c:ext>
          </c:extLst>
        </c:ser>
        <c:dLbls>
          <c:showLegendKey val="0"/>
          <c:showVal val="0"/>
          <c:showCatName val="0"/>
          <c:showSerName val="0"/>
          <c:showPercent val="0"/>
          <c:showBubbleSize val="0"/>
        </c:dLbls>
        <c:gapWidth val="100"/>
        <c:overlap val="100"/>
        <c:axId val="352390392"/>
        <c:axId val="352385800"/>
      </c:barChart>
      <c:lineChart>
        <c:grouping val="standard"/>
        <c:varyColors val="0"/>
        <c:ser>
          <c:idx val="4"/>
          <c:order val="4"/>
          <c:tx>
            <c:strRef>
              <c:f>Sheet1!$A$7</c:f>
              <c:strCache>
                <c:ptCount val="1"/>
                <c:pt idx="0">
                  <c:v>Grand Total</c:v>
                </c:pt>
              </c:strCache>
            </c:strRef>
          </c:tx>
          <c:spPr>
            <a:ln w="15875" cap="sq">
              <a:solidFill>
                <a:schemeClr val="tx1"/>
              </a:solidFill>
              <a:prstDash val="lgDash"/>
              <a:round/>
            </a:ln>
            <a:effectLst/>
          </c:spPr>
          <c:marker>
            <c:symbol val="square"/>
            <c:size val="5"/>
            <c:spPr>
              <a:solidFill>
                <a:schemeClr val="tx1"/>
              </a:solidFill>
              <a:ln w="9525">
                <a:solidFill>
                  <a:schemeClr val="tx1"/>
                </a:solidFill>
              </a:ln>
              <a:effectLst/>
            </c:spPr>
          </c:marker>
          <c:val>
            <c:numRef>
              <c:f>Sheet1!$B$7:$G$7</c:f>
              <c:numCache>
                <c:formatCode>#,##0</c:formatCode>
                <c:ptCount val="6"/>
                <c:pt idx="0">
                  <c:v>15390163.331162483</c:v>
                </c:pt>
                <c:pt idx="1">
                  <c:v>15847918.048873346</c:v>
                </c:pt>
                <c:pt idx="2">
                  <c:v>16142078.217361037</c:v>
                </c:pt>
                <c:pt idx="3">
                  <c:v>17032424.849727888</c:v>
                </c:pt>
                <c:pt idx="4">
                  <c:v>18266465.273995526</c:v>
                </c:pt>
                <c:pt idx="5">
                  <c:v>19038848.248110235</c:v>
                </c:pt>
              </c:numCache>
            </c:numRef>
          </c:val>
          <c:smooth val="0"/>
          <c:extLst>
            <c:ext xmlns:c16="http://schemas.microsoft.com/office/drawing/2014/chart" uri="{C3380CC4-5D6E-409C-BE32-E72D297353CC}">
              <c16:uniqueId val="{00000016-E89B-415B-BCAB-3BF1B1A31753}"/>
            </c:ext>
          </c:extLst>
        </c:ser>
        <c:dLbls>
          <c:showLegendKey val="0"/>
          <c:showVal val="0"/>
          <c:showCatName val="0"/>
          <c:showSerName val="0"/>
          <c:showPercent val="0"/>
          <c:showBubbleSize val="0"/>
        </c:dLbls>
        <c:marker val="1"/>
        <c:smooth val="0"/>
        <c:axId val="352390392"/>
        <c:axId val="352385800"/>
      </c:lineChart>
      <c:catAx>
        <c:axId val="3523903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Financial 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2385800"/>
        <c:crosses val="autoZero"/>
        <c:auto val="1"/>
        <c:lblAlgn val="ctr"/>
        <c:lblOffset val="100"/>
        <c:noMultiLvlLbl val="0"/>
      </c:catAx>
      <c:valAx>
        <c:axId val="3523858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aseline="0"/>
                  <a:t>Estimated doses supplied</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2390392"/>
        <c:crosses val="autoZero"/>
        <c:crossBetween val="between"/>
      </c:valAx>
      <c:spPr>
        <a:noFill/>
        <a:ln w="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147</Pages>
  <Words>78255</Words>
  <Characters>446059</Characters>
  <Application>Microsoft Office Word</Application>
  <DocSecurity>0</DocSecurity>
  <Lines>3717</Lines>
  <Paragraphs>1046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2024-05-15T05:19:00Z</dcterms:created>
  <dcterms:modified xsi:type="dcterms:W3CDTF">2024-05-15T05:20:00Z</dcterms:modified>
</cp:coreProperties>
</file>